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B9462B">
      <w:pPr>
        <w:pStyle w:val="253"/>
      </w:pPr>
    </w:p>
    <w:p w14:paraId="09278540">
      <w:pPr>
        <w:rPr>
          <w:rFonts w:eastAsia="仿宋_GB2312"/>
          <w:sz w:val="36"/>
          <w:szCs w:val="36"/>
        </w:rPr>
      </w:pPr>
    </w:p>
    <w:p w14:paraId="377E8124">
      <w:pPr>
        <w:rPr>
          <w:rFonts w:eastAsia="仿宋_GB2312"/>
          <w:sz w:val="36"/>
          <w:szCs w:val="36"/>
        </w:rPr>
      </w:pPr>
    </w:p>
    <w:p w14:paraId="7AB3A516">
      <w:pPr>
        <w:rPr>
          <w:rFonts w:eastAsia="仿宋_GB2312"/>
          <w:sz w:val="36"/>
          <w:szCs w:val="36"/>
        </w:rPr>
      </w:pPr>
    </w:p>
    <w:p w14:paraId="72A5D522">
      <w:pPr>
        <w:rPr>
          <w:rFonts w:eastAsia="仿宋_GB2312"/>
          <w:sz w:val="36"/>
          <w:szCs w:val="36"/>
        </w:rPr>
      </w:pPr>
    </w:p>
    <w:p w14:paraId="76B0FDA2">
      <w:pPr>
        <w:adjustRightInd w:val="0"/>
        <w:snapToGrid w:val="0"/>
        <w:jc w:val="center"/>
        <w:rPr>
          <w:rFonts w:eastAsia="方正小标宋_GBK"/>
          <w:bCs/>
          <w:sz w:val="72"/>
          <w:szCs w:val="72"/>
        </w:rPr>
      </w:pPr>
      <w:r>
        <w:rPr>
          <w:rFonts w:eastAsia="方正小标宋_GBK"/>
          <w:bCs/>
          <w:sz w:val="72"/>
          <w:szCs w:val="72"/>
        </w:rPr>
        <w:t>建设项目环境影响报告表</w:t>
      </w:r>
    </w:p>
    <w:p w14:paraId="1A0E2912">
      <w:pPr>
        <w:adjustRightInd w:val="0"/>
        <w:snapToGrid w:val="0"/>
        <w:spacing w:before="192" w:beforeLines="80"/>
        <w:jc w:val="center"/>
        <w:rPr>
          <w:rFonts w:eastAsia="楷体_GB2312"/>
          <w:bCs/>
          <w:sz w:val="48"/>
          <w:szCs w:val="48"/>
        </w:rPr>
      </w:pPr>
      <w:r>
        <w:rPr>
          <w:rFonts w:eastAsia="楷体_GB2312"/>
          <w:bCs/>
          <w:sz w:val="48"/>
          <w:szCs w:val="48"/>
        </w:rPr>
        <w:t>（污染影响类）</w:t>
      </w:r>
    </w:p>
    <w:p w14:paraId="06E05048"/>
    <w:p w14:paraId="52772BB3">
      <w:pPr>
        <w:pStyle w:val="25"/>
      </w:pPr>
    </w:p>
    <w:p w14:paraId="59AA883F">
      <w:pPr>
        <w:jc w:val="center"/>
        <w:rPr>
          <w:rFonts w:eastAsia="仿宋"/>
          <w:sz w:val="52"/>
          <w:szCs w:val="52"/>
        </w:rPr>
      </w:pPr>
    </w:p>
    <w:p w14:paraId="5BC08C3C">
      <w:pPr>
        <w:ind w:firstLine="1040"/>
        <w:rPr>
          <w:rFonts w:eastAsia="仿宋"/>
          <w:sz w:val="44"/>
          <w:szCs w:val="44"/>
        </w:rPr>
      </w:pPr>
    </w:p>
    <w:p w14:paraId="66F2A298">
      <w:pPr>
        <w:ind w:firstLine="1040"/>
        <w:rPr>
          <w:rFonts w:eastAsia="仿宋"/>
          <w:sz w:val="44"/>
          <w:szCs w:val="44"/>
        </w:rPr>
      </w:pPr>
    </w:p>
    <w:p w14:paraId="3BD26483">
      <w:pPr>
        <w:ind w:firstLine="1040"/>
        <w:rPr>
          <w:rFonts w:eastAsia="仿宋"/>
          <w:sz w:val="44"/>
          <w:szCs w:val="44"/>
        </w:rPr>
      </w:pPr>
    </w:p>
    <w:p w14:paraId="7A5E9E92">
      <w:pPr>
        <w:ind w:firstLine="1040"/>
        <w:rPr>
          <w:rFonts w:eastAsia="仿宋"/>
          <w:sz w:val="44"/>
          <w:szCs w:val="44"/>
        </w:rPr>
      </w:pPr>
    </w:p>
    <w:p w14:paraId="5E852479">
      <w:pPr>
        <w:adjustRightInd w:val="0"/>
        <w:snapToGrid w:val="0"/>
        <w:spacing w:line="288" w:lineRule="auto"/>
        <w:ind w:firstLine="1040"/>
        <w:rPr>
          <w:rFonts w:eastAsia="仿宋_GB2312"/>
          <w:sz w:val="36"/>
          <w:szCs w:val="36"/>
          <w:u w:val="single"/>
        </w:rPr>
      </w:pPr>
      <w:r>
        <w:rPr>
          <w:rFonts w:eastAsia="仿宋_GB2312"/>
          <w:sz w:val="36"/>
          <w:szCs w:val="36"/>
        </w:rPr>
        <w:t>项目名称：</w:t>
      </w:r>
      <w:bookmarkStart w:id="0" w:name="_Hlk194939176"/>
      <w:r>
        <w:rPr>
          <w:rFonts w:eastAsia="仿宋_GB2312"/>
          <w:sz w:val="36"/>
          <w:szCs w:val="36"/>
          <w:u w:val="single"/>
        </w:rPr>
        <w:t>二期年产25万吨超仿真差别化功能性纤维项目和三期年产30万吨超仿真功能性低碳纤维项目</w:t>
      </w:r>
      <w:bookmarkEnd w:id="0"/>
      <w:r>
        <w:rPr>
          <w:rFonts w:eastAsia="仿宋_GB2312"/>
          <w:sz w:val="36"/>
          <w:szCs w:val="36"/>
          <w:u w:val="single"/>
        </w:rPr>
        <w:t xml:space="preserve">   </w:t>
      </w:r>
    </w:p>
    <w:p w14:paraId="5B8E5B92">
      <w:pPr>
        <w:adjustRightInd w:val="0"/>
        <w:snapToGrid w:val="0"/>
        <w:spacing w:line="288" w:lineRule="auto"/>
        <w:ind w:firstLine="1040"/>
        <w:rPr>
          <w:rFonts w:eastAsia="仿宋_GB2312"/>
          <w:sz w:val="32"/>
          <w:szCs w:val="32"/>
          <w:u w:val="single"/>
        </w:rPr>
      </w:pPr>
      <w:r>
        <w:rPr>
          <w:rFonts w:eastAsia="仿宋_GB2312"/>
          <w:sz w:val="36"/>
          <w:szCs w:val="36"/>
        </w:rPr>
        <w:t>建设单位（盖章）：</w:t>
      </w:r>
      <w:bookmarkStart w:id="1" w:name="_Hlk195284432"/>
      <w:r>
        <w:rPr>
          <w:rFonts w:eastAsia="仿宋_GB2312"/>
          <w:sz w:val="36"/>
          <w:szCs w:val="36"/>
          <w:u w:val="single"/>
        </w:rPr>
        <w:t>国望高科纤维（宿迁）有限公司</w:t>
      </w:r>
      <w:bookmarkEnd w:id="1"/>
    </w:p>
    <w:p w14:paraId="7237BAAD">
      <w:pPr>
        <w:adjustRightInd w:val="0"/>
        <w:snapToGrid w:val="0"/>
        <w:spacing w:line="288" w:lineRule="auto"/>
        <w:ind w:firstLine="1040"/>
        <w:rPr>
          <w:rFonts w:eastAsia="仿宋_GB2312"/>
          <w:sz w:val="36"/>
          <w:szCs w:val="36"/>
          <w:u w:val="single"/>
        </w:rPr>
      </w:pPr>
      <w:r>
        <w:rPr>
          <w:rFonts w:eastAsia="仿宋_GB2312"/>
          <w:sz w:val="36"/>
          <w:szCs w:val="36"/>
        </w:rPr>
        <w:t>编制日期：</w:t>
      </w:r>
      <w:r>
        <w:rPr>
          <w:rFonts w:eastAsia="仿宋_GB2312"/>
          <w:sz w:val="36"/>
          <w:szCs w:val="36"/>
          <w:u w:val="single"/>
        </w:rPr>
        <w:t xml:space="preserve">        2025年 4月              </w:t>
      </w:r>
    </w:p>
    <w:p w14:paraId="465AEABD">
      <w:pPr>
        <w:adjustRightInd w:val="0"/>
        <w:snapToGrid w:val="0"/>
        <w:spacing w:line="288" w:lineRule="auto"/>
        <w:ind w:firstLine="1040"/>
        <w:rPr>
          <w:rFonts w:eastAsia="仿宋_GB2312"/>
          <w:sz w:val="36"/>
          <w:szCs w:val="36"/>
        </w:rPr>
      </w:pPr>
      <w:bookmarkStart w:id="2" w:name="_Hlk57884087"/>
    </w:p>
    <w:p w14:paraId="6F8EE72F">
      <w:pPr>
        <w:adjustRightInd w:val="0"/>
        <w:snapToGrid w:val="0"/>
        <w:spacing w:line="288" w:lineRule="auto"/>
        <w:ind w:firstLine="1040"/>
        <w:rPr>
          <w:rFonts w:eastAsia="仿宋_GB2312"/>
          <w:sz w:val="36"/>
          <w:szCs w:val="36"/>
        </w:rPr>
      </w:pPr>
    </w:p>
    <w:p w14:paraId="3F578C36">
      <w:pPr>
        <w:adjustRightInd w:val="0"/>
        <w:snapToGrid w:val="0"/>
        <w:spacing w:line="288" w:lineRule="auto"/>
        <w:ind w:firstLine="1040"/>
        <w:rPr>
          <w:rFonts w:eastAsia="仿宋_GB2312"/>
          <w:sz w:val="36"/>
          <w:szCs w:val="36"/>
        </w:rPr>
      </w:pPr>
    </w:p>
    <w:bookmarkEnd w:id="2"/>
    <w:p w14:paraId="68AACDD0">
      <w:pPr>
        <w:adjustRightInd w:val="0"/>
        <w:snapToGrid w:val="0"/>
        <w:spacing w:line="288" w:lineRule="auto"/>
        <w:jc w:val="center"/>
        <w:rPr>
          <w:rFonts w:eastAsia="楷体_GB2312"/>
          <w:sz w:val="36"/>
          <w:szCs w:val="36"/>
        </w:rPr>
      </w:pPr>
      <w:r>
        <w:rPr>
          <w:rFonts w:eastAsia="楷体_GB2312"/>
          <w:sz w:val="36"/>
          <w:szCs w:val="36"/>
        </w:rPr>
        <w:t>中华人民共和国生态环境部制</w:t>
      </w:r>
    </w:p>
    <w:p w14:paraId="60378577">
      <w:pPr>
        <w:adjustRightInd w:val="0"/>
        <w:snapToGrid w:val="0"/>
        <w:spacing w:line="288" w:lineRule="auto"/>
        <w:ind w:firstLine="1040"/>
        <w:jc w:val="center"/>
        <w:rPr>
          <w:rFonts w:eastAsia="仿宋_GB2312"/>
          <w:sz w:val="36"/>
          <w:szCs w:val="36"/>
        </w:rPr>
        <w:sectPr>
          <w:headerReference r:id="rId3" w:type="default"/>
          <w:footerReference r:id="rId5" w:type="default"/>
          <w:headerReference r:id="rId4" w:type="even"/>
          <w:footerReference r:id="rId6" w:type="even"/>
          <w:pgSz w:w="11906" w:h="16838"/>
          <w:pgMar w:top="1701" w:right="1531" w:bottom="1701" w:left="1531" w:header="851" w:footer="1077" w:gutter="0"/>
          <w:pgNumType w:start="3"/>
          <w:cols w:space="720" w:num="1"/>
          <w:docGrid w:linePitch="312" w:charSpace="0"/>
        </w:sectPr>
      </w:pPr>
    </w:p>
    <w:p w14:paraId="19448803">
      <w:pPr>
        <w:pStyle w:val="42"/>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一、</w:t>
      </w:r>
      <w:r>
        <w:rPr>
          <w:rFonts w:hint="eastAsia" w:ascii="Times New Roman" w:hAnsi="Times New Roman" w:eastAsia="黑体"/>
          <w:snapToGrid w:val="0"/>
          <w:sz w:val="30"/>
          <w:szCs w:val="30"/>
        </w:rPr>
        <w:t>概述（</w:t>
      </w:r>
      <w:r>
        <w:rPr>
          <w:rFonts w:ascii="Times New Roman" w:hAnsi="Times New Roman" w:eastAsia="黑体"/>
          <w:snapToGrid w:val="0"/>
          <w:sz w:val="30"/>
          <w:szCs w:val="30"/>
        </w:rPr>
        <w:t>建设项目基本情况</w:t>
      </w:r>
      <w:r>
        <w:rPr>
          <w:rFonts w:hint="eastAsia" w:ascii="Times New Roman" w:hAnsi="Times New Roman" w:eastAsia="黑体"/>
          <w:snapToGrid w:val="0"/>
          <w:sz w:val="30"/>
          <w:szCs w:val="30"/>
        </w:rPr>
        <w:t>）</w:t>
      </w:r>
    </w:p>
    <w:tbl>
      <w:tblPr>
        <w:tblStyle w:val="46"/>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376"/>
        <w:gridCol w:w="2691"/>
        <w:gridCol w:w="2206"/>
        <w:gridCol w:w="2799"/>
      </w:tblGrid>
      <w:tr w14:paraId="5658E3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1376" w:type="dxa"/>
            <w:tcMar>
              <w:top w:w="16" w:type="dxa"/>
              <w:left w:w="16" w:type="dxa"/>
              <w:right w:w="16" w:type="dxa"/>
            </w:tcMar>
            <w:vAlign w:val="center"/>
          </w:tcPr>
          <w:p w14:paraId="7522AD0F">
            <w:pPr>
              <w:adjustRightInd w:val="0"/>
              <w:snapToGrid w:val="0"/>
              <w:jc w:val="center"/>
              <w:rPr>
                <w:szCs w:val="21"/>
              </w:rPr>
            </w:pPr>
            <w:r>
              <w:rPr>
                <w:szCs w:val="21"/>
              </w:rPr>
              <w:t>建设项目名称</w:t>
            </w:r>
          </w:p>
        </w:tc>
        <w:tc>
          <w:tcPr>
            <w:tcW w:w="7696" w:type="dxa"/>
            <w:gridSpan w:val="3"/>
            <w:vAlign w:val="center"/>
          </w:tcPr>
          <w:p w14:paraId="4E560DB6">
            <w:pPr>
              <w:adjustRightInd w:val="0"/>
              <w:snapToGrid w:val="0"/>
              <w:jc w:val="center"/>
              <w:rPr>
                <w:bCs/>
                <w:szCs w:val="21"/>
              </w:rPr>
            </w:pPr>
            <w:r>
              <w:rPr>
                <w:bCs/>
                <w:szCs w:val="21"/>
              </w:rPr>
              <w:t>二期年产25万吨超仿真差别化功能性纤维项目</w:t>
            </w:r>
            <w:r>
              <w:rPr>
                <w:rFonts w:hint="eastAsia"/>
                <w:bCs/>
                <w:szCs w:val="21"/>
              </w:rPr>
              <w:t>和</w:t>
            </w:r>
            <w:r>
              <w:rPr>
                <w:bCs/>
                <w:szCs w:val="21"/>
              </w:rPr>
              <w:t>三期年产30万吨超仿真功能性低碳纤维项目</w:t>
            </w:r>
          </w:p>
        </w:tc>
      </w:tr>
      <w:tr w14:paraId="047B1C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6" w:type="dxa"/>
            <w:tcMar>
              <w:top w:w="16" w:type="dxa"/>
              <w:left w:w="16" w:type="dxa"/>
              <w:right w:w="16" w:type="dxa"/>
            </w:tcMar>
            <w:vAlign w:val="center"/>
          </w:tcPr>
          <w:p w14:paraId="2B14AED5">
            <w:pPr>
              <w:adjustRightInd w:val="0"/>
              <w:snapToGrid w:val="0"/>
              <w:jc w:val="center"/>
              <w:rPr>
                <w:szCs w:val="21"/>
              </w:rPr>
            </w:pPr>
            <w:r>
              <w:rPr>
                <w:szCs w:val="21"/>
              </w:rPr>
              <w:t>项目代码</w:t>
            </w:r>
          </w:p>
        </w:tc>
        <w:tc>
          <w:tcPr>
            <w:tcW w:w="7696" w:type="dxa"/>
            <w:gridSpan w:val="3"/>
            <w:vAlign w:val="center"/>
          </w:tcPr>
          <w:p w14:paraId="5383DB26">
            <w:pPr>
              <w:adjustRightInd w:val="0"/>
              <w:snapToGrid w:val="0"/>
              <w:jc w:val="center"/>
              <w:rPr>
                <w:szCs w:val="21"/>
              </w:rPr>
            </w:pPr>
            <w:r>
              <w:rPr>
                <w:szCs w:val="21"/>
              </w:rPr>
              <w:t>2107-321362-89-01-808199、2501-321362-89-01-422772</w:t>
            </w:r>
          </w:p>
        </w:tc>
      </w:tr>
      <w:tr w14:paraId="70AD46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6" w:type="dxa"/>
            <w:tcMar>
              <w:top w:w="16" w:type="dxa"/>
              <w:left w:w="16" w:type="dxa"/>
              <w:right w:w="16" w:type="dxa"/>
            </w:tcMar>
            <w:vAlign w:val="center"/>
          </w:tcPr>
          <w:p w14:paraId="01FC1AA5">
            <w:pPr>
              <w:adjustRightInd w:val="0"/>
              <w:snapToGrid w:val="0"/>
              <w:jc w:val="center"/>
              <w:rPr>
                <w:szCs w:val="21"/>
              </w:rPr>
            </w:pPr>
            <w:r>
              <w:rPr>
                <w:szCs w:val="21"/>
              </w:rPr>
              <w:t>建设单位联系人</w:t>
            </w:r>
          </w:p>
        </w:tc>
        <w:tc>
          <w:tcPr>
            <w:tcW w:w="2691" w:type="dxa"/>
            <w:vAlign w:val="center"/>
          </w:tcPr>
          <w:p w14:paraId="3F96CCE9">
            <w:pPr>
              <w:pStyle w:val="74"/>
              <w:jc w:val="center"/>
              <w:rPr>
                <w:rFonts w:hint="default" w:eastAsia="宋体"/>
                <w:szCs w:val="21"/>
                <w:lang w:val="en-US" w:eastAsia="zh-CN"/>
              </w:rPr>
            </w:pPr>
            <w:r>
              <w:rPr>
                <w:rFonts w:hint="eastAsia"/>
                <w:szCs w:val="21"/>
                <w:lang w:val="en-US" w:eastAsia="zh-CN"/>
              </w:rPr>
              <w:t>**</w:t>
            </w:r>
          </w:p>
        </w:tc>
        <w:tc>
          <w:tcPr>
            <w:tcW w:w="2206" w:type="dxa"/>
            <w:vAlign w:val="center"/>
          </w:tcPr>
          <w:p w14:paraId="173FDD7E">
            <w:pPr>
              <w:adjustRightInd w:val="0"/>
              <w:snapToGrid w:val="0"/>
              <w:jc w:val="center"/>
              <w:rPr>
                <w:szCs w:val="21"/>
              </w:rPr>
            </w:pPr>
            <w:r>
              <w:rPr>
                <w:szCs w:val="21"/>
              </w:rPr>
              <w:t>联系方式</w:t>
            </w:r>
          </w:p>
        </w:tc>
        <w:tc>
          <w:tcPr>
            <w:tcW w:w="2799" w:type="dxa"/>
            <w:vAlign w:val="center"/>
          </w:tcPr>
          <w:p w14:paraId="0820E2E6">
            <w:pPr>
              <w:adjustRightInd w:val="0"/>
              <w:snapToGrid w:val="0"/>
              <w:jc w:val="center"/>
              <w:rPr>
                <w:rFonts w:hint="default" w:eastAsia="宋体"/>
                <w:szCs w:val="21"/>
                <w:lang w:val="en-US" w:eastAsia="zh-CN"/>
              </w:rPr>
            </w:pPr>
            <w:r>
              <w:rPr>
                <w:rFonts w:hint="eastAsia"/>
                <w:szCs w:val="21"/>
                <w:lang w:val="en-US" w:eastAsia="zh-CN"/>
              </w:rPr>
              <w:t>***</w:t>
            </w:r>
            <w:bookmarkStart w:id="54" w:name="_GoBack"/>
            <w:bookmarkEnd w:id="54"/>
          </w:p>
        </w:tc>
      </w:tr>
      <w:tr w14:paraId="7F8C89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6" w:type="dxa"/>
            <w:shd w:val="clear" w:color="auto" w:fill="auto"/>
            <w:tcMar>
              <w:top w:w="16" w:type="dxa"/>
              <w:left w:w="16" w:type="dxa"/>
              <w:right w:w="16" w:type="dxa"/>
            </w:tcMar>
            <w:vAlign w:val="center"/>
          </w:tcPr>
          <w:p w14:paraId="4285F258">
            <w:pPr>
              <w:adjustRightInd w:val="0"/>
              <w:snapToGrid w:val="0"/>
              <w:jc w:val="center"/>
              <w:rPr>
                <w:szCs w:val="21"/>
              </w:rPr>
            </w:pPr>
            <w:r>
              <w:rPr>
                <w:szCs w:val="21"/>
              </w:rPr>
              <w:t>建设地点</w:t>
            </w:r>
          </w:p>
        </w:tc>
        <w:tc>
          <w:tcPr>
            <w:tcW w:w="7696" w:type="dxa"/>
            <w:gridSpan w:val="3"/>
            <w:vAlign w:val="center"/>
          </w:tcPr>
          <w:p w14:paraId="27AEFF80">
            <w:pPr>
              <w:adjustRightInd w:val="0"/>
              <w:snapToGrid w:val="0"/>
              <w:jc w:val="center"/>
              <w:rPr>
                <w:szCs w:val="21"/>
              </w:rPr>
            </w:pPr>
            <w:bookmarkStart w:id="3" w:name="_Hlk195284486"/>
            <w:r>
              <w:rPr>
                <w:szCs w:val="21"/>
              </w:rPr>
              <w:t>江苏省宿迁市泗阳经济开发区 343国道东侧、意杨大道南侧</w:t>
            </w:r>
            <w:bookmarkEnd w:id="3"/>
          </w:p>
        </w:tc>
      </w:tr>
      <w:tr w14:paraId="3DA7C1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6" w:type="dxa"/>
            <w:tcMar>
              <w:top w:w="16" w:type="dxa"/>
              <w:left w:w="16" w:type="dxa"/>
              <w:right w:w="16" w:type="dxa"/>
            </w:tcMar>
            <w:vAlign w:val="center"/>
          </w:tcPr>
          <w:p w14:paraId="4D8B5458">
            <w:pPr>
              <w:adjustRightInd w:val="0"/>
              <w:snapToGrid w:val="0"/>
              <w:jc w:val="center"/>
              <w:rPr>
                <w:szCs w:val="21"/>
              </w:rPr>
            </w:pPr>
            <w:r>
              <w:rPr>
                <w:szCs w:val="21"/>
              </w:rPr>
              <w:t>地理坐标</w:t>
            </w:r>
          </w:p>
        </w:tc>
        <w:tc>
          <w:tcPr>
            <w:tcW w:w="7696" w:type="dxa"/>
            <w:gridSpan w:val="3"/>
            <w:vAlign w:val="center"/>
          </w:tcPr>
          <w:p w14:paraId="752F9659">
            <w:pPr>
              <w:jc w:val="center"/>
              <w:rPr>
                <w:szCs w:val="21"/>
              </w:rPr>
            </w:pPr>
            <w:r>
              <w:rPr>
                <w:szCs w:val="21"/>
                <w:u w:val="single"/>
              </w:rPr>
              <w:t>118</w:t>
            </w:r>
            <w:r>
              <w:rPr>
                <w:szCs w:val="21"/>
              </w:rPr>
              <w:t>度</w:t>
            </w:r>
            <w:r>
              <w:rPr>
                <w:szCs w:val="21"/>
                <w:u w:val="single"/>
              </w:rPr>
              <w:t>38</w:t>
            </w:r>
            <w:r>
              <w:rPr>
                <w:szCs w:val="21"/>
              </w:rPr>
              <w:t>分</w:t>
            </w:r>
            <w:r>
              <w:rPr>
                <w:szCs w:val="21"/>
                <w:u w:val="single"/>
              </w:rPr>
              <w:t>24.41</w:t>
            </w:r>
            <w:r>
              <w:rPr>
                <w:szCs w:val="21"/>
              </w:rPr>
              <w:t>秒，</w:t>
            </w:r>
            <w:r>
              <w:rPr>
                <w:szCs w:val="21"/>
                <w:u w:val="single"/>
              </w:rPr>
              <w:t>33</w:t>
            </w:r>
            <w:r>
              <w:rPr>
                <w:szCs w:val="21"/>
              </w:rPr>
              <w:t>度</w:t>
            </w:r>
            <w:r>
              <w:rPr>
                <w:szCs w:val="21"/>
                <w:u w:val="single"/>
              </w:rPr>
              <w:t>41</w:t>
            </w:r>
            <w:r>
              <w:rPr>
                <w:szCs w:val="21"/>
              </w:rPr>
              <w:t>分</w:t>
            </w:r>
            <w:r>
              <w:rPr>
                <w:szCs w:val="21"/>
                <w:u w:val="single"/>
              </w:rPr>
              <w:t>7.27</w:t>
            </w:r>
            <w:r>
              <w:rPr>
                <w:szCs w:val="21"/>
              </w:rPr>
              <w:t>秒</w:t>
            </w:r>
          </w:p>
        </w:tc>
      </w:tr>
      <w:tr w14:paraId="77F1D0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376" w:type="dxa"/>
            <w:tcMar>
              <w:top w:w="16" w:type="dxa"/>
              <w:left w:w="16" w:type="dxa"/>
              <w:right w:w="16" w:type="dxa"/>
            </w:tcMar>
            <w:vAlign w:val="center"/>
          </w:tcPr>
          <w:p w14:paraId="67A8DEEF">
            <w:pPr>
              <w:adjustRightInd w:val="0"/>
              <w:snapToGrid w:val="0"/>
              <w:jc w:val="center"/>
              <w:rPr>
                <w:szCs w:val="21"/>
              </w:rPr>
            </w:pPr>
            <w:r>
              <w:rPr>
                <w:szCs w:val="21"/>
              </w:rPr>
              <w:t>国民经济</w:t>
            </w:r>
          </w:p>
          <w:p w14:paraId="547D6FC2">
            <w:pPr>
              <w:adjustRightInd w:val="0"/>
              <w:snapToGrid w:val="0"/>
              <w:jc w:val="center"/>
              <w:rPr>
                <w:szCs w:val="21"/>
              </w:rPr>
            </w:pPr>
            <w:r>
              <w:rPr>
                <w:szCs w:val="21"/>
              </w:rPr>
              <w:t>行业类别</w:t>
            </w:r>
          </w:p>
        </w:tc>
        <w:tc>
          <w:tcPr>
            <w:tcW w:w="2691" w:type="dxa"/>
            <w:vAlign w:val="center"/>
          </w:tcPr>
          <w:p w14:paraId="6198CABF">
            <w:pPr>
              <w:adjustRightInd w:val="0"/>
              <w:snapToGrid w:val="0"/>
              <w:jc w:val="center"/>
              <w:rPr>
                <w:bCs/>
                <w:szCs w:val="21"/>
              </w:rPr>
            </w:pPr>
            <w:r>
              <w:rPr>
                <w:bCs/>
                <w:szCs w:val="21"/>
              </w:rPr>
              <w:t>C2822 涤纶纤维制造、N7723 固体废物治理</w:t>
            </w:r>
          </w:p>
          <w:p w14:paraId="6B3545C2">
            <w:pPr>
              <w:adjustRightInd w:val="0"/>
              <w:snapToGrid w:val="0"/>
              <w:jc w:val="center"/>
              <w:rPr>
                <w:bCs/>
                <w:szCs w:val="21"/>
              </w:rPr>
            </w:pPr>
          </w:p>
        </w:tc>
        <w:tc>
          <w:tcPr>
            <w:tcW w:w="2206" w:type="dxa"/>
            <w:vAlign w:val="center"/>
          </w:tcPr>
          <w:p w14:paraId="75C20CF9">
            <w:pPr>
              <w:adjustRightInd w:val="0"/>
              <w:snapToGrid w:val="0"/>
              <w:jc w:val="center"/>
              <w:rPr>
                <w:szCs w:val="21"/>
              </w:rPr>
            </w:pPr>
            <w:bookmarkStart w:id="4" w:name="_Hlk49843745"/>
            <w:r>
              <w:rPr>
                <w:szCs w:val="21"/>
              </w:rPr>
              <w:t>建设项目</w:t>
            </w:r>
          </w:p>
          <w:p w14:paraId="3078A312">
            <w:pPr>
              <w:adjustRightInd w:val="0"/>
              <w:snapToGrid w:val="0"/>
              <w:jc w:val="center"/>
              <w:rPr>
                <w:szCs w:val="21"/>
              </w:rPr>
            </w:pPr>
            <w:r>
              <w:rPr>
                <w:szCs w:val="21"/>
              </w:rPr>
              <w:t>行业类别</w:t>
            </w:r>
            <w:bookmarkEnd w:id="4"/>
          </w:p>
        </w:tc>
        <w:tc>
          <w:tcPr>
            <w:tcW w:w="2799" w:type="dxa"/>
            <w:vAlign w:val="center"/>
          </w:tcPr>
          <w:p w14:paraId="1F14B1B3">
            <w:pPr>
              <w:pStyle w:val="74"/>
              <w:jc w:val="center"/>
              <w:rPr>
                <w:bCs/>
                <w:szCs w:val="21"/>
              </w:rPr>
            </w:pPr>
            <w:r>
              <w:rPr>
                <w:bCs/>
                <w:szCs w:val="21"/>
              </w:rPr>
              <w:t xml:space="preserve">二十五、化学纤维制造业 28中“合成纤维制造 282”中“单纯纺丝制造”的；四十七、生态保护和环境治理业 103 一般工业固体废物（含污水处理污泥）、建筑施工废弃物处置及综合利用一其他； </w:t>
            </w:r>
          </w:p>
        </w:tc>
      </w:tr>
      <w:tr w14:paraId="0B8FDF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376" w:type="dxa"/>
            <w:tcMar>
              <w:top w:w="16" w:type="dxa"/>
              <w:left w:w="16" w:type="dxa"/>
              <w:right w:w="16" w:type="dxa"/>
            </w:tcMar>
            <w:vAlign w:val="center"/>
          </w:tcPr>
          <w:p w14:paraId="12D5F2D7">
            <w:pPr>
              <w:adjustRightInd w:val="0"/>
              <w:snapToGrid w:val="0"/>
              <w:jc w:val="center"/>
              <w:rPr>
                <w:szCs w:val="21"/>
              </w:rPr>
            </w:pPr>
            <w:r>
              <w:rPr>
                <w:szCs w:val="21"/>
              </w:rPr>
              <w:t>建设性质</w:t>
            </w:r>
          </w:p>
        </w:tc>
        <w:tc>
          <w:tcPr>
            <w:tcW w:w="2691" w:type="dxa"/>
            <w:vAlign w:val="center"/>
          </w:tcPr>
          <w:p w14:paraId="34D1E4B8">
            <w:pPr>
              <w:jc w:val="left"/>
              <w:rPr>
                <w:szCs w:val="21"/>
              </w:rPr>
            </w:pPr>
            <w:r>
              <w:rPr>
                <w:szCs w:val="21"/>
              </w:rPr>
              <w:sym w:font="Wingdings 2" w:char="00A3"/>
            </w:r>
            <w:r>
              <w:rPr>
                <w:szCs w:val="21"/>
              </w:rPr>
              <w:t>新建（迁建）</w:t>
            </w:r>
          </w:p>
          <w:p w14:paraId="73402CAD">
            <w:pPr>
              <w:jc w:val="left"/>
              <w:rPr>
                <w:szCs w:val="21"/>
              </w:rPr>
            </w:pPr>
            <w:r>
              <w:rPr>
                <w:szCs w:val="21"/>
              </w:rPr>
              <w:sym w:font="Wingdings 2" w:char="00A3"/>
            </w:r>
            <w:r>
              <w:rPr>
                <w:szCs w:val="21"/>
              </w:rPr>
              <w:t>改建</w:t>
            </w:r>
          </w:p>
          <w:p w14:paraId="7FFECDC6">
            <w:pPr>
              <w:jc w:val="left"/>
              <w:rPr>
                <w:szCs w:val="21"/>
              </w:rPr>
            </w:pPr>
            <w:r>
              <w:rPr>
                <w:szCs w:val="21"/>
              </w:rPr>
              <w:sym w:font="Wingdings 2" w:char="0052"/>
            </w:r>
            <w:r>
              <w:rPr>
                <w:szCs w:val="21"/>
              </w:rPr>
              <w:t>扩建</w:t>
            </w:r>
          </w:p>
          <w:p w14:paraId="6D29188B">
            <w:pPr>
              <w:jc w:val="left"/>
              <w:rPr>
                <w:szCs w:val="21"/>
              </w:rPr>
            </w:pPr>
            <w:r>
              <w:rPr>
                <w:szCs w:val="21"/>
              </w:rPr>
              <w:sym w:font="Wingdings 2" w:char="00A3"/>
            </w:r>
            <w:r>
              <w:rPr>
                <w:szCs w:val="21"/>
              </w:rPr>
              <w:t>技术改造</w:t>
            </w:r>
          </w:p>
        </w:tc>
        <w:tc>
          <w:tcPr>
            <w:tcW w:w="2206" w:type="dxa"/>
            <w:vAlign w:val="center"/>
          </w:tcPr>
          <w:p w14:paraId="5C9F70D3">
            <w:pPr>
              <w:adjustRightInd w:val="0"/>
              <w:snapToGrid w:val="0"/>
              <w:jc w:val="center"/>
              <w:rPr>
                <w:szCs w:val="21"/>
              </w:rPr>
            </w:pPr>
            <w:r>
              <w:rPr>
                <w:szCs w:val="21"/>
              </w:rPr>
              <w:t>建设项目</w:t>
            </w:r>
          </w:p>
          <w:p w14:paraId="6BB830E2">
            <w:pPr>
              <w:adjustRightInd w:val="0"/>
              <w:snapToGrid w:val="0"/>
              <w:jc w:val="center"/>
              <w:rPr>
                <w:szCs w:val="21"/>
              </w:rPr>
            </w:pPr>
            <w:r>
              <w:rPr>
                <w:szCs w:val="21"/>
              </w:rPr>
              <w:t>申报情形</w:t>
            </w:r>
          </w:p>
        </w:tc>
        <w:tc>
          <w:tcPr>
            <w:tcW w:w="2799" w:type="dxa"/>
            <w:vAlign w:val="center"/>
          </w:tcPr>
          <w:p w14:paraId="14382CF7">
            <w:pPr>
              <w:jc w:val="left"/>
              <w:rPr>
                <w:szCs w:val="21"/>
              </w:rPr>
            </w:pPr>
            <w:r>
              <w:rPr>
                <w:szCs w:val="21"/>
              </w:rPr>
              <w:sym w:font="Wingdings 2" w:char="0052"/>
            </w:r>
            <w:r>
              <w:rPr>
                <w:szCs w:val="21"/>
              </w:rPr>
              <w:t xml:space="preserve">首次申报项目             </w:t>
            </w:r>
          </w:p>
          <w:p w14:paraId="4A21B1B5">
            <w:pPr>
              <w:jc w:val="left"/>
              <w:rPr>
                <w:szCs w:val="21"/>
              </w:rPr>
            </w:pPr>
            <w:r>
              <w:rPr>
                <w:szCs w:val="21"/>
              </w:rPr>
              <w:sym w:font="Wingdings 2" w:char="00A3"/>
            </w:r>
            <w:r>
              <w:rPr>
                <w:szCs w:val="21"/>
              </w:rPr>
              <w:t>不予批准后再次申报项目</w:t>
            </w:r>
          </w:p>
          <w:p w14:paraId="09AB4C84">
            <w:pPr>
              <w:jc w:val="left"/>
              <w:rPr>
                <w:szCs w:val="21"/>
              </w:rPr>
            </w:pPr>
            <w:r>
              <w:rPr>
                <w:szCs w:val="21"/>
              </w:rPr>
              <w:sym w:font="Wingdings 2" w:char="00A3"/>
            </w:r>
            <w:r>
              <w:rPr>
                <w:szCs w:val="21"/>
              </w:rPr>
              <w:t xml:space="preserve">超五年重新审核项目     </w:t>
            </w:r>
          </w:p>
          <w:p w14:paraId="0BA31CAD">
            <w:pPr>
              <w:jc w:val="left"/>
              <w:rPr>
                <w:szCs w:val="21"/>
              </w:rPr>
            </w:pPr>
            <w:r>
              <w:rPr>
                <w:szCs w:val="21"/>
              </w:rPr>
              <w:sym w:font="Wingdings 2" w:char="00A3"/>
            </w:r>
            <w:r>
              <w:rPr>
                <w:szCs w:val="21"/>
              </w:rPr>
              <w:t>重大变动重新报批项目</w:t>
            </w:r>
          </w:p>
        </w:tc>
      </w:tr>
      <w:tr w14:paraId="352287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376" w:type="dxa"/>
            <w:tcMar>
              <w:top w:w="16" w:type="dxa"/>
              <w:left w:w="16" w:type="dxa"/>
              <w:right w:w="16" w:type="dxa"/>
            </w:tcMar>
            <w:vAlign w:val="center"/>
          </w:tcPr>
          <w:p w14:paraId="29811C97">
            <w:pPr>
              <w:adjustRightInd w:val="0"/>
              <w:snapToGrid w:val="0"/>
              <w:jc w:val="center"/>
              <w:rPr>
                <w:szCs w:val="21"/>
              </w:rPr>
            </w:pPr>
            <w:r>
              <w:rPr>
                <w:szCs w:val="21"/>
              </w:rPr>
              <w:t>项目审批</w:t>
            </w:r>
          </w:p>
          <w:p w14:paraId="59328EF1">
            <w:pPr>
              <w:adjustRightInd w:val="0"/>
              <w:snapToGrid w:val="0"/>
              <w:jc w:val="center"/>
              <w:rPr>
                <w:szCs w:val="21"/>
              </w:rPr>
            </w:pPr>
            <w:r>
              <w:rPr>
                <w:szCs w:val="21"/>
              </w:rPr>
              <w:t>（核准/</w:t>
            </w:r>
          </w:p>
          <w:p w14:paraId="03A29556">
            <w:pPr>
              <w:adjustRightInd w:val="0"/>
              <w:snapToGrid w:val="0"/>
              <w:jc w:val="center"/>
              <w:rPr>
                <w:szCs w:val="21"/>
              </w:rPr>
            </w:pPr>
            <w:r>
              <w:rPr>
                <w:szCs w:val="21"/>
              </w:rPr>
              <w:t>备案）部门</w:t>
            </w:r>
          </w:p>
          <w:p w14:paraId="0F47B94B">
            <w:pPr>
              <w:adjustRightInd w:val="0"/>
              <w:snapToGrid w:val="0"/>
              <w:jc w:val="center"/>
              <w:rPr>
                <w:szCs w:val="21"/>
              </w:rPr>
            </w:pPr>
            <w:r>
              <w:rPr>
                <w:szCs w:val="21"/>
              </w:rPr>
              <w:t>（选填）</w:t>
            </w:r>
          </w:p>
        </w:tc>
        <w:tc>
          <w:tcPr>
            <w:tcW w:w="2691" w:type="dxa"/>
            <w:vAlign w:val="center"/>
          </w:tcPr>
          <w:p w14:paraId="4D9C3CCD">
            <w:pPr>
              <w:pStyle w:val="74"/>
              <w:jc w:val="center"/>
              <w:rPr>
                <w:szCs w:val="21"/>
              </w:rPr>
            </w:pPr>
            <w:r>
              <w:rPr>
                <w:szCs w:val="21"/>
              </w:rPr>
              <w:t>泗阳县行政审批局</w:t>
            </w:r>
          </w:p>
        </w:tc>
        <w:tc>
          <w:tcPr>
            <w:tcW w:w="2206" w:type="dxa"/>
            <w:vAlign w:val="center"/>
          </w:tcPr>
          <w:p w14:paraId="7DD5540B">
            <w:pPr>
              <w:adjustRightInd w:val="0"/>
              <w:snapToGrid w:val="0"/>
              <w:jc w:val="center"/>
              <w:rPr>
                <w:szCs w:val="21"/>
              </w:rPr>
            </w:pPr>
            <w:r>
              <w:rPr>
                <w:szCs w:val="21"/>
              </w:rPr>
              <w:t>项目审批（核准/</w:t>
            </w:r>
          </w:p>
          <w:p w14:paraId="7C062673">
            <w:pPr>
              <w:adjustRightInd w:val="0"/>
              <w:snapToGrid w:val="0"/>
              <w:jc w:val="center"/>
              <w:rPr>
                <w:szCs w:val="21"/>
              </w:rPr>
            </w:pPr>
            <w:r>
              <w:rPr>
                <w:szCs w:val="21"/>
              </w:rPr>
              <w:t>备案）文号（选填）</w:t>
            </w:r>
          </w:p>
        </w:tc>
        <w:tc>
          <w:tcPr>
            <w:tcW w:w="2799" w:type="dxa"/>
            <w:vAlign w:val="center"/>
          </w:tcPr>
          <w:p w14:paraId="12FDFEBE">
            <w:pPr>
              <w:pStyle w:val="74"/>
              <w:jc w:val="center"/>
              <w:rPr>
                <w:szCs w:val="21"/>
              </w:rPr>
            </w:pPr>
            <w:r>
              <w:rPr>
                <w:szCs w:val="21"/>
              </w:rPr>
              <w:t>泗经开备(2024)156号、泗经开备(2025)24号</w:t>
            </w:r>
          </w:p>
        </w:tc>
      </w:tr>
      <w:tr w14:paraId="4C629D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6" w:type="dxa"/>
            <w:tcMar>
              <w:top w:w="16" w:type="dxa"/>
              <w:left w:w="16" w:type="dxa"/>
              <w:right w:w="16" w:type="dxa"/>
            </w:tcMar>
            <w:vAlign w:val="center"/>
          </w:tcPr>
          <w:p w14:paraId="08AE8639">
            <w:pPr>
              <w:adjustRightInd w:val="0"/>
              <w:snapToGrid w:val="0"/>
              <w:jc w:val="center"/>
              <w:rPr>
                <w:szCs w:val="21"/>
              </w:rPr>
            </w:pPr>
            <w:r>
              <w:rPr>
                <w:szCs w:val="21"/>
              </w:rPr>
              <w:t>总投资（万元）</w:t>
            </w:r>
          </w:p>
        </w:tc>
        <w:tc>
          <w:tcPr>
            <w:tcW w:w="2691" w:type="dxa"/>
            <w:vAlign w:val="center"/>
          </w:tcPr>
          <w:p w14:paraId="2A5FF0FB">
            <w:pPr>
              <w:pStyle w:val="74"/>
              <w:jc w:val="center"/>
              <w:rPr>
                <w:szCs w:val="21"/>
              </w:rPr>
            </w:pPr>
            <w:bookmarkStart w:id="5" w:name="OLE_LINK24"/>
            <w:r>
              <w:rPr>
                <w:szCs w:val="21"/>
              </w:rPr>
              <w:t>总投资：350352.1，</w:t>
            </w:r>
            <w:r>
              <w:rPr>
                <w:b/>
                <w:bCs/>
                <w:szCs w:val="21"/>
              </w:rPr>
              <w:t>纺丝及废丝回收部分（本次评价部分）250352.1</w:t>
            </w:r>
            <w:r>
              <w:rPr>
                <w:szCs w:val="21"/>
              </w:rPr>
              <w:t>，聚酯部分100000</w:t>
            </w:r>
            <w:bookmarkEnd w:id="5"/>
          </w:p>
        </w:tc>
        <w:tc>
          <w:tcPr>
            <w:tcW w:w="2206" w:type="dxa"/>
            <w:tcMar>
              <w:top w:w="16" w:type="dxa"/>
              <w:left w:w="16" w:type="dxa"/>
              <w:right w:w="16" w:type="dxa"/>
            </w:tcMar>
            <w:vAlign w:val="center"/>
          </w:tcPr>
          <w:p w14:paraId="3DAC9078">
            <w:pPr>
              <w:adjustRightInd w:val="0"/>
              <w:snapToGrid w:val="0"/>
              <w:jc w:val="center"/>
              <w:rPr>
                <w:szCs w:val="21"/>
              </w:rPr>
            </w:pPr>
            <w:r>
              <w:rPr>
                <w:szCs w:val="21"/>
              </w:rPr>
              <w:t>环保投资（万元）</w:t>
            </w:r>
          </w:p>
        </w:tc>
        <w:tc>
          <w:tcPr>
            <w:tcW w:w="2799" w:type="dxa"/>
            <w:vAlign w:val="center"/>
          </w:tcPr>
          <w:p w14:paraId="202F29C8">
            <w:pPr>
              <w:pStyle w:val="74"/>
              <w:jc w:val="center"/>
              <w:rPr>
                <w:szCs w:val="21"/>
              </w:rPr>
            </w:pPr>
            <w:r>
              <w:rPr>
                <w:szCs w:val="21"/>
              </w:rPr>
              <w:t>400</w:t>
            </w:r>
          </w:p>
        </w:tc>
      </w:tr>
      <w:tr w14:paraId="44C33C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6" w:type="dxa"/>
            <w:tcMar>
              <w:top w:w="16" w:type="dxa"/>
              <w:left w:w="16" w:type="dxa"/>
              <w:right w:w="16" w:type="dxa"/>
            </w:tcMar>
            <w:vAlign w:val="center"/>
          </w:tcPr>
          <w:p w14:paraId="7E40E1AE">
            <w:pPr>
              <w:adjustRightInd w:val="0"/>
              <w:snapToGrid w:val="0"/>
              <w:jc w:val="center"/>
              <w:rPr>
                <w:szCs w:val="21"/>
              </w:rPr>
            </w:pPr>
            <w:r>
              <w:rPr>
                <w:szCs w:val="21"/>
              </w:rPr>
              <w:t>环保投资占比（%）</w:t>
            </w:r>
          </w:p>
        </w:tc>
        <w:tc>
          <w:tcPr>
            <w:tcW w:w="2691" w:type="dxa"/>
            <w:vAlign w:val="center"/>
          </w:tcPr>
          <w:p w14:paraId="1A1EDA88">
            <w:pPr>
              <w:adjustRightInd w:val="0"/>
              <w:snapToGrid w:val="0"/>
              <w:jc w:val="center"/>
              <w:rPr>
                <w:szCs w:val="21"/>
              </w:rPr>
            </w:pPr>
            <w:r>
              <w:rPr>
                <w:szCs w:val="21"/>
              </w:rPr>
              <w:t>0.02%</w:t>
            </w:r>
          </w:p>
        </w:tc>
        <w:tc>
          <w:tcPr>
            <w:tcW w:w="2206" w:type="dxa"/>
            <w:tcMar>
              <w:top w:w="16" w:type="dxa"/>
              <w:left w:w="16" w:type="dxa"/>
              <w:right w:w="16" w:type="dxa"/>
            </w:tcMar>
            <w:vAlign w:val="center"/>
          </w:tcPr>
          <w:p w14:paraId="2CB252DF">
            <w:pPr>
              <w:adjustRightInd w:val="0"/>
              <w:snapToGrid w:val="0"/>
              <w:jc w:val="center"/>
              <w:rPr>
                <w:szCs w:val="21"/>
              </w:rPr>
            </w:pPr>
            <w:r>
              <w:rPr>
                <w:szCs w:val="21"/>
              </w:rPr>
              <w:t>施工工期</w:t>
            </w:r>
          </w:p>
        </w:tc>
        <w:tc>
          <w:tcPr>
            <w:tcW w:w="2799" w:type="dxa"/>
            <w:vAlign w:val="center"/>
          </w:tcPr>
          <w:p w14:paraId="50220915">
            <w:pPr>
              <w:pStyle w:val="74"/>
              <w:jc w:val="center"/>
              <w:rPr>
                <w:szCs w:val="21"/>
              </w:rPr>
            </w:pPr>
            <w:r>
              <w:rPr>
                <w:szCs w:val="21"/>
              </w:rPr>
              <w:t>12个月</w:t>
            </w:r>
          </w:p>
        </w:tc>
      </w:tr>
      <w:tr w14:paraId="0F295B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6" w:type="dxa"/>
            <w:tcMar>
              <w:top w:w="16" w:type="dxa"/>
              <w:left w:w="16" w:type="dxa"/>
              <w:right w:w="16" w:type="dxa"/>
            </w:tcMar>
            <w:vAlign w:val="center"/>
          </w:tcPr>
          <w:p w14:paraId="11014E76">
            <w:pPr>
              <w:adjustRightInd w:val="0"/>
              <w:snapToGrid w:val="0"/>
              <w:jc w:val="center"/>
              <w:rPr>
                <w:szCs w:val="21"/>
              </w:rPr>
            </w:pPr>
            <w:r>
              <w:rPr>
                <w:szCs w:val="21"/>
              </w:rPr>
              <w:t>是否开工建设</w:t>
            </w:r>
          </w:p>
        </w:tc>
        <w:tc>
          <w:tcPr>
            <w:tcW w:w="2691" w:type="dxa"/>
            <w:vAlign w:val="center"/>
          </w:tcPr>
          <w:p w14:paraId="7A2BB63E">
            <w:pPr>
              <w:adjustRightInd w:val="0"/>
              <w:snapToGrid w:val="0"/>
              <w:rPr>
                <w:szCs w:val="21"/>
              </w:rPr>
            </w:pPr>
            <w:r>
              <w:rPr>
                <w:szCs w:val="21"/>
              </w:rPr>
              <w:sym w:font="Wingdings 2" w:char="0052"/>
            </w:r>
            <w:r>
              <w:rPr>
                <w:szCs w:val="21"/>
              </w:rPr>
              <w:t xml:space="preserve">否       </w:t>
            </w:r>
            <w:r>
              <w:rPr>
                <w:szCs w:val="21"/>
              </w:rPr>
              <w:sym w:font="Wingdings 2" w:char="00A3"/>
            </w:r>
            <w:r>
              <w:rPr>
                <w:szCs w:val="21"/>
              </w:rPr>
              <w:t>是</w:t>
            </w:r>
          </w:p>
        </w:tc>
        <w:tc>
          <w:tcPr>
            <w:tcW w:w="2206" w:type="dxa"/>
            <w:tcMar>
              <w:top w:w="16" w:type="dxa"/>
              <w:left w:w="16" w:type="dxa"/>
              <w:right w:w="16" w:type="dxa"/>
            </w:tcMar>
            <w:vAlign w:val="center"/>
          </w:tcPr>
          <w:p w14:paraId="79FB5D42">
            <w:pPr>
              <w:adjustRightInd w:val="0"/>
              <w:snapToGrid w:val="0"/>
              <w:jc w:val="center"/>
              <w:rPr>
                <w:spacing w:val="-6"/>
                <w:szCs w:val="21"/>
              </w:rPr>
            </w:pPr>
            <w:r>
              <w:rPr>
                <w:spacing w:val="-6"/>
                <w:szCs w:val="21"/>
              </w:rPr>
              <w:t>用地（用海）</w:t>
            </w:r>
          </w:p>
          <w:p w14:paraId="3B35AD2E">
            <w:pPr>
              <w:adjustRightInd w:val="0"/>
              <w:snapToGrid w:val="0"/>
              <w:jc w:val="center"/>
              <w:rPr>
                <w:szCs w:val="21"/>
              </w:rPr>
            </w:pPr>
            <w:r>
              <w:rPr>
                <w:spacing w:val="-6"/>
                <w:szCs w:val="21"/>
              </w:rPr>
              <w:t>面积（m</w:t>
            </w:r>
            <w:r>
              <w:rPr>
                <w:spacing w:val="-6"/>
                <w:szCs w:val="21"/>
                <w:vertAlign w:val="superscript"/>
              </w:rPr>
              <w:t>2</w:t>
            </w:r>
            <w:r>
              <w:rPr>
                <w:spacing w:val="-6"/>
                <w:szCs w:val="21"/>
              </w:rPr>
              <w:t>）</w:t>
            </w:r>
          </w:p>
        </w:tc>
        <w:tc>
          <w:tcPr>
            <w:tcW w:w="2799" w:type="dxa"/>
            <w:vAlign w:val="center"/>
          </w:tcPr>
          <w:p w14:paraId="15418F76">
            <w:pPr>
              <w:pStyle w:val="74"/>
              <w:jc w:val="center"/>
              <w:rPr>
                <w:b/>
                <w:bCs/>
                <w:szCs w:val="21"/>
                <w:vertAlign w:val="superscript"/>
              </w:rPr>
            </w:pPr>
            <w:r>
              <w:rPr>
                <w:rFonts w:hint="eastAsia"/>
                <w:b/>
                <w:bCs/>
                <w:szCs w:val="21"/>
              </w:rPr>
              <w:t>140000</w:t>
            </w:r>
            <w:r>
              <w:rPr>
                <w:b/>
                <w:bCs/>
                <w:szCs w:val="21"/>
              </w:rPr>
              <w:t>（本次评价部分）</w:t>
            </w:r>
          </w:p>
        </w:tc>
      </w:tr>
      <w:tr w14:paraId="753978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376" w:type="dxa"/>
            <w:vAlign w:val="center"/>
          </w:tcPr>
          <w:p w14:paraId="40B5F764">
            <w:pPr>
              <w:autoSpaceDE w:val="0"/>
              <w:autoSpaceDN w:val="0"/>
              <w:adjustRightInd w:val="0"/>
              <w:snapToGrid w:val="0"/>
              <w:jc w:val="center"/>
              <w:rPr>
                <w:kern w:val="0"/>
                <w:szCs w:val="21"/>
              </w:rPr>
            </w:pPr>
            <w:r>
              <w:rPr>
                <w:kern w:val="0"/>
                <w:szCs w:val="21"/>
              </w:rPr>
              <w:t>专项评价设置情况</w:t>
            </w:r>
          </w:p>
        </w:tc>
        <w:tc>
          <w:tcPr>
            <w:tcW w:w="7696" w:type="dxa"/>
            <w:gridSpan w:val="3"/>
            <w:vAlign w:val="center"/>
          </w:tcPr>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2693"/>
              <w:gridCol w:w="2977"/>
              <w:gridCol w:w="890"/>
            </w:tblGrid>
            <w:tr w14:paraId="06F942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vAlign w:val="center"/>
                </w:tcPr>
                <w:p w14:paraId="1FE08375">
                  <w:pPr>
                    <w:adjustRightInd w:val="0"/>
                    <w:snapToGrid w:val="0"/>
                    <w:jc w:val="center"/>
                    <w:rPr>
                      <w:b/>
                      <w:szCs w:val="21"/>
                    </w:rPr>
                  </w:pPr>
                  <w:r>
                    <w:rPr>
                      <w:b/>
                      <w:szCs w:val="21"/>
                    </w:rPr>
                    <w:t>专项评价的类别</w:t>
                  </w:r>
                </w:p>
              </w:tc>
              <w:tc>
                <w:tcPr>
                  <w:tcW w:w="1800" w:type="pct"/>
                  <w:vAlign w:val="center"/>
                </w:tcPr>
                <w:p w14:paraId="031FE7F7">
                  <w:pPr>
                    <w:adjustRightInd w:val="0"/>
                    <w:snapToGrid w:val="0"/>
                    <w:jc w:val="center"/>
                    <w:rPr>
                      <w:b/>
                      <w:szCs w:val="21"/>
                    </w:rPr>
                  </w:pPr>
                  <w:r>
                    <w:rPr>
                      <w:b/>
                      <w:szCs w:val="21"/>
                    </w:rPr>
                    <w:t>设置原则</w:t>
                  </w:r>
                </w:p>
              </w:tc>
              <w:tc>
                <w:tcPr>
                  <w:tcW w:w="1990" w:type="pct"/>
                  <w:vAlign w:val="center"/>
                </w:tcPr>
                <w:p w14:paraId="7A1294A4">
                  <w:pPr>
                    <w:adjustRightInd w:val="0"/>
                    <w:snapToGrid w:val="0"/>
                    <w:jc w:val="center"/>
                    <w:rPr>
                      <w:b/>
                      <w:szCs w:val="21"/>
                    </w:rPr>
                  </w:pPr>
                  <w:r>
                    <w:rPr>
                      <w:b/>
                      <w:szCs w:val="21"/>
                    </w:rPr>
                    <w:t>判定</w:t>
                  </w:r>
                </w:p>
              </w:tc>
              <w:tc>
                <w:tcPr>
                  <w:tcW w:w="595" w:type="pct"/>
                  <w:vAlign w:val="center"/>
                </w:tcPr>
                <w:p w14:paraId="35DD5456">
                  <w:pPr>
                    <w:adjustRightInd w:val="0"/>
                    <w:snapToGrid w:val="0"/>
                    <w:jc w:val="center"/>
                    <w:rPr>
                      <w:b/>
                      <w:szCs w:val="21"/>
                    </w:rPr>
                  </w:pPr>
                  <w:r>
                    <w:rPr>
                      <w:b/>
                      <w:szCs w:val="21"/>
                    </w:rPr>
                    <w:t>是否开展专项评价</w:t>
                  </w:r>
                </w:p>
              </w:tc>
            </w:tr>
            <w:tr w14:paraId="7592CF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vAlign w:val="center"/>
                </w:tcPr>
                <w:p w14:paraId="2370923C">
                  <w:pPr>
                    <w:adjustRightInd w:val="0"/>
                    <w:snapToGrid w:val="0"/>
                    <w:jc w:val="center"/>
                    <w:rPr>
                      <w:bCs/>
                      <w:szCs w:val="21"/>
                    </w:rPr>
                  </w:pPr>
                  <w:r>
                    <w:rPr>
                      <w:bCs/>
                      <w:szCs w:val="21"/>
                    </w:rPr>
                    <w:t>大气</w:t>
                  </w:r>
                </w:p>
              </w:tc>
              <w:tc>
                <w:tcPr>
                  <w:tcW w:w="1800" w:type="pct"/>
                  <w:vAlign w:val="center"/>
                </w:tcPr>
                <w:p w14:paraId="30A6C59D">
                  <w:pPr>
                    <w:adjustRightInd w:val="0"/>
                    <w:snapToGrid w:val="0"/>
                    <w:jc w:val="center"/>
                    <w:rPr>
                      <w:bCs/>
                      <w:szCs w:val="21"/>
                    </w:rPr>
                  </w:pPr>
                  <w:r>
                    <w:rPr>
                      <w:bCs/>
                      <w:szCs w:val="21"/>
                    </w:rPr>
                    <w:t>排放废气含有毒有害污染物、二噁英、苯并[a]芘、氰化物、氯气且厂界外500米范围内</w:t>
                  </w:r>
                  <w:bookmarkStart w:id="6" w:name="_Hlk195284834"/>
                  <w:r>
                    <w:rPr>
                      <w:bCs/>
                      <w:szCs w:val="21"/>
                    </w:rPr>
                    <w:t>有环境空气保护目标的</w:t>
                  </w:r>
                  <w:bookmarkEnd w:id="6"/>
                  <w:r>
                    <w:rPr>
                      <w:bCs/>
                      <w:szCs w:val="21"/>
                    </w:rPr>
                    <w:t>建设项目</w:t>
                  </w:r>
                </w:p>
              </w:tc>
              <w:tc>
                <w:tcPr>
                  <w:tcW w:w="1990" w:type="pct"/>
                  <w:vAlign w:val="center"/>
                </w:tcPr>
                <w:p w14:paraId="08F7EC42">
                  <w:pPr>
                    <w:adjustRightInd w:val="0"/>
                    <w:snapToGrid w:val="0"/>
                    <w:jc w:val="center"/>
                    <w:rPr>
                      <w:bCs/>
                      <w:szCs w:val="21"/>
                    </w:rPr>
                  </w:pPr>
                  <w:r>
                    <w:rPr>
                      <w:bCs/>
                      <w:szCs w:val="21"/>
                    </w:rPr>
                    <w:t>本项目排放</w:t>
                  </w:r>
                  <w:r>
                    <w:rPr>
                      <w:rFonts w:hint="eastAsia"/>
                      <w:bCs/>
                      <w:szCs w:val="21"/>
                    </w:rPr>
                    <w:t>微量乙醛</w:t>
                  </w:r>
                  <w:r>
                    <w:rPr>
                      <w:bCs/>
                      <w:szCs w:val="21"/>
                    </w:rPr>
                    <w:t>，且厂界外500米范围内有环境空气保护目标的建设项目</w:t>
                  </w:r>
                  <w:r>
                    <w:rPr>
                      <w:rFonts w:hint="eastAsia"/>
                      <w:bCs/>
                      <w:szCs w:val="21"/>
                    </w:rPr>
                    <w:t>，需要开展大气专项评价</w:t>
                  </w:r>
                </w:p>
              </w:tc>
              <w:tc>
                <w:tcPr>
                  <w:tcW w:w="595" w:type="pct"/>
                  <w:vAlign w:val="center"/>
                </w:tcPr>
                <w:p w14:paraId="2A2F59BF">
                  <w:pPr>
                    <w:adjustRightInd w:val="0"/>
                    <w:snapToGrid w:val="0"/>
                    <w:jc w:val="center"/>
                    <w:rPr>
                      <w:bCs/>
                      <w:szCs w:val="21"/>
                    </w:rPr>
                  </w:pPr>
                  <w:r>
                    <w:rPr>
                      <w:bCs/>
                      <w:szCs w:val="21"/>
                    </w:rPr>
                    <w:t>有</w:t>
                  </w:r>
                </w:p>
              </w:tc>
            </w:tr>
            <w:tr w14:paraId="6F9FCB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vAlign w:val="center"/>
                </w:tcPr>
                <w:p w14:paraId="1C4075C5">
                  <w:pPr>
                    <w:adjustRightInd w:val="0"/>
                    <w:snapToGrid w:val="0"/>
                    <w:jc w:val="center"/>
                    <w:rPr>
                      <w:bCs/>
                      <w:szCs w:val="21"/>
                    </w:rPr>
                  </w:pPr>
                  <w:r>
                    <w:rPr>
                      <w:bCs/>
                      <w:szCs w:val="21"/>
                    </w:rPr>
                    <w:t>地表水</w:t>
                  </w:r>
                </w:p>
              </w:tc>
              <w:tc>
                <w:tcPr>
                  <w:tcW w:w="1800" w:type="pct"/>
                  <w:vAlign w:val="center"/>
                </w:tcPr>
                <w:p w14:paraId="6FF2CDF8">
                  <w:pPr>
                    <w:adjustRightInd w:val="0"/>
                    <w:snapToGrid w:val="0"/>
                    <w:jc w:val="center"/>
                    <w:rPr>
                      <w:bCs/>
                      <w:szCs w:val="21"/>
                    </w:rPr>
                  </w:pPr>
                  <w:r>
                    <w:rPr>
                      <w:bCs/>
                      <w:szCs w:val="21"/>
                    </w:rPr>
                    <w:t>新增工业废水直排建设项目（槽罐车外送污水处理厂的除外）；新增废水直排的污水集中处理厂</w:t>
                  </w:r>
                </w:p>
              </w:tc>
              <w:tc>
                <w:tcPr>
                  <w:tcW w:w="1990" w:type="pct"/>
                  <w:vAlign w:val="center"/>
                </w:tcPr>
                <w:p w14:paraId="50D4A744">
                  <w:pPr>
                    <w:adjustRightInd w:val="0"/>
                    <w:snapToGrid w:val="0"/>
                    <w:jc w:val="center"/>
                    <w:rPr>
                      <w:bCs/>
                      <w:szCs w:val="21"/>
                    </w:rPr>
                  </w:pPr>
                  <w:r>
                    <w:rPr>
                      <w:bCs/>
                      <w:szCs w:val="21"/>
                    </w:rPr>
                    <w:t>本项目新增废水依托现有芮邦科技厂区污水处理站处理达标后接管至园区污水处理厂，无需开展地表水专项评价</w:t>
                  </w:r>
                </w:p>
              </w:tc>
              <w:tc>
                <w:tcPr>
                  <w:tcW w:w="595" w:type="pct"/>
                  <w:vAlign w:val="center"/>
                </w:tcPr>
                <w:p w14:paraId="0921C56E">
                  <w:pPr>
                    <w:adjustRightInd w:val="0"/>
                    <w:snapToGrid w:val="0"/>
                    <w:jc w:val="center"/>
                    <w:rPr>
                      <w:bCs/>
                      <w:szCs w:val="21"/>
                    </w:rPr>
                  </w:pPr>
                  <w:r>
                    <w:rPr>
                      <w:bCs/>
                      <w:szCs w:val="21"/>
                    </w:rPr>
                    <w:t>否</w:t>
                  </w:r>
                </w:p>
              </w:tc>
            </w:tr>
            <w:tr w14:paraId="795123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615" w:type="pct"/>
                  <w:vAlign w:val="center"/>
                </w:tcPr>
                <w:p w14:paraId="605866D4">
                  <w:pPr>
                    <w:adjustRightInd w:val="0"/>
                    <w:snapToGrid w:val="0"/>
                    <w:jc w:val="center"/>
                    <w:rPr>
                      <w:bCs/>
                      <w:szCs w:val="21"/>
                    </w:rPr>
                  </w:pPr>
                  <w:r>
                    <w:rPr>
                      <w:bCs/>
                      <w:szCs w:val="21"/>
                    </w:rPr>
                    <w:t>环境风险</w:t>
                  </w:r>
                </w:p>
              </w:tc>
              <w:tc>
                <w:tcPr>
                  <w:tcW w:w="1800" w:type="pct"/>
                  <w:vAlign w:val="center"/>
                </w:tcPr>
                <w:p w14:paraId="3A6DCA61">
                  <w:pPr>
                    <w:adjustRightInd w:val="0"/>
                    <w:snapToGrid w:val="0"/>
                    <w:jc w:val="center"/>
                    <w:rPr>
                      <w:bCs/>
                      <w:szCs w:val="21"/>
                    </w:rPr>
                  </w:pPr>
                  <w:r>
                    <w:rPr>
                      <w:bCs/>
                      <w:szCs w:val="21"/>
                    </w:rPr>
                    <w:t>有毒有害和易燃易爆危险物质存储量超过临界量的建设项目</w:t>
                  </w:r>
                </w:p>
              </w:tc>
              <w:tc>
                <w:tcPr>
                  <w:tcW w:w="1990" w:type="pct"/>
                  <w:shd w:val="clear" w:color="auto" w:fill="auto"/>
                  <w:vAlign w:val="center"/>
                </w:tcPr>
                <w:p w14:paraId="20F9AC47">
                  <w:pPr>
                    <w:adjustRightInd w:val="0"/>
                    <w:snapToGrid w:val="0"/>
                    <w:jc w:val="center"/>
                    <w:rPr>
                      <w:bCs/>
                      <w:szCs w:val="21"/>
                    </w:rPr>
                  </w:pPr>
                  <w:r>
                    <w:rPr>
                      <w:bCs/>
                      <w:szCs w:val="21"/>
                    </w:rPr>
                    <w:t>本项目叠加现状危废库后危险物质存储量未超过临界量，合计Q值为0.14809，无需开展环境风险专项评价。</w:t>
                  </w:r>
                </w:p>
              </w:tc>
              <w:tc>
                <w:tcPr>
                  <w:tcW w:w="595" w:type="pct"/>
                  <w:vAlign w:val="center"/>
                </w:tcPr>
                <w:p w14:paraId="2552ECBF">
                  <w:pPr>
                    <w:adjustRightInd w:val="0"/>
                    <w:snapToGrid w:val="0"/>
                    <w:jc w:val="center"/>
                    <w:rPr>
                      <w:bCs/>
                      <w:szCs w:val="21"/>
                    </w:rPr>
                  </w:pPr>
                  <w:r>
                    <w:rPr>
                      <w:bCs/>
                      <w:szCs w:val="21"/>
                    </w:rPr>
                    <w:t>否</w:t>
                  </w:r>
                </w:p>
              </w:tc>
            </w:tr>
            <w:tr w14:paraId="56463E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vAlign w:val="center"/>
                </w:tcPr>
                <w:p w14:paraId="38D601E0">
                  <w:pPr>
                    <w:adjustRightInd w:val="0"/>
                    <w:snapToGrid w:val="0"/>
                    <w:jc w:val="center"/>
                    <w:rPr>
                      <w:bCs/>
                      <w:szCs w:val="21"/>
                    </w:rPr>
                  </w:pPr>
                  <w:r>
                    <w:rPr>
                      <w:bCs/>
                      <w:szCs w:val="21"/>
                    </w:rPr>
                    <w:t>生态</w:t>
                  </w:r>
                </w:p>
              </w:tc>
              <w:tc>
                <w:tcPr>
                  <w:tcW w:w="1800" w:type="pct"/>
                  <w:vAlign w:val="center"/>
                </w:tcPr>
                <w:p w14:paraId="0512C8F8">
                  <w:pPr>
                    <w:adjustRightInd w:val="0"/>
                    <w:snapToGrid w:val="0"/>
                    <w:jc w:val="center"/>
                    <w:rPr>
                      <w:bCs/>
                      <w:szCs w:val="21"/>
                    </w:rPr>
                  </w:pPr>
                  <w:r>
                    <w:rPr>
                      <w:bCs/>
                      <w:szCs w:val="21"/>
                    </w:rPr>
                    <w:t>取水口下游500米范围内有重要水生生物的自然产卵场、索饵场、越冬场和洄游通道的新增河道取水的污染类建设项目</w:t>
                  </w:r>
                </w:p>
              </w:tc>
              <w:tc>
                <w:tcPr>
                  <w:tcW w:w="1990" w:type="pct"/>
                  <w:vAlign w:val="center"/>
                </w:tcPr>
                <w:p w14:paraId="3CB4765C">
                  <w:pPr>
                    <w:adjustRightInd w:val="0"/>
                    <w:snapToGrid w:val="0"/>
                    <w:jc w:val="center"/>
                    <w:rPr>
                      <w:bCs/>
                      <w:szCs w:val="21"/>
                    </w:rPr>
                  </w:pPr>
                  <w:r>
                    <w:rPr>
                      <w:bCs/>
                      <w:szCs w:val="21"/>
                    </w:rPr>
                    <w:t>本项目不涉及</w:t>
                  </w:r>
                </w:p>
              </w:tc>
              <w:tc>
                <w:tcPr>
                  <w:tcW w:w="595" w:type="pct"/>
                  <w:vAlign w:val="center"/>
                </w:tcPr>
                <w:p w14:paraId="722D7DF6">
                  <w:pPr>
                    <w:adjustRightInd w:val="0"/>
                    <w:snapToGrid w:val="0"/>
                    <w:jc w:val="center"/>
                    <w:rPr>
                      <w:bCs/>
                      <w:szCs w:val="21"/>
                    </w:rPr>
                  </w:pPr>
                  <w:r>
                    <w:rPr>
                      <w:bCs/>
                      <w:szCs w:val="21"/>
                    </w:rPr>
                    <w:t>否</w:t>
                  </w:r>
                </w:p>
              </w:tc>
            </w:tr>
            <w:tr w14:paraId="3CCABF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vAlign w:val="center"/>
                </w:tcPr>
                <w:p w14:paraId="5FE04E70">
                  <w:pPr>
                    <w:adjustRightInd w:val="0"/>
                    <w:snapToGrid w:val="0"/>
                    <w:jc w:val="center"/>
                    <w:rPr>
                      <w:bCs/>
                      <w:szCs w:val="21"/>
                    </w:rPr>
                  </w:pPr>
                  <w:r>
                    <w:rPr>
                      <w:bCs/>
                      <w:szCs w:val="21"/>
                    </w:rPr>
                    <w:t>海洋</w:t>
                  </w:r>
                </w:p>
              </w:tc>
              <w:tc>
                <w:tcPr>
                  <w:tcW w:w="1800" w:type="pct"/>
                  <w:vAlign w:val="center"/>
                </w:tcPr>
                <w:p w14:paraId="3B2E10BB">
                  <w:pPr>
                    <w:adjustRightInd w:val="0"/>
                    <w:snapToGrid w:val="0"/>
                    <w:jc w:val="center"/>
                    <w:rPr>
                      <w:bCs/>
                      <w:szCs w:val="21"/>
                    </w:rPr>
                  </w:pPr>
                  <w:r>
                    <w:rPr>
                      <w:bCs/>
                      <w:szCs w:val="21"/>
                    </w:rPr>
                    <w:t>直接向海排放污染物的海洋工程建设项目</w:t>
                  </w:r>
                </w:p>
              </w:tc>
              <w:tc>
                <w:tcPr>
                  <w:tcW w:w="1990" w:type="pct"/>
                  <w:vAlign w:val="center"/>
                </w:tcPr>
                <w:p w14:paraId="71449AF1">
                  <w:pPr>
                    <w:adjustRightInd w:val="0"/>
                    <w:snapToGrid w:val="0"/>
                    <w:jc w:val="center"/>
                    <w:rPr>
                      <w:bCs/>
                      <w:szCs w:val="21"/>
                    </w:rPr>
                  </w:pPr>
                  <w:r>
                    <w:rPr>
                      <w:bCs/>
                      <w:szCs w:val="21"/>
                    </w:rPr>
                    <w:t>本项目不涉及</w:t>
                  </w:r>
                </w:p>
              </w:tc>
              <w:tc>
                <w:tcPr>
                  <w:tcW w:w="595" w:type="pct"/>
                  <w:vAlign w:val="center"/>
                </w:tcPr>
                <w:p w14:paraId="6FF8F48D">
                  <w:pPr>
                    <w:adjustRightInd w:val="0"/>
                    <w:snapToGrid w:val="0"/>
                    <w:jc w:val="center"/>
                    <w:rPr>
                      <w:bCs/>
                      <w:szCs w:val="21"/>
                    </w:rPr>
                  </w:pPr>
                  <w:r>
                    <w:rPr>
                      <w:bCs/>
                      <w:szCs w:val="21"/>
                    </w:rPr>
                    <w:t>否</w:t>
                  </w:r>
                </w:p>
              </w:tc>
            </w:tr>
          </w:tbl>
          <w:p w14:paraId="492A422C">
            <w:pPr>
              <w:pStyle w:val="75"/>
              <w:jc w:val="left"/>
            </w:pPr>
          </w:p>
        </w:tc>
      </w:tr>
      <w:tr w14:paraId="4AB8BC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1376" w:type="dxa"/>
            <w:vAlign w:val="center"/>
          </w:tcPr>
          <w:p w14:paraId="38D5D936">
            <w:pPr>
              <w:autoSpaceDE w:val="0"/>
              <w:autoSpaceDN w:val="0"/>
              <w:adjustRightInd w:val="0"/>
              <w:snapToGrid w:val="0"/>
              <w:jc w:val="center"/>
              <w:rPr>
                <w:kern w:val="0"/>
                <w:szCs w:val="21"/>
              </w:rPr>
            </w:pPr>
            <w:r>
              <w:rPr>
                <w:szCs w:val="21"/>
              </w:rPr>
              <w:t>规划情况</w:t>
            </w:r>
          </w:p>
        </w:tc>
        <w:tc>
          <w:tcPr>
            <w:tcW w:w="7696" w:type="dxa"/>
            <w:gridSpan w:val="3"/>
            <w:vAlign w:val="center"/>
          </w:tcPr>
          <w:p w14:paraId="29EB50ED">
            <w:pPr>
              <w:pStyle w:val="75"/>
            </w:pPr>
            <w:r>
              <w:rPr>
                <w:b/>
                <w:bCs/>
              </w:rPr>
              <w:t>规划名称：</w:t>
            </w:r>
            <w:r>
              <w:rPr>
                <w:rFonts w:hint="eastAsia"/>
              </w:rPr>
              <w:t>《泗阳县国土空间总体规划》（2021-2035年）</w:t>
            </w:r>
          </w:p>
          <w:p w14:paraId="736EA143">
            <w:pPr>
              <w:pStyle w:val="75"/>
              <w:rPr>
                <w:b/>
                <w:bCs/>
              </w:rPr>
            </w:pPr>
            <w:r>
              <w:rPr>
                <w:b/>
                <w:bCs/>
              </w:rPr>
              <w:t>审批机关：</w:t>
            </w:r>
            <w:r>
              <w:rPr>
                <w:rFonts w:hint="eastAsia"/>
              </w:rPr>
              <w:t>江苏省人民政府</w:t>
            </w:r>
          </w:p>
          <w:p w14:paraId="762D80F2">
            <w:pPr>
              <w:pStyle w:val="75"/>
              <w:rPr>
                <w:b/>
                <w:bCs/>
              </w:rPr>
            </w:pPr>
            <w:r>
              <w:rPr>
                <w:b/>
                <w:bCs/>
              </w:rPr>
              <w:t>审批文件名称及文号：</w:t>
            </w:r>
            <w:r>
              <w:rPr>
                <w:rFonts w:hint="eastAsia"/>
              </w:rPr>
              <w:t>《省政府关于沭阳县、泗阳县、泗洪县国土空间总体规划（2021－2035年）的批复》（苏政复〔2023〕30号）</w:t>
            </w:r>
          </w:p>
        </w:tc>
      </w:tr>
      <w:tr w14:paraId="638241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76" w:type="dxa"/>
            <w:vAlign w:val="center"/>
          </w:tcPr>
          <w:p w14:paraId="2C291194">
            <w:pPr>
              <w:adjustRightInd w:val="0"/>
              <w:snapToGrid w:val="0"/>
              <w:jc w:val="center"/>
              <w:rPr>
                <w:kern w:val="0"/>
                <w:szCs w:val="21"/>
              </w:rPr>
            </w:pPr>
            <w:r>
              <w:rPr>
                <w:szCs w:val="21"/>
              </w:rPr>
              <w:t>规划环境影响评价情况</w:t>
            </w:r>
          </w:p>
        </w:tc>
        <w:tc>
          <w:tcPr>
            <w:tcW w:w="7696" w:type="dxa"/>
            <w:gridSpan w:val="3"/>
            <w:vAlign w:val="center"/>
          </w:tcPr>
          <w:p w14:paraId="3E94313C">
            <w:pPr>
              <w:pStyle w:val="75"/>
            </w:pPr>
            <w:r>
              <w:rPr>
                <w:b/>
                <w:bCs/>
              </w:rPr>
              <w:t>文件名称：</w:t>
            </w:r>
            <w:bookmarkStart w:id="7" w:name="OLE_LINK3"/>
            <w:r>
              <w:t>《泗阳高新技术产业开发区建设规划环境影响报告书》（2023-2035）</w:t>
            </w:r>
          </w:p>
          <w:bookmarkEnd w:id="7"/>
          <w:p w14:paraId="563195CD">
            <w:pPr>
              <w:pStyle w:val="75"/>
            </w:pPr>
            <w:r>
              <w:rPr>
                <w:b/>
                <w:bCs/>
              </w:rPr>
              <w:t>召集审查机关：</w:t>
            </w:r>
            <w:r>
              <w:t xml:space="preserve"> 宿迁市生态环境局</w:t>
            </w:r>
          </w:p>
          <w:p w14:paraId="474CAC7E">
            <w:pPr>
              <w:pStyle w:val="75"/>
              <w:rPr>
                <w:b/>
              </w:rPr>
            </w:pPr>
            <w:r>
              <w:rPr>
                <w:b/>
                <w:bCs/>
              </w:rPr>
              <w:t>审查文件名称及文号：</w:t>
            </w:r>
            <w:r>
              <w:t>《关于对江苏泗阳高新技术产业开发区建设规划（2020-2030）环境影响报告书的审查意见》</w:t>
            </w:r>
            <w:bookmarkStart w:id="8" w:name="OLE_LINK5"/>
            <w:r>
              <w:t>（宿环建管[2025]20004号）</w:t>
            </w:r>
            <w:bookmarkEnd w:id="8"/>
          </w:p>
        </w:tc>
      </w:tr>
      <w:tr w14:paraId="0C2416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376" w:type="dxa"/>
            <w:vAlign w:val="center"/>
          </w:tcPr>
          <w:p w14:paraId="1717C2A4">
            <w:pPr>
              <w:autoSpaceDE w:val="0"/>
              <w:autoSpaceDN w:val="0"/>
              <w:adjustRightInd w:val="0"/>
              <w:snapToGrid w:val="0"/>
              <w:jc w:val="center"/>
              <w:rPr>
                <w:kern w:val="0"/>
                <w:szCs w:val="21"/>
              </w:rPr>
            </w:pPr>
            <w:r>
              <w:rPr>
                <w:kern w:val="0"/>
                <w:szCs w:val="21"/>
              </w:rPr>
              <w:t>规划及规划环境影响评价符合性分析</w:t>
            </w:r>
          </w:p>
        </w:tc>
        <w:tc>
          <w:tcPr>
            <w:tcW w:w="7696" w:type="dxa"/>
            <w:gridSpan w:val="3"/>
            <w:vAlign w:val="center"/>
          </w:tcPr>
          <w:p w14:paraId="0592B9B7">
            <w:pPr>
              <w:pStyle w:val="76"/>
              <w:ind w:firstLine="0" w:firstLineChars="0"/>
              <w:rPr>
                <w:b/>
                <w:bCs/>
              </w:rPr>
            </w:pPr>
            <w:r>
              <w:rPr>
                <w:b/>
                <w:bCs/>
              </w:rPr>
              <w:t>一、与</w:t>
            </w:r>
            <w:r>
              <w:rPr>
                <w:rFonts w:hint="eastAsia"/>
                <w:b/>
                <w:bCs/>
              </w:rPr>
              <w:t>《泗阳县国土空间总体规划》（2021-2035年）、</w:t>
            </w:r>
            <w:r>
              <w:rPr>
                <w:b/>
                <w:bCs/>
              </w:rPr>
              <w:t>《泗阳高新区总体规划》相符性分析</w:t>
            </w:r>
          </w:p>
          <w:p w14:paraId="72A005FD">
            <w:pPr>
              <w:pStyle w:val="76"/>
              <w:ind w:firstLine="480"/>
            </w:pPr>
            <w:r>
              <w:rPr>
                <w:rFonts w:hint="eastAsia"/>
              </w:rPr>
              <w:t>对照</w:t>
            </w:r>
            <w:bookmarkStart w:id="9" w:name="OLE_LINK26"/>
            <w:r>
              <w:rPr>
                <w:rFonts w:hint="eastAsia"/>
              </w:rPr>
              <w:t>《泗阳县国土空间总体规划》（2021-2035年）</w:t>
            </w:r>
            <w:bookmarkEnd w:id="9"/>
            <w:r>
              <w:rPr>
                <w:rFonts w:hint="eastAsia"/>
              </w:rPr>
              <w:t>，本项目位于经济开发区，重点构建“高端纺织、食品饮料、电子信息、智能装备、家居制造、汽车轮毂、新能源”产业体系 。本项目属于高端纺织，且在现有厂区范围内扩建，属于工业用地，符合《泗阳县国土空间总体规划》（2021-2035年）的要求。</w:t>
            </w:r>
          </w:p>
          <w:p w14:paraId="68EB546E">
            <w:pPr>
              <w:pStyle w:val="76"/>
              <w:ind w:firstLine="480"/>
            </w:pPr>
            <w:r>
              <w:t>江苏泗阳经济开发区意杨产业科技园（启动区），北至意杨大道，东至成子河公路，南至徐淮盐高速和发展大道、西至华山路。主导产业：家居建材、纺织化纤、电子信息、装备制造（含光电缆）、科创研发。用地面积2176.86hm</w:t>
            </w:r>
            <w:r>
              <w:rPr>
                <w:vertAlign w:val="superscript"/>
              </w:rPr>
              <w:t>2</w:t>
            </w:r>
            <w:r>
              <w:t>。2020年4月，宿迁市生态环境局出具了《关于对江苏泗阳经济开发区意杨产业科技园（启动区）总体规划环境影响报告书的审查意见》（宿环建管[2020]2005号）。</w:t>
            </w:r>
          </w:p>
          <w:p w14:paraId="2712ED95">
            <w:pPr>
              <w:pStyle w:val="76"/>
              <w:ind w:firstLine="480"/>
            </w:pPr>
            <w:r>
              <w:t>2021年3月，泗阳高新区规划用地面积调整为2882.06hm</w:t>
            </w:r>
            <w:r>
              <w:rPr>
                <w:vertAlign w:val="superscript"/>
              </w:rPr>
              <w:t>2</w:t>
            </w:r>
            <w:r>
              <w:t>，调整后的产业发展片区规划范围东至人民南路，西接天山路，北靠古黄河，南临徐淮高速。北至废黄河湿地风景区，南至徐宿淮盐高速，西至天山路，东至人民南路。规划环评于2021年10月8日通过宿迁市生态环境局批复（宿环建管〔2021〕2017号）。</w:t>
            </w:r>
          </w:p>
          <w:p w14:paraId="1C313D01">
            <w:pPr>
              <w:pStyle w:val="76"/>
              <w:ind w:firstLine="480"/>
            </w:pPr>
            <w:r>
              <w:t>2024年，泗阳高新区规划用地面积调整为2916.8 hm</w:t>
            </w:r>
            <w:r>
              <w:rPr>
                <w:vertAlign w:val="superscript"/>
              </w:rPr>
              <w:t>2</w:t>
            </w:r>
            <w:r>
              <w:t>，调整后的</w:t>
            </w:r>
            <w:bookmarkStart w:id="10" w:name="OLE_LINK2"/>
            <w:r>
              <w:t>泗阳高新技术产业开发区</w:t>
            </w:r>
            <w:bookmarkEnd w:id="10"/>
            <w:r>
              <w:t>规划范围北至废黄河湿地风景区，南至徐宿淮盐高速，西至天山路，东至人民南路，产业调整为：以纺织化纤、电子信息、家居建材、装备制造（含光电缆）等产业为主导，生产性服务业为补充，本次规划环评已于2025年2月8日取得</w:t>
            </w:r>
            <w:bookmarkStart w:id="11" w:name="OLE_LINK7"/>
            <w:r>
              <w:t>宿迁市生态环境局</w:t>
            </w:r>
            <w:bookmarkEnd w:id="11"/>
            <w:r>
              <w:t>审查意见（宿环建管[2025]20004号）。</w:t>
            </w:r>
          </w:p>
          <w:p w14:paraId="27FE1AF8">
            <w:pPr>
              <w:pStyle w:val="76"/>
              <w:ind w:firstLine="480"/>
            </w:pPr>
            <w:r>
              <w:t>本项目在国望高科纤维（宿迁）有限公司（以下简称“国望高科”）厂区内扩建，位于泗阳高新技术产业开发区内工业用地，属于化学纤维制造</w:t>
            </w:r>
            <w:r>
              <w:rPr>
                <w:rFonts w:hint="eastAsia"/>
              </w:rPr>
              <w:t>项目</w:t>
            </w:r>
            <w:r>
              <w:t>，符合园区主导产业（纺织化纤）的要求。项目地理位置见附图1。泗阳高新技术产业开发区士地利用规划范围见附图3。</w:t>
            </w:r>
          </w:p>
          <w:p w14:paraId="5A5D5A22">
            <w:pPr>
              <w:pStyle w:val="76"/>
              <w:ind w:firstLine="0" w:firstLineChars="0"/>
              <w:rPr>
                <w:b/>
                <w:bCs/>
              </w:rPr>
            </w:pPr>
            <w:r>
              <w:rPr>
                <w:b/>
                <w:bCs/>
              </w:rPr>
              <w:t>二、规划环境影响评价相符性分析</w:t>
            </w:r>
          </w:p>
          <w:p w14:paraId="4A57B37A">
            <w:pPr>
              <w:pStyle w:val="76"/>
              <w:ind w:firstLine="482"/>
              <w:rPr>
                <w:b/>
                <w:bCs/>
              </w:rPr>
            </w:pPr>
            <w:r>
              <w:rPr>
                <w:b/>
                <w:bCs/>
              </w:rPr>
              <w:t>1、与关于</w:t>
            </w:r>
            <w:bookmarkStart w:id="12" w:name="OLE_LINK6"/>
            <w:r>
              <w:rPr>
                <w:b/>
                <w:bCs/>
              </w:rPr>
              <w:t>《泗阳高新技术产业开发区建设规划（2023-2035）环境影响报告书》</w:t>
            </w:r>
            <w:bookmarkEnd w:id="12"/>
            <w:r>
              <w:rPr>
                <w:b/>
                <w:bCs/>
              </w:rPr>
              <w:t>的审查意见的相符性分析</w:t>
            </w:r>
          </w:p>
          <w:p w14:paraId="218D2318">
            <w:pPr>
              <w:pStyle w:val="76"/>
              <w:ind w:firstLine="480"/>
            </w:pPr>
            <w:r>
              <w:t>《</w:t>
            </w:r>
            <w:bookmarkStart w:id="13" w:name="OLE_LINK9"/>
            <w:r>
              <w:t>泗阳高新技术产业开发区</w:t>
            </w:r>
            <w:bookmarkEnd w:id="13"/>
            <w:r>
              <w:t>建设规划（2023-2035）环境影响报告书》于2025年2月8日取得宿迁市生态环境局审查意见（宿环建管[2025]20004号）。</w:t>
            </w:r>
          </w:p>
          <w:p w14:paraId="3E88060B">
            <w:pPr>
              <w:pStyle w:val="76"/>
              <w:ind w:firstLine="480"/>
            </w:pPr>
            <w:r>
              <w:t>本项目与审查意见的相符性分析见下表。</w:t>
            </w:r>
          </w:p>
          <w:p w14:paraId="035CA1ED">
            <w:pPr>
              <w:pStyle w:val="77"/>
              <w:spacing w:line="240" w:lineRule="auto"/>
              <w:rPr>
                <w:szCs w:val="24"/>
              </w:rPr>
            </w:pPr>
            <w:r>
              <w:rPr>
                <w:szCs w:val="24"/>
              </w:rPr>
              <w:t>表1-1 与规划环评审查意见的相符性分析表</w:t>
            </w:r>
          </w:p>
          <w:tbl>
            <w:tblPr>
              <w:tblStyle w:val="4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1"/>
              <w:gridCol w:w="3822"/>
              <w:gridCol w:w="2419"/>
              <w:gridCol w:w="748"/>
            </w:tblGrid>
            <w:tr w14:paraId="0FC27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8" w:type="pct"/>
                  <w:tcBorders>
                    <w:tl2br w:val="nil"/>
                    <w:tr2bl w:val="nil"/>
                  </w:tcBorders>
                  <w:vAlign w:val="center"/>
                </w:tcPr>
                <w:p w14:paraId="13BCB0FB">
                  <w:pPr>
                    <w:pStyle w:val="74"/>
                    <w:jc w:val="center"/>
                    <w:rPr>
                      <w:b/>
                      <w:bCs/>
                      <w:szCs w:val="21"/>
                    </w:rPr>
                  </w:pPr>
                  <w:r>
                    <w:rPr>
                      <w:b/>
                      <w:bCs/>
                      <w:szCs w:val="21"/>
                    </w:rPr>
                    <w:t>序号</w:t>
                  </w:r>
                </w:p>
              </w:tc>
              <w:tc>
                <w:tcPr>
                  <w:tcW w:w="2555" w:type="pct"/>
                  <w:tcBorders>
                    <w:tl2br w:val="nil"/>
                    <w:tr2bl w:val="nil"/>
                  </w:tcBorders>
                  <w:vAlign w:val="center"/>
                </w:tcPr>
                <w:p w14:paraId="48DE4348">
                  <w:pPr>
                    <w:pStyle w:val="74"/>
                    <w:jc w:val="center"/>
                    <w:rPr>
                      <w:b/>
                      <w:bCs/>
                      <w:szCs w:val="21"/>
                    </w:rPr>
                  </w:pPr>
                  <w:r>
                    <w:rPr>
                      <w:b/>
                      <w:bCs/>
                      <w:szCs w:val="21"/>
                    </w:rPr>
                    <w:t>审查意见</w:t>
                  </w:r>
                </w:p>
              </w:tc>
              <w:tc>
                <w:tcPr>
                  <w:tcW w:w="1617" w:type="pct"/>
                  <w:tcBorders>
                    <w:tl2br w:val="nil"/>
                    <w:tr2bl w:val="nil"/>
                  </w:tcBorders>
                  <w:vAlign w:val="center"/>
                </w:tcPr>
                <w:p w14:paraId="11C8008B">
                  <w:pPr>
                    <w:pStyle w:val="74"/>
                    <w:jc w:val="center"/>
                    <w:rPr>
                      <w:b/>
                      <w:bCs/>
                      <w:szCs w:val="21"/>
                    </w:rPr>
                  </w:pPr>
                  <w:r>
                    <w:rPr>
                      <w:b/>
                      <w:bCs/>
                      <w:szCs w:val="21"/>
                    </w:rPr>
                    <w:t>本项目情况</w:t>
                  </w:r>
                </w:p>
              </w:tc>
              <w:tc>
                <w:tcPr>
                  <w:tcW w:w="501" w:type="pct"/>
                  <w:tcBorders>
                    <w:tl2br w:val="nil"/>
                    <w:tr2bl w:val="nil"/>
                  </w:tcBorders>
                  <w:vAlign w:val="center"/>
                </w:tcPr>
                <w:p w14:paraId="40C990BD">
                  <w:pPr>
                    <w:pStyle w:val="74"/>
                    <w:jc w:val="center"/>
                    <w:rPr>
                      <w:b/>
                      <w:bCs/>
                      <w:szCs w:val="21"/>
                    </w:rPr>
                  </w:pPr>
                  <w:r>
                    <w:rPr>
                      <w:b/>
                      <w:bCs/>
                      <w:szCs w:val="21"/>
                    </w:rPr>
                    <w:t>相符性</w:t>
                  </w:r>
                </w:p>
              </w:tc>
            </w:tr>
            <w:tr w14:paraId="0ED471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8" w:type="pct"/>
                  <w:tcBorders>
                    <w:tl2br w:val="nil"/>
                    <w:tr2bl w:val="nil"/>
                  </w:tcBorders>
                  <w:vAlign w:val="center"/>
                </w:tcPr>
                <w:p w14:paraId="33688996">
                  <w:pPr>
                    <w:pStyle w:val="74"/>
                    <w:jc w:val="center"/>
                    <w:rPr>
                      <w:szCs w:val="21"/>
                    </w:rPr>
                  </w:pPr>
                  <w:r>
                    <w:rPr>
                      <w:szCs w:val="21"/>
                    </w:rPr>
                    <w:t>1</w:t>
                  </w:r>
                </w:p>
              </w:tc>
              <w:tc>
                <w:tcPr>
                  <w:tcW w:w="2555" w:type="pct"/>
                  <w:tcBorders>
                    <w:tl2br w:val="nil"/>
                    <w:tr2bl w:val="nil"/>
                  </w:tcBorders>
                  <w:vAlign w:val="center"/>
                </w:tcPr>
                <w:p w14:paraId="4C731330">
                  <w:pPr>
                    <w:pStyle w:val="74"/>
                    <w:rPr>
                      <w:szCs w:val="21"/>
                    </w:rPr>
                  </w:pPr>
                  <w:r>
                    <w:rPr>
                      <w:szCs w:val="21"/>
                    </w:rPr>
                    <w:t>《规划》应坚持绿色发展、协调发展，落实国家、区域发展战略，突出生态优先、绿色转型、能源低碳、集约节约，进一步优化《规划》用地布局、发展规模、产业结构等，做好与地方国土空间规划和“三线一单”生态环境分区管控实施方案协调衔接。</w:t>
                  </w:r>
                </w:p>
              </w:tc>
              <w:tc>
                <w:tcPr>
                  <w:tcW w:w="1617" w:type="pct"/>
                  <w:tcBorders>
                    <w:tl2br w:val="nil"/>
                    <w:tr2bl w:val="nil"/>
                  </w:tcBorders>
                  <w:vAlign w:val="center"/>
                </w:tcPr>
                <w:p w14:paraId="75B3EE27">
                  <w:pPr>
                    <w:pStyle w:val="74"/>
                    <w:rPr>
                      <w:szCs w:val="21"/>
                    </w:rPr>
                  </w:pPr>
                  <w:r>
                    <w:rPr>
                      <w:szCs w:val="21"/>
                    </w:rPr>
                    <w:t>本项目在国望高科现有厂区内扩建，在泗阳高新技术产业开发区内，与占地类型相符，不占用生态红线，与国土空间规划和“三线一单”生态环境分区管控实施方案协调衔接。</w:t>
                  </w:r>
                </w:p>
              </w:tc>
              <w:tc>
                <w:tcPr>
                  <w:tcW w:w="501" w:type="pct"/>
                  <w:tcBorders>
                    <w:tl2br w:val="nil"/>
                    <w:tr2bl w:val="nil"/>
                  </w:tcBorders>
                  <w:vAlign w:val="center"/>
                </w:tcPr>
                <w:p w14:paraId="12C44695">
                  <w:pPr>
                    <w:pStyle w:val="74"/>
                    <w:jc w:val="center"/>
                    <w:rPr>
                      <w:szCs w:val="21"/>
                    </w:rPr>
                  </w:pPr>
                  <w:r>
                    <w:rPr>
                      <w:szCs w:val="21"/>
                    </w:rPr>
                    <w:t>相符</w:t>
                  </w:r>
                </w:p>
              </w:tc>
            </w:tr>
            <w:tr w14:paraId="33FF12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8" w:type="pct"/>
                  <w:tcBorders>
                    <w:tl2br w:val="nil"/>
                    <w:tr2bl w:val="nil"/>
                  </w:tcBorders>
                  <w:vAlign w:val="center"/>
                </w:tcPr>
                <w:p w14:paraId="071B13B6">
                  <w:pPr>
                    <w:pStyle w:val="74"/>
                    <w:jc w:val="center"/>
                    <w:rPr>
                      <w:szCs w:val="21"/>
                    </w:rPr>
                  </w:pPr>
                  <w:r>
                    <w:rPr>
                      <w:szCs w:val="21"/>
                    </w:rPr>
                    <w:t>2</w:t>
                  </w:r>
                </w:p>
              </w:tc>
              <w:tc>
                <w:tcPr>
                  <w:tcW w:w="2555" w:type="pct"/>
                  <w:tcBorders>
                    <w:tl2br w:val="nil"/>
                    <w:tr2bl w:val="nil"/>
                  </w:tcBorders>
                  <w:vAlign w:val="center"/>
                </w:tcPr>
                <w:p w14:paraId="34CFD042">
                  <w:pPr>
                    <w:pStyle w:val="74"/>
                    <w:rPr>
                      <w:szCs w:val="21"/>
                    </w:rPr>
                  </w:pPr>
                  <w:r>
                    <w:rPr>
                      <w:szCs w:val="21"/>
                    </w:rPr>
                    <w:t>严格空间管控，优化区内空间布局。加强对工业区与居住区生活空间的防护及生态隔离带建设，确保</w:t>
                  </w:r>
                  <w:bookmarkStart w:id="14" w:name="OLE_LINK8"/>
                  <w:r>
                    <w:rPr>
                      <w:szCs w:val="21"/>
                    </w:rPr>
                    <w:t>工业区产业布局与生态环境保护、人居环境安全相协调</w:t>
                  </w:r>
                  <w:bookmarkEnd w:id="14"/>
                  <w:r>
                    <w:rPr>
                      <w:szCs w:val="21"/>
                    </w:rPr>
                    <w:t>。</w:t>
                  </w:r>
                </w:p>
              </w:tc>
              <w:tc>
                <w:tcPr>
                  <w:tcW w:w="1617" w:type="pct"/>
                  <w:tcBorders>
                    <w:tl2br w:val="nil"/>
                    <w:tr2bl w:val="nil"/>
                  </w:tcBorders>
                  <w:vAlign w:val="center"/>
                </w:tcPr>
                <w:p w14:paraId="23755516">
                  <w:pPr>
                    <w:pStyle w:val="74"/>
                    <w:rPr>
                      <w:szCs w:val="21"/>
                    </w:rPr>
                  </w:pPr>
                  <w:r>
                    <w:rPr>
                      <w:szCs w:val="21"/>
                    </w:rPr>
                    <w:t>本项目</w:t>
                  </w:r>
                  <w:bookmarkStart w:id="15" w:name="OLE_LINK10"/>
                  <w:r>
                    <w:rPr>
                      <w:szCs w:val="21"/>
                    </w:rPr>
                    <w:t>在国望高科现有厂区内扩建</w:t>
                  </w:r>
                  <w:bookmarkEnd w:id="15"/>
                  <w:r>
                    <w:rPr>
                      <w:szCs w:val="21"/>
                    </w:rPr>
                    <w:t>，在泗阳高新技术产业开发区内，能够确保工业区产业布局与生态环境保护、人居环境安全相协调。</w:t>
                  </w:r>
                </w:p>
              </w:tc>
              <w:tc>
                <w:tcPr>
                  <w:tcW w:w="501" w:type="pct"/>
                  <w:tcBorders>
                    <w:tl2br w:val="nil"/>
                    <w:tr2bl w:val="nil"/>
                  </w:tcBorders>
                  <w:vAlign w:val="center"/>
                </w:tcPr>
                <w:p w14:paraId="674DF00D">
                  <w:pPr>
                    <w:pStyle w:val="74"/>
                    <w:jc w:val="center"/>
                    <w:rPr>
                      <w:szCs w:val="21"/>
                    </w:rPr>
                  </w:pPr>
                  <w:r>
                    <w:rPr>
                      <w:szCs w:val="21"/>
                    </w:rPr>
                    <w:t>相符</w:t>
                  </w:r>
                </w:p>
              </w:tc>
            </w:tr>
            <w:tr w14:paraId="4803AB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8" w:type="pct"/>
                  <w:tcBorders>
                    <w:tl2br w:val="nil"/>
                    <w:tr2bl w:val="nil"/>
                  </w:tcBorders>
                  <w:vAlign w:val="center"/>
                </w:tcPr>
                <w:p w14:paraId="5B706C59">
                  <w:pPr>
                    <w:pStyle w:val="74"/>
                    <w:jc w:val="center"/>
                    <w:rPr>
                      <w:szCs w:val="21"/>
                    </w:rPr>
                  </w:pPr>
                  <w:r>
                    <w:rPr>
                      <w:szCs w:val="21"/>
                    </w:rPr>
                    <w:t>3</w:t>
                  </w:r>
                </w:p>
              </w:tc>
              <w:tc>
                <w:tcPr>
                  <w:tcW w:w="2555" w:type="pct"/>
                  <w:tcBorders>
                    <w:tl2br w:val="nil"/>
                    <w:tr2bl w:val="nil"/>
                  </w:tcBorders>
                  <w:vAlign w:val="center"/>
                </w:tcPr>
                <w:p w14:paraId="02F98820">
                  <w:pPr>
                    <w:pStyle w:val="74"/>
                    <w:rPr>
                      <w:szCs w:val="21"/>
                    </w:rPr>
                  </w:pPr>
                  <w:r>
                    <w:rPr>
                      <w:szCs w:val="21"/>
                    </w:rPr>
                    <w:t>严守环境质量底线，严格生态环境准入要求，推动产业高质量发展。落实《报告书》要求，制定区域污染物排放总量管控要求，采取有效措施减少主要污染物和特征污染物的排放量，落实污染物排放限值限量管理要求，确保区域环境质量持续改善。根据国家、区域发展战略，执行国家产业政策、规划产业定位、园区生态环境准入等相关要求。强化入区企业常规污染物、特征污染物排放控制、高效治理设施建设以及精细化管控要求。引进项目的生产工艺、设备、能耗、污染物排放和资源利用效率等均需达到同行业先进水平。</w:t>
                  </w:r>
                </w:p>
              </w:tc>
              <w:tc>
                <w:tcPr>
                  <w:tcW w:w="1617" w:type="pct"/>
                  <w:tcBorders>
                    <w:tl2br w:val="nil"/>
                    <w:tr2bl w:val="nil"/>
                  </w:tcBorders>
                  <w:vAlign w:val="center"/>
                </w:tcPr>
                <w:p w14:paraId="39E7D56B">
                  <w:pPr>
                    <w:pStyle w:val="74"/>
                    <w:rPr>
                      <w:szCs w:val="21"/>
                    </w:rPr>
                  </w:pPr>
                  <w:r>
                    <w:rPr>
                      <w:szCs w:val="21"/>
                    </w:rPr>
                    <w:t>本项目在国望高科现有厂区内扩建，属于化学纤维制造行业及</w:t>
                  </w:r>
                  <w:r>
                    <w:rPr>
                      <w:bCs/>
                      <w:szCs w:val="21"/>
                    </w:rPr>
                    <w:t>固体废物治理行业</w:t>
                  </w:r>
                  <w:r>
                    <w:rPr>
                      <w:szCs w:val="21"/>
                    </w:rPr>
                    <w:t>，本项目符合园区产业定位和准入要求。本项目不在江苏省国家级生态保护红线和生态空间管控区域范围之内，最近为</w:t>
                  </w:r>
                  <w:r>
                    <w:rPr>
                      <w:szCs w:val="21"/>
                      <w:lang w:bidi="ar"/>
                    </w:rPr>
                    <w:t>废黄河（泗阳县）重要湿地</w:t>
                  </w:r>
                  <w:r>
                    <w:rPr>
                      <w:szCs w:val="21"/>
                    </w:rPr>
                    <w:t>，距离厂界为20m，符合环境质量底线要求。通过相应的环保措施，确保稳定达标排放。项目产生的污染物在厂区或区域内平衡，引进项目的生产工艺、设备、能耗、污染物排放和资源利用效率等能够达到同行业先进水平。</w:t>
                  </w:r>
                </w:p>
              </w:tc>
              <w:tc>
                <w:tcPr>
                  <w:tcW w:w="501" w:type="pct"/>
                  <w:tcBorders>
                    <w:tl2br w:val="nil"/>
                    <w:tr2bl w:val="nil"/>
                  </w:tcBorders>
                  <w:vAlign w:val="center"/>
                </w:tcPr>
                <w:p w14:paraId="0DF340A5">
                  <w:pPr>
                    <w:pStyle w:val="74"/>
                    <w:jc w:val="center"/>
                    <w:rPr>
                      <w:szCs w:val="21"/>
                    </w:rPr>
                  </w:pPr>
                  <w:r>
                    <w:rPr>
                      <w:szCs w:val="21"/>
                    </w:rPr>
                    <w:t>相符</w:t>
                  </w:r>
                </w:p>
              </w:tc>
            </w:tr>
            <w:tr w14:paraId="0175FA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8" w:type="pct"/>
                  <w:tcBorders>
                    <w:tl2br w:val="nil"/>
                    <w:tr2bl w:val="nil"/>
                  </w:tcBorders>
                  <w:vAlign w:val="center"/>
                </w:tcPr>
                <w:p w14:paraId="4FC7978D">
                  <w:pPr>
                    <w:pStyle w:val="74"/>
                    <w:jc w:val="center"/>
                    <w:rPr>
                      <w:szCs w:val="21"/>
                    </w:rPr>
                  </w:pPr>
                  <w:r>
                    <w:rPr>
                      <w:szCs w:val="21"/>
                    </w:rPr>
                    <w:t>4</w:t>
                  </w:r>
                </w:p>
              </w:tc>
              <w:tc>
                <w:tcPr>
                  <w:tcW w:w="2555" w:type="pct"/>
                  <w:tcBorders>
                    <w:tl2br w:val="nil"/>
                    <w:tr2bl w:val="nil"/>
                  </w:tcBorders>
                  <w:shd w:val="clear" w:color="auto" w:fill="auto"/>
                  <w:vAlign w:val="center"/>
                </w:tcPr>
                <w:p w14:paraId="370DE247">
                  <w:pPr>
                    <w:pStyle w:val="74"/>
                    <w:rPr>
                      <w:szCs w:val="21"/>
                    </w:rPr>
                  </w:pPr>
                  <w:r>
                    <w:rPr>
                      <w:szCs w:val="21"/>
                    </w:rPr>
                    <w:t>完善环境基础设施，强化企业污染防治。推进污水管网建设和维护，加强企业废水预处理及回收利用管理，确保外排废水水质满足污水处理厂接管标准和要求，并全部接管处理。强化区域大气污染治理，严禁建设高污染燃料设施，推进挥发性有机物、氮氧化物协调治理。开发区产生固体废物、危险废物</w:t>
                  </w:r>
                  <w:bookmarkStart w:id="16" w:name="OLE_LINK14"/>
                  <w:r>
                    <w:rPr>
                      <w:szCs w:val="21"/>
                    </w:rPr>
                    <w:t>应依法依规收集、暂存、处置。</w:t>
                  </w:r>
                  <w:bookmarkEnd w:id="16"/>
                </w:p>
              </w:tc>
              <w:tc>
                <w:tcPr>
                  <w:tcW w:w="1617" w:type="pct"/>
                  <w:tcBorders>
                    <w:tl2br w:val="nil"/>
                    <w:tr2bl w:val="nil"/>
                  </w:tcBorders>
                  <w:vAlign w:val="center"/>
                </w:tcPr>
                <w:p w14:paraId="2AAE8068">
                  <w:pPr>
                    <w:pStyle w:val="74"/>
                    <w:rPr>
                      <w:szCs w:val="21"/>
                    </w:rPr>
                  </w:pPr>
                  <w:r>
                    <w:rPr>
                      <w:szCs w:val="21"/>
                    </w:rPr>
                    <w:t>本项目严格落实“三同时”措施，废水依托江苏芮邦科技有限公司（以下简称“芮邦科技”）厂区污水站预处理后接管，排入园区污水处理厂稳定处理达标后排放。本项目不涉及高污染燃料设施，产生的危险废物均依法依规收集、暂存、处置。</w:t>
                  </w:r>
                </w:p>
              </w:tc>
              <w:tc>
                <w:tcPr>
                  <w:tcW w:w="501" w:type="pct"/>
                  <w:tcBorders>
                    <w:tl2br w:val="nil"/>
                    <w:tr2bl w:val="nil"/>
                  </w:tcBorders>
                  <w:vAlign w:val="center"/>
                </w:tcPr>
                <w:p w14:paraId="0380DB9E">
                  <w:pPr>
                    <w:pStyle w:val="74"/>
                    <w:jc w:val="center"/>
                    <w:rPr>
                      <w:szCs w:val="21"/>
                    </w:rPr>
                  </w:pPr>
                  <w:r>
                    <w:rPr>
                      <w:szCs w:val="21"/>
                    </w:rPr>
                    <w:t>相符</w:t>
                  </w:r>
                </w:p>
              </w:tc>
            </w:tr>
            <w:tr w14:paraId="384AB3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8" w:type="pct"/>
                  <w:tcBorders>
                    <w:tl2br w:val="nil"/>
                    <w:tr2bl w:val="nil"/>
                  </w:tcBorders>
                  <w:vAlign w:val="center"/>
                </w:tcPr>
                <w:p w14:paraId="2629A2E9">
                  <w:pPr>
                    <w:pStyle w:val="74"/>
                    <w:jc w:val="center"/>
                    <w:rPr>
                      <w:szCs w:val="21"/>
                    </w:rPr>
                  </w:pPr>
                  <w:r>
                    <w:rPr>
                      <w:szCs w:val="21"/>
                    </w:rPr>
                    <w:t>5</w:t>
                  </w:r>
                </w:p>
              </w:tc>
              <w:tc>
                <w:tcPr>
                  <w:tcW w:w="2555" w:type="pct"/>
                  <w:tcBorders>
                    <w:tl2br w:val="nil"/>
                    <w:tr2bl w:val="nil"/>
                  </w:tcBorders>
                  <w:shd w:val="clear" w:color="auto" w:fill="auto"/>
                  <w:vAlign w:val="center"/>
                </w:tcPr>
                <w:p w14:paraId="265B7B92">
                  <w:pPr>
                    <w:pStyle w:val="74"/>
                    <w:rPr>
                      <w:szCs w:val="21"/>
                    </w:rPr>
                  </w:pPr>
                  <w:r>
                    <w:rPr>
                      <w:szCs w:val="21"/>
                    </w:rPr>
                    <w:t>健全环境风险防范体系，加强开发区环境管理能力建设。制定并落实工业区建设项目环境风险防范措施和事故应急预案，并定期演练，防止和减轻事故危害。</w:t>
                  </w:r>
                  <w:bookmarkStart w:id="17" w:name="OLE_LINK12"/>
                  <w:r>
                    <w:rPr>
                      <w:szCs w:val="21"/>
                    </w:rPr>
                    <w:t>严格执行环境影响评价制度、“三同时”制度、排污许可制度。落实开发区及周边区域的环境质量监测计划，做好跟踪监测与管理并及时向社会公开环境信息。</w:t>
                  </w:r>
                  <w:bookmarkEnd w:id="17"/>
                </w:p>
              </w:tc>
              <w:tc>
                <w:tcPr>
                  <w:tcW w:w="1617" w:type="pct"/>
                  <w:tcBorders>
                    <w:tl2br w:val="nil"/>
                    <w:tr2bl w:val="nil"/>
                  </w:tcBorders>
                  <w:vAlign w:val="center"/>
                </w:tcPr>
                <w:p w14:paraId="1EA0547D">
                  <w:pPr>
                    <w:pStyle w:val="74"/>
                    <w:rPr>
                      <w:szCs w:val="21"/>
                    </w:rPr>
                  </w:pPr>
                  <w:r>
                    <w:rPr>
                      <w:szCs w:val="21"/>
                    </w:rPr>
                    <w:t>本项目建成后将环境风险防范措施和事故应急预案，并定期演练，防止和减轻事故危害。严格执行环境影响评价制度、“三同时”制度、排污许可制度。企业将落实监测计划，做好跟踪监测与管理等工作。</w:t>
                  </w:r>
                </w:p>
              </w:tc>
              <w:tc>
                <w:tcPr>
                  <w:tcW w:w="501" w:type="pct"/>
                  <w:tcBorders>
                    <w:tl2br w:val="nil"/>
                    <w:tr2bl w:val="nil"/>
                  </w:tcBorders>
                  <w:vAlign w:val="center"/>
                </w:tcPr>
                <w:p w14:paraId="07D60356">
                  <w:pPr>
                    <w:pStyle w:val="74"/>
                    <w:jc w:val="center"/>
                    <w:rPr>
                      <w:szCs w:val="21"/>
                    </w:rPr>
                  </w:pPr>
                  <w:r>
                    <w:rPr>
                      <w:szCs w:val="21"/>
                    </w:rPr>
                    <w:t>相符</w:t>
                  </w:r>
                </w:p>
              </w:tc>
            </w:tr>
          </w:tbl>
          <w:p w14:paraId="24DEA31B">
            <w:pPr>
              <w:pStyle w:val="76"/>
              <w:ind w:firstLine="525" w:firstLineChars="250"/>
              <w:rPr>
                <w:sz w:val="21"/>
                <w:szCs w:val="21"/>
              </w:rPr>
            </w:pPr>
          </w:p>
        </w:tc>
      </w:tr>
      <w:tr w14:paraId="6FA32B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76" w:type="dxa"/>
            <w:vAlign w:val="center"/>
          </w:tcPr>
          <w:p w14:paraId="5F830873">
            <w:pPr>
              <w:autoSpaceDE w:val="0"/>
              <w:autoSpaceDN w:val="0"/>
              <w:adjustRightInd w:val="0"/>
              <w:snapToGrid w:val="0"/>
              <w:jc w:val="center"/>
              <w:rPr>
                <w:kern w:val="0"/>
                <w:szCs w:val="21"/>
              </w:rPr>
            </w:pPr>
            <w:r>
              <w:rPr>
                <w:kern w:val="0"/>
                <w:szCs w:val="21"/>
              </w:rPr>
              <w:t>其他符合性分析</w:t>
            </w:r>
          </w:p>
        </w:tc>
        <w:tc>
          <w:tcPr>
            <w:tcW w:w="7696" w:type="dxa"/>
            <w:gridSpan w:val="3"/>
            <w:vAlign w:val="center"/>
          </w:tcPr>
          <w:p w14:paraId="40E81811">
            <w:pPr>
              <w:pStyle w:val="78"/>
              <w:numPr>
                <w:ilvl w:val="0"/>
                <w:numId w:val="3"/>
              </w:numPr>
              <w:spacing w:before="0" w:after="0"/>
              <w:rPr>
                <w:rFonts w:cs="Times New Roman"/>
                <w:szCs w:val="24"/>
              </w:rPr>
            </w:pPr>
            <w:r>
              <w:rPr>
                <w:rFonts w:cs="Times New Roman"/>
                <w:szCs w:val="24"/>
              </w:rPr>
              <w:t>与</w:t>
            </w:r>
            <w:r>
              <w:rPr>
                <w:rStyle w:val="55"/>
                <w:rFonts w:cs="Times New Roman"/>
                <w:sz w:val="24"/>
                <w:szCs w:val="24"/>
              </w:rPr>
              <w:t>项目所在地</w:t>
            </w:r>
            <w:r>
              <w:rPr>
                <w:rFonts w:cs="Times New Roman"/>
                <w:szCs w:val="24"/>
              </w:rPr>
              <w:t>“三线一单”相符性分析</w:t>
            </w:r>
          </w:p>
          <w:p w14:paraId="22F01A6C">
            <w:pPr>
              <w:pStyle w:val="79"/>
              <w:spacing w:before="0" w:after="0"/>
              <w:rPr>
                <w:rFonts w:cs="Times New Roman"/>
                <w:szCs w:val="24"/>
              </w:rPr>
            </w:pPr>
            <w:r>
              <w:rPr>
                <w:rFonts w:cs="Times New Roman"/>
                <w:szCs w:val="24"/>
              </w:rPr>
              <w:t>（1）生态红线</w:t>
            </w:r>
          </w:p>
          <w:p w14:paraId="70325754">
            <w:pPr>
              <w:pStyle w:val="76"/>
              <w:ind w:firstLine="480"/>
              <w:rPr>
                <w:bCs/>
              </w:rPr>
            </w:pPr>
            <w:r>
              <w:rPr>
                <w:bCs/>
              </w:rPr>
              <w:t>对照《江苏省国家级生态保护红线规划》（苏政发</w:t>
            </w:r>
            <w:r>
              <w:t>〔2018〕</w:t>
            </w:r>
            <w:r>
              <w:rPr>
                <w:bCs/>
              </w:rPr>
              <w:t>74号）、《省政府关于印发江苏省生态空间管控区域规划的通知》（苏政发</w:t>
            </w:r>
            <w:r>
              <w:t>〔2020〕</w:t>
            </w:r>
            <w:r>
              <w:rPr>
                <w:bCs/>
              </w:rPr>
              <w:t>1号）以及《2023年生态环境分区管控成果动态更新工作方案》（环办环评函﹝2023﹞81号），本项目不涉及江苏省国家级生态红线和江苏省生态空间管控区域。距离厂界的最近为</w:t>
            </w:r>
            <w:r>
              <w:rPr>
                <w:lang w:bidi="ar"/>
              </w:rPr>
              <w:t>废黄河（泗阳县）重要湿地</w:t>
            </w:r>
            <w:r>
              <w:rPr>
                <w:bCs/>
              </w:rPr>
              <w:t>，距离为20m。本项目满足江苏省国家级生态保护红线和江苏省生态空间管控区域规划要求。项目与周边生态管控区域位置关系见附图2。</w:t>
            </w:r>
          </w:p>
          <w:p w14:paraId="564D3743">
            <w:pPr>
              <w:pStyle w:val="76"/>
              <w:spacing w:line="240" w:lineRule="auto"/>
              <w:ind w:firstLine="0" w:firstLineChars="0"/>
              <w:jc w:val="center"/>
              <w:rPr>
                <w:b/>
                <w:bCs/>
              </w:rPr>
            </w:pPr>
            <w:r>
              <w:rPr>
                <w:b/>
                <w:bCs/>
              </w:rPr>
              <w:t>表1-2 江苏省生态空间管控区域保护目标概况表</w:t>
            </w:r>
          </w:p>
          <w:tbl>
            <w:tblPr>
              <w:tblStyle w:val="47"/>
              <w:tblW w:w="740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613"/>
              <w:gridCol w:w="863"/>
              <w:gridCol w:w="1717"/>
              <w:gridCol w:w="1660"/>
              <w:gridCol w:w="823"/>
              <w:gridCol w:w="724"/>
            </w:tblGrid>
            <w:tr w14:paraId="22C031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1613" w:type="dxa"/>
                  <w:vMerge w:val="restart"/>
                  <w:tcBorders>
                    <w:tl2br w:val="nil"/>
                    <w:tr2bl w:val="nil"/>
                  </w:tcBorders>
                  <w:vAlign w:val="center"/>
                </w:tcPr>
                <w:p w14:paraId="6B4DE805">
                  <w:pPr>
                    <w:pStyle w:val="74"/>
                    <w:jc w:val="center"/>
                    <w:rPr>
                      <w:b/>
                      <w:bCs/>
                      <w:szCs w:val="21"/>
                    </w:rPr>
                  </w:pPr>
                  <w:r>
                    <w:rPr>
                      <w:b/>
                      <w:bCs/>
                      <w:szCs w:val="21"/>
                    </w:rPr>
                    <w:t>生态空间保护区域</w:t>
                  </w:r>
                </w:p>
              </w:tc>
              <w:tc>
                <w:tcPr>
                  <w:tcW w:w="863" w:type="dxa"/>
                  <w:vMerge w:val="restart"/>
                  <w:tcBorders>
                    <w:tl2br w:val="nil"/>
                    <w:tr2bl w:val="nil"/>
                  </w:tcBorders>
                  <w:vAlign w:val="center"/>
                </w:tcPr>
                <w:p w14:paraId="26CAEA20">
                  <w:pPr>
                    <w:pStyle w:val="74"/>
                    <w:jc w:val="center"/>
                    <w:rPr>
                      <w:b/>
                      <w:bCs/>
                      <w:szCs w:val="21"/>
                    </w:rPr>
                  </w:pPr>
                  <w:r>
                    <w:rPr>
                      <w:b/>
                      <w:bCs/>
                      <w:szCs w:val="21"/>
                    </w:rPr>
                    <w:t>主导生态功能</w:t>
                  </w:r>
                </w:p>
              </w:tc>
              <w:tc>
                <w:tcPr>
                  <w:tcW w:w="3377" w:type="dxa"/>
                  <w:gridSpan w:val="2"/>
                  <w:tcBorders>
                    <w:tl2br w:val="nil"/>
                    <w:tr2bl w:val="nil"/>
                  </w:tcBorders>
                  <w:vAlign w:val="center"/>
                </w:tcPr>
                <w:p w14:paraId="51848D17">
                  <w:pPr>
                    <w:pStyle w:val="74"/>
                    <w:jc w:val="center"/>
                    <w:rPr>
                      <w:b/>
                      <w:bCs/>
                      <w:szCs w:val="21"/>
                    </w:rPr>
                  </w:pPr>
                  <w:r>
                    <w:rPr>
                      <w:b/>
                      <w:bCs/>
                      <w:szCs w:val="21"/>
                    </w:rPr>
                    <w:t>范围</w:t>
                  </w:r>
                </w:p>
              </w:tc>
              <w:tc>
                <w:tcPr>
                  <w:tcW w:w="823" w:type="dxa"/>
                  <w:vMerge w:val="restart"/>
                  <w:tcBorders>
                    <w:tl2br w:val="nil"/>
                    <w:tr2bl w:val="nil"/>
                  </w:tcBorders>
                  <w:vAlign w:val="center"/>
                </w:tcPr>
                <w:p w14:paraId="65257F6C">
                  <w:pPr>
                    <w:pStyle w:val="74"/>
                    <w:jc w:val="center"/>
                    <w:rPr>
                      <w:b/>
                      <w:bCs/>
                      <w:szCs w:val="21"/>
                    </w:rPr>
                  </w:pPr>
                  <w:r>
                    <w:rPr>
                      <w:b/>
                      <w:bCs/>
                      <w:szCs w:val="21"/>
                    </w:rPr>
                    <w:t>方位</w:t>
                  </w:r>
                </w:p>
              </w:tc>
              <w:tc>
                <w:tcPr>
                  <w:tcW w:w="724" w:type="dxa"/>
                  <w:tcBorders>
                    <w:tl2br w:val="nil"/>
                    <w:tr2bl w:val="nil"/>
                  </w:tcBorders>
                  <w:vAlign w:val="center"/>
                </w:tcPr>
                <w:p w14:paraId="6A964ACB">
                  <w:pPr>
                    <w:pStyle w:val="74"/>
                    <w:jc w:val="center"/>
                    <w:rPr>
                      <w:b/>
                      <w:bCs/>
                      <w:szCs w:val="21"/>
                    </w:rPr>
                  </w:pPr>
                  <w:r>
                    <w:rPr>
                      <w:b/>
                      <w:bCs/>
                      <w:szCs w:val="21"/>
                    </w:rPr>
                    <w:t>距离（m）</w:t>
                  </w:r>
                </w:p>
              </w:tc>
            </w:tr>
            <w:tr w14:paraId="538205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1613" w:type="dxa"/>
                  <w:vMerge w:val="continue"/>
                  <w:tcBorders>
                    <w:tl2br w:val="nil"/>
                    <w:tr2bl w:val="nil"/>
                  </w:tcBorders>
                  <w:vAlign w:val="center"/>
                </w:tcPr>
                <w:p w14:paraId="4239C5F7">
                  <w:pPr>
                    <w:pStyle w:val="74"/>
                    <w:jc w:val="center"/>
                    <w:rPr>
                      <w:b/>
                      <w:bCs/>
                      <w:szCs w:val="21"/>
                    </w:rPr>
                  </w:pPr>
                </w:p>
              </w:tc>
              <w:tc>
                <w:tcPr>
                  <w:tcW w:w="863" w:type="dxa"/>
                  <w:vMerge w:val="continue"/>
                  <w:tcBorders>
                    <w:tl2br w:val="nil"/>
                    <w:tr2bl w:val="nil"/>
                  </w:tcBorders>
                  <w:vAlign w:val="center"/>
                </w:tcPr>
                <w:p w14:paraId="3D6C631B">
                  <w:pPr>
                    <w:pStyle w:val="74"/>
                    <w:jc w:val="center"/>
                    <w:rPr>
                      <w:b/>
                      <w:bCs/>
                      <w:szCs w:val="21"/>
                    </w:rPr>
                  </w:pPr>
                </w:p>
              </w:tc>
              <w:tc>
                <w:tcPr>
                  <w:tcW w:w="1717" w:type="dxa"/>
                  <w:tcBorders>
                    <w:tl2br w:val="nil"/>
                    <w:tr2bl w:val="nil"/>
                  </w:tcBorders>
                  <w:vAlign w:val="center"/>
                </w:tcPr>
                <w:p w14:paraId="0222DC80">
                  <w:pPr>
                    <w:pStyle w:val="74"/>
                    <w:jc w:val="center"/>
                    <w:rPr>
                      <w:b/>
                      <w:bCs/>
                      <w:szCs w:val="21"/>
                    </w:rPr>
                  </w:pPr>
                  <w:r>
                    <w:rPr>
                      <w:b/>
                      <w:bCs/>
                      <w:szCs w:val="21"/>
                    </w:rPr>
                    <w:t>国家级生态保护红线范围</w:t>
                  </w:r>
                </w:p>
              </w:tc>
              <w:tc>
                <w:tcPr>
                  <w:tcW w:w="1660" w:type="dxa"/>
                  <w:tcBorders>
                    <w:tl2br w:val="nil"/>
                    <w:tr2bl w:val="nil"/>
                  </w:tcBorders>
                  <w:vAlign w:val="center"/>
                </w:tcPr>
                <w:p w14:paraId="0E71DE3D">
                  <w:pPr>
                    <w:pStyle w:val="74"/>
                    <w:jc w:val="center"/>
                    <w:rPr>
                      <w:b/>
                      <w:bCs/>
                      <w:szCs w:val="21"/>
                    </w:rPr>
                  </w:pPr>
                  <w:r>
                    <w:rPr>
                      <w:b/>
                      <w:bCs/>
                      <w:szCs w:val="21"/>
                    </w:rPr>
                    <w:t>生态空间管控区域范围</w:t>
                  </w:r>
                </w:p>
              </w:tc>
              <w:tc>
                <w:tcPr>
                  <w:tcW w:w="823" w:type="dxa"/>
                  <w:vMerge w:val="continue"/>
                  <w:tcBorders>
                    <w:tl2br w:val="nil"/>
                    <w:tr2bl w:val="nil"/>
                  </w:tcBorders>
                  <w:vAlign w:val="center"/>
                </w:tcPr>
                <w:p w14:paraId="4167856E">
                  <w:pPr>
                    <w:pStyle w:val="74"/>
                    <w:jc w:val="center"/>
                    <w:rPr>
                      <w:b/>
                      <w:bCs/>
                      <w:szCs w:val="21"/>
                    </w:rPr>
                  </w:pPr>
                </w:p>
              </w:tc>
              <w:tc>
                <w:tcPr>
                  <w:tcW w:w="724" w:type="dxa"/>
                  <w:tcBorders>
                    <w:tl2br w:val="nil"/>
                    <w:tr2bl w:val="nil"/>
                  </w:tcBorders>
                  <w:vAlign w:val="center"/>
                </w:tcPr>
                <w:p w14:paraId="3B76B171">
                  <w:pPr>
                    <w:pStyle w:val="74"/>
                    <w:jc w:val="center"/>
                    <w:rPr>
                      <w:b/>
                      <w:bCs/>
                      <w:szCs w:val="21"/>
                    </w:rPr>
                  </w:pPr>
                  <w:r>
                    <w:rPr>
                      <w:b/>
                      <w:bCs/>
                      <w:szCs w:val="21"/>
                    </w:rPr>
                    <w:t>相对厂界</w:t>
                  </w:r>
                </w:p>
              </w:tc>
            </w:tr>
            <w:tr w14:paraId="44331A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1613" w:type="dxa"/>
                  <w:tcBorders>
                    <w:tl2br w:val="nil"/>
                    <w:tr2bl w:val="nil"/>
                  </w:tcBorders>
                  <w:vAlign w:val="center"/>
                </w:tcPr>
                <w:p w14:paraId="3E24994E">
                  <w:pPr>
                    <w:pStyle w:val="74"/>
                    <w:jc w:val="center"/>
                    <w:rPr>
                      <w:szCs w:val="21"/>
                    </w:rPr>
                  </w:pPr>
                  <w:r>
                    <w:rPr>
                      <w:szCs w:val="21"/>
                      <w:lang w:bidi="ar"/>
                    </w:rPr>
                    <w:t>废黄河（泗阳县）重要湿地</w:t>
                  </w:r>
                </w:p>
              </w:tc>
              <w:tc>
                <w:tcPr>
                  <w:tcW w:w="863" w:type="dxa"/>
                  <w:tcBorders>
                    <w:tl2br w:val="nil"/>
                    <w:tr2bl w:val="nil"/>
                  </w:tcBorders>
                  <w:vAlign w:val="center"/>
                </w:tcPr>
                <w:p w14:paraId="1D1A2266">
                  <w:pPr>
                    <w:pStyle w:val="74"/>
                    <w:jc w:val="center"/>
                    <w:rPr>
                      <w:szCs w:val="21"/>
                    </w:rPr>
                  </w:pPr>
                  <w:r>
                    <w:rPr>
                      <w:szCs w:val="21"/>
                    </w:rPr>
                    <w:t>湿地生态系统保护</w:t>
                  </w:r>
                </w:p>
              </w:tc>
              <w:tc>
                <w:tcPr>
                  <w:tcW w:w="1717" w:type="dxa"/>
                  <w:tcBorders>
                    <w:tl2br w:val="nil"/>
                    <w:tr2bl w:val="nil"/>
                  </w:tcBorders>
                  <w:vAlign w:val="center"/>
                </w:tcPr>
                <w:p w14:paraId="0EA66D76">
                  <w:pPr>
                    <w:pStyle w:val="74"/>
                    <w:jc w:val="center"/>
                    <w:rPr>
                      <w:szCs w:val="21"/>
                    </w:rPr>
                  </w:pPr>
                  <w:r>
                    <w:rPr>
                      <w:szCs w:val="21"/>
                    </w:rPr>
                    <w:t>/</w:t>
                  </w:r>
                </w:p>
              </w:tc>
              <w:tc>
                <w:tcPr>
                  <w:tcW w:w="1660" w:type="dxa"/>
                  <w:tcBorders>
                    <w:tl2br w:val="nil"/>
                    <w:tr2bl w:val="nil"/>
                  </w:tcBorders>
                  <w:vAlign w:val="center"/>
                </w:tcPr>
                <w:p w14:paraId="21C20982">
                  <w:pPr>
                    <w:pStyle w:val="74"/>
                    <w:jc w:val="center"/>
                    <w:rPr>
                      <w:szCs w:val="21"/>
                    </w:rPr>
                  </w:pPr>
                  <w:r>
                    <w:rPr>
                      <w:szCs w:val="21"/>
                    </w:rPr>
                    <w:t>11km</w:t>
                  </w:r>
                  <w:r>
                    <w:rPr>
                      <w:szCs w:val="21"/>
                      <w:vertAlign w:val="superscript"/>
                    </w:rPr>
                    <w:t>2</w:t>
                  </w:r>
                </w:p>
              </w:tc>
              <w:tc>
                <w:tcPr>
                  <w:tcW w:w="823" w:type="dxa"/>
                  <w:tcBorders>
                    <w:tl2br w:val="nil"/>
                    <w:tr2bl w:val="nil"/>
                  </w:tcBorders>
                  <w:vAlign w:val="center"/>
                </w:tcPr>
                <w:p w14:paraId="2BF37833">
                  <w:pPr>
                    <w:pStyle w:val="74"/>
                    <w:jc w:val="center"/>
                    <w:rPr>
                      <w:szCs w:val="21"/>
                    </w:rPr>
                  </w:pPr>
                  <w:r>
                    <w:rPr>
                      <w:szCs w:val="21"/>
                    </w:rPr>
                    <w:t>N</w:t>
                  </w:r>
                </w:p>
              </w:tc>
              <w:tc>
                <w:tcPr>
                  <w:tcW w:w="724" w:type="dxa"/>
                  <w:tcBorders>
                    <w:tl2br w:val="nil"/>
                    <w:tr2bl w:val="nil"/>
                  </w:tcBorders>
                  <w:vAlign w:val="center"/>
                </w:tcPr>
                <w:p w14:paraId="36570A4E">
                  <w:pPr>
                    <w:pStyle w:val="74"/>
                    <w:jc w:val="center"/>
                    <w:rPr>
                      <w:szCs w:val="21"/>
                    </w:rPr>
                  </w:pPr>
                  <w:r>
                    <w:rPr>
                      <w:szCs w:val="21"/>
                    </w:rPr>
                    <w:t>20</w:t>
                  </w:r>
                </w:p>
              </w:tc>
            </w:tr>
          </w:tbl>
          <w:p w14:paraId="7791EA47">
            <w:pPr>
              <w:pStyle w:val="79"/>
              <w:spacing w:before="0" w:after="0"/>
              <w:rPr>
                <w:rFonts w:cs="Times New Roman"/>
                <w:szCs w:val="24"/>
              </w:rPr>
            </w:pPr>
            <w:r>
              <w:rPr>
                <w:rFonts w:cs="Times New Roman"/>
                <w:szCs w:val="24"/>
              </w:rPr>
              <w:t>（2）环境质量底线</w:t>
            </w:r>
          </w:p>
          <w:p w14:paraId="33D5AACB">
            <w:pPr>
              <w:pStyle w:val="76"/>
              <w:ind w:firstLine="480"/>
            </w:pPr>
            <w:bookmarkStart w:id="18" w:name="OLE_LINK21"/>
            <w:r>
              <w:t>根据《2023 泗阳县环境质量分析报告》可知，2023年泗阳县大气环境质量PM</w:t>
            </w:r>
            <w:r>
              <w:rPr>
                <w:vertAlign w:val="subscript"/>
              </w:rPr>
              <w:t>2.5</w:t>
            </w:r>
            <w:r>
              <w:t>年平均浓度0.036mg/m</w:t>
            </w:r>
            <w:r>
              <w:rPr>
                <w:vertAlign w:val="superscript"/>
              </w:rPr>
              <w:t>3</w:t>
            </w:r>
            <w:r>
              <w:t>，同比下降0.3%；NO</w:t>
            </w:r>
            <w:r>
              <w:rPr>
                <w:vertAlign w:val="subscript"/>
              </w:rPr>
              <w:t>2</w:t>
            </w:r>
            <w:r>
              <w:t>年平均浓度0.027mg/m</w:t>
            </w:r>
            <w:r>
              <w:rPr>
                <w:vertAlign w:val="superscript"/>
              </w:rPr>
              <w:t>3</w:t>
            </w:r>
            <w:r>
              <w:t>，同比上升12.5%；O</w:t>
            </w:r>
            <w:r>
              <w:rPr>
                <w:vertAlign w:val="subscript"/>
              </w:rPr>
              <w:t>3</w:t>
            </w:r>
            <w:r>
              <w:t>日最大8小时均值浓度为0.159mg/m</w:t>
            </w:r>
            <w:r>
              <w:rPr>
                <w:vertAlign w:val="superscript"/>
              </w:rPr>
              <w:t>3</w:t>
            </w:r>
            <w:r>
              <w:t>，同比下降1.2%；PM</w:t>
            </w:r>
            <w:r>
              <w:rPr>
                <w:vertAlign w:val="subscript"/>
              </w:rPr>
              <w:t>10</w:t>
            </w:r>
            <w:r>
              <w:t>年平均浓度0.061mg/m</w:t>
            </w:r>
            <w:r>
              <w:rPr>
                <w:vertAlign w:val="superscript"/>
              </w:rPr>
              <w:t>3</w:t>
            </w:r>
            <w:r>
              <w:t>，同比上升3.4%；SO</w:t>
            </w:r>
            <w:r>
              <w:rPr>
                <w:vertAlign w:val="subscript"/>
              </w:rPr>
              <w:t>2</w:t>
            </w:r>
            <w:r>
              <w:t>年平均浓度0.009mg/m</w:t>
            </w:r>
            <w:r>
              <w:rPr>
                <w:vertAlign w:val="superscript"/>
              </w:rPr>
              <w:t>3</w:t>
            </w:r>
            <w:r>
              <w:t>，同比上升28.6%；CO日均值第95百分位浓度为1.1mg/m</w:t>
            </w:r>
            <w:r>
              <w:rPr>
                <w:vertAlign w:val="superscript"/>
              </w:rPr>
              <w:t>3</w:t>
            </w:r>
            <w:r>
              <w:t>，同比上升10%；优良天数289天，优良天数比率79.2%，同比下降1.1个百分点，其中PM</w:t>
            </w:r>
            <w:r>
              <w:rPr>
                <w:vertAlign w:val="subscript"/>
              </w:rPr>
              <w:t>2.5</w:t>
            </w:r>
            <w:r>
              <w:t>年平均浓度超标，因此，判定为不达标区。</w:t>
            </w:r>
          </w:p>
          <w:p w14:paraId="2705F11C">
            <w:pPr>
              <w:pStyle w:val="76"/>
              <w:ind w:firstLine="480"/>
            </w:pPr>
            <w:r>
              <w:t>为持续深入打好蓝天保卫战，切实保障人民群众身体健康，以空气质量持续改善推动经济高质量发展，宿迁市制定了《宿迁市空气质量持续改善行动计划实施方案》（宿政发〔2024〕97号）。拟通过优化产业结构、优化能源结构、优化交通结构、强化面源污染治理、加强机制建设、加强能力建设、健全法律法规标准体系等方式，全力以赴、多方发力，持续推动全市空气质量持续改善，守护宿迁市的蓝天白云。区域大气环境质量状况得到改善。</w:t>
            </w:r>
          </w:p>
          <w:bookmarkEnd w:id="18"/>
          <w:p w14:paraId="29FF7DF7">
            <w:pPr>
              <w:pStyle w:val="76"/>
              <w:ind w:firstLine="480"/>
            </w:pPr>
            <w:r>
              <w:t>本项目新增废水仍依托芮邦科技</w:t>
            </w:r>
            <w:r>
              <w:rPr>
                <w:szCs w:val="21"/>
              </w:rPr>
              <w:t>厂区污水站预处理后</w:t>
            </w:r>
            <w:r>
              <w:t>达标后排放。厂区噪声经减震、隔声等措施，满足噪声排放标准。本项目运营期废气</w:t>
            </w:r>
            <w:r>
              <w:rPr>
                <w:rFonts w:hint="eastAsia"/>
              </w:rPr>
              <w:t>经处理后</w:t>
            </w:r>
            <w:r>
              <w:t>能达标排放，满足排放标准。本项目各污染物达标排放，对环境影响较小，符合环境质量底线。</w:t>
            </w:r>
          </w:p>
          <w:p w14:paraId="49902873">
            <w:pPr>
              <w:pStyle w:val="79"/>
              <w:spacing w:before="0" w:after="0"/>
              <w:rPr>
                <w:rFonts w:cs="Times New Roman"/>
                <w:szCs w:val="24"/>
              </w:rPr>
            </w:pPr>
            <w:r>
              <w:rPr>
                <w:rFonts w:cs="Times New Roman"/>
                <w:szCs w:val="24"/>
              </w:rPr>
              <w:t>（3）资源利用上线</w:t>
            </w:r>
          </w:p>
          <w:p w14:paraId="3A6C94B3">
            <w:pPr>
              <w:pStyle w:val="76"/>
              <w:ind w:firstLine="480"/>
            </w:pPr>
            <w:r>
              <w:t>本项目在国望高科现有厂区内建设，不新征土地；外购电力与蒸汽均由园区供应。因此，项目建设不会突破当地自然资源上线。</w:t>
            </w:r>
          </w:p>
          <w:p w14:paraId="72917775">
            <w:pPr>
              <w:pStyle w:val="79"/>
              <w:spacing w:before="0" w:after="0"/>
              <w:rPr>
                <w:rFonts w:cs="Times New Roman"/>
                <w:szCs w:val="24"/>
              </w:rPr>
            </w:pPr>
            <w:r>
              <w:rPr>
                <w:rFonts w:cs="Times New Roman"/>
                <w:szCs w:val="24"/>
              </w:rPr>
              <w:t>（4）环境准入负面清单</w:t>
            </w:r>
          </w:p>
          <w:p w14:paraId="51A0BAF0">
            <w:pPr>
              <w:pStyle w:val="76"/>
              <w:ind w:firstLine="480"/>
            </w:pPr>
            <w:r>
              <w:t>本项目位于国望高科现有厂区内，为化学纤维制造行业、固体废物治理行业。泗阳高新技术产业开发区建设规划环境影响报告书准入负面清单，本项目不在负面清单内。</w:t>
            </w:r>
          </w:p>
          <w:p w14:paraId="1E3077B6">
            <w:pPr>
              <w:pStyle w:val="76"/>
              <w:spacing w:line="240" w:lineRule="auto"/>
              <w:ind w:firstLine="0" w:firstLineChars="0"/>
              <w:jc w:val="center"/>
              <w:rPr>
                <w:b/>
                <w:bCs/>
              </w:rPr>
            </w:pPr>
            <w:r>
              <w:rPr>
                <w:b/>
                <w:bCs/>
              </w:rPr>
              <w:t>表1-3 泗阳高新技术产业开发区产业准入负面清单符合性分析</w:t>
            </w:r>
          </w:p>
          <w:tbl>
            <w:tblPr>
              <w:tblStyle w:val="4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4253"/>
              <w:gridCol w:w="2450"/>
            </w:tblGrid>
            <w:tr w14:paraId="6F752A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77" w:type="dxa"/>
                  <w:shd w:val="clear" w:color="auto" w:fill="auto"/>
                  <w:noWrap/>
                  <w:vAlign w:val="center"/>
                </w:tcPr>
                <w:p w14:paraId="446D3185">
                  <w:pPr>
                    <w:widowControl/>
                    <w:jc w:val="center"/>
                    <w:rPr>
                      <w:rFonts w:eastAsiaTheme="majorEastAsia"/>
                      <w:b/>
                      <w:bCs/>
                      <w:szCs w:val="21"/>
                    </w:rPr>
                  </w:pPr>
                  <w:r>
                    <w:rPr>
                      <w:rFonts w:eastAsiaTheme="majorEastAsia"/>
                      <w:b/>
                      <w:bCs/>
                      <w:szCs w:val="21"/>
                    </w:rPr>
                    <w:t>类别</w:t>
                  </w:r>
                </w:p>
              </w:tc>
              <w:tc>
                <w:tcPr>
                  <w:tcW w:w="4253" w:type="dxa"/>
                  <w:shd w:val="clear" w:color="auto" w:fill="auto"/>
                  <w:noWrap/>
                  <w:vAlign w:val="center"/>
                </w:tcPr>
                <w:p w14:paraId="2C11A232">
                  <w:pPr>
                    <w:widowControl/>
                    <w:jc w:val="center"/>
                    <w:rPr>
                      <w:rFonts w:eastAsiaTheme="majorEastAsia"/>
                      <w:b/>
                      <w:bCs/>
                      <w:szCs w:val="21"/>
                    </w:rPr>
                  </w:pPr>
                  <w:r>
                    <w:rPr>
                      <w:rFonts w:eastAsiaTheme="majorEastAsia"/>
                      <w:b/>
                      <w:bCs/>
                      <w:szCs w:val="21"/>
                    </w:rPr>
                    <w:t>控制要求</w:t>
                  </w:r>
                </w:p>
              </w:tc>
              <w:tc>
                <w:tcPr>
                  <w:tcW w:w="2450" w:type="dxa"/>
                  <w:shd w:val="clear" w:color="auto" w:fill="auto"/>
                  <w:noWrap/>
                  <w:vAlign w:val="center"/>
                </w:tcPr>
                <w:p w14:paraId="3B881AB3">
                  <w:pPr>
                    <w:widowControl/>
                    <w:jc w:val="center"/>
                    <w:rPr>
                      <w:rFonts w:eastAsiaTheme="majorEastAsia"/>
                      <w:b/>
                      <w:bCs/>
                      <w:szCs w:val="21"/>
                    </w:rPr>
                  </w:pPr>
                  <w:r>
                    <w:rPr>
                      <w:rFonts w:eastAsiaTheme="majorEastAsia"/>
                      <w:b/>
                      <w:bCs/>
                      <w:szCs w:val="21"/>
                    </w:rPr>
                    <w:t>相符性分析</w:t>
                  </w:r>
                </w:p>
              </w:tc>
            </w:tr>
            <w:tr w14:paraId="252D67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77" w:type="dxa"/>
                  <w:shd w:val="clear" w:color="auto" w:fill="auto"/>
                  <w:noWrap/>
                  <w:vAlign w:val="center"/>
                </w:tcPr>
                <w:p w14:paraId="7CE2E8A9">
                  <w:pPr>
                    <w:widowControl/>
                    <w:jc w:val="center"/>
                    <w:rPr>
                      <w:rFonts w:eastAsiaTheme="majorEastAsia"/>
                      <w:szCs w:val="21"/>
                    </w:rPr>
                  </w:pPr>
                  <w:r>
                    <w:rPr>
                      <w:rFonts w:eastAsiaTheme="majorEastAsia"/>
                      <w:szCs w:val="21"/>
                    </w:rPr>
                    <w:t>产业定位</w:t>
                  </w:r>
                </w:p>
              </w:tc>
              <w:tc>
                <w:tcPr>
                  <w:tcW w:w="4253" w:type="dxa"/>
                  <w:shd w:val="clear" w:color="auto" w:fill="auto"/>
                  <w:vAlign w:val="center"/>
                </w:tcPr>
                <w:p w14:paraId="28048EB6">
                  <w:pPr>
                    <w:widowControl/>
                    <w:jc w:val="center"/>
                    <w:rPr>
                      <w:rFonts w:eastAsiaTheme="majorEastAsia"/>
                      <w:szCs w:val="21"/>
                    </w:rPr>
                  </w:pPr>
                  <w:r>
                    <w:rPr>
                      <w:rFonts w:eastAsiaTheme="majorEastAsia"/>
                      <w:szCs w:val="21"/>
                    </w:rPr>
                    <w:t>主导产业定位为纺织化纤、电子信息、家居建材、装备制造(含光电缆)、生产性服务业为补充。</w:t>
                  </w:r>
                </w:p>
              </w:tc>
              <w:tc>
                <w:tcPr>
                  <w:tcW w:w="2450" w:type="dxa"/>
                  <w:shd w:val="clear" w:color="auto" w:fill="auto"/>
                  <w:vAlign w:val="center"/>
                </w:tcPr>
                <w:p w14:paraId="51E3A492">
                  <w:pPr>
                    <w:widowControl/>
                    <w:jc w:val="center"/>
                    <w:rPr>
                      <w:rFonts w:eastAsiaTheme="majorEastAsia"/>
                      <w:szCs w:val="21"/>
                    </w:rPr>
                  </w:pPr>
                  <w:r>
                    <w:rPr>
                      <w:rFonts w:eastAsiaTheme="majorEastAsia"/>
                      <w:szCs w:val="21"/>
                    </w:rPr>
                    <w:t>本项目属于</w:t>
                  </w:r>
                  <w:r>
                    <w:rPr>
                      <w:rFonts w:hint="eastAsia" w:eastAsiaTheme="majorEastAsia"/>
                      <w:szCs w:val="21"/>
                    </w:rPr>
                    <w:t>化学纤维制造行业</w:t>
                  </w:r>
                  <w:r>
                    <w:rPr>
                      <w:rFonts w:eastAsiaTheme="majorEastAsia"/>
                      <w:szCs w:val="21"/>
                    </w:rPr>
                    <w:t>，符合园区主导产业定位要求。</w:t>
                  </w:r>
                </w:p>
              </w:tc>
            </w:tr>
            <w:tr w14:paraId="2BA4B2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0" w:hRule="atLeast"/>
              </w:trPr>
              <w:tc>
                <w:tcPr>
                  <w:tcW w:w="777" w:type="dxa"/>
                  <w:shd w:val="clear" w:color="auto" w:fill="auto"/>
                  <w:noWrap/>
                  <w:vAlign w:val="center"/>
                </w:tcPr>
                <w:p w14:paraId="59EF549A">
                  <w:pPr>
                    <w:widowControl/>
                    <w:jc w:val="center"/>
                    <w:rPr>
                      <w:rFonts w:eastAsiaTheme="majorEastAsia"/>
                      <w:szCs w:val="21"/>
                    </w:rPr>
                  </w:pPr>
                  <w:r>
                    <w:rPr>
                      <w:rFonts w:eastAsiaTheme="majorEastAsia"/>
                      <w:szCs w:val="21"/>
                    </w:rPr>
                    <w:t>鼓励引入</w:t>
                  </w:r>
                </w:p>
              </w:tc>
              <w:tc>
                <w:tcPr>
                  <w:tcW w:w="4253" w:type="dxa"/>
                  <w:shd w:val="clear" w:color="auto" w:fill="auto"/>
                  <w:vAlign w:val="center"/>
                </w:tcPr>
                <w:p w14:paraId="4D8D8258">
                  <w:pPr>
                    <w:widowControl/>
                    <w:jc w:val="center"/>
                    <w:rPr>
                      <w:rFonts w:eastAsiaTheme="majorEastAsia"/>
                      <w:szCs w:val="21"/>
                    </w:rPr>
                  </w:pPr>
                  <w:r>
                    <w:rPr>
                      <w:rFonts w:eastAsiaTheme="majorEastAsia"/>
                      <w:szCs w:val="21"/>
                    </w:rPr>
                    <w:t>1、符合产业定位且属于国家发展和改革委《产业结构调整指导目录》《重点领域技术路线图》《鼓励外商投资产业目录》《战略性新兴产业重点产品和服务指导目录》《产业发展与转移指导目录》等产业政策文件中属于鼓励类和重点发展行业中的产品、工艺和技术；</w:t>
                  </w:r>
                  <w:r>
                    <w:rPr>
                      <w:rFonts w:eastAsiaTheme="majorEastAsia"/>
                      <w:szCs w:val="21"/>
                    </w:rPr>
                    <w:br w:type="textWrapping"/>
                  </w:r>
                  <w:r>
                    <w:rPr>
                      <w:rFonts w:eastAsiaTheme="majorEastAsia"/>
                      <w:szCs w:val="21"/>
                    </w:rPr>
                    <w:t>2、引进的项目生产工艺、装备技术、清洁生产水平等应达到同行业先进水平优先引进资源能源消耗小、污染物排放少、产品附加值高的工艺技术、产品或项目；</w:t>
                  </w:r>
                  <w:r>
                    <w:rPr>
                      <w:rFonts w:eastAsiaTheme="majorEastAsia"/>
                      <w:szCs w:val="21"/>
                    </w:rPr>
                    <w:br w:type="textWrapping"/>
                  </w:r>
                  <w:r>
                    <w:rPr>
                      <w:rFonts w:eastAsiaTheme="majorEastAsia"/>
                      <w:szCs w:val="21"/>
                    </w:rPr>
                    <w:t>3、符合产业定位的区域发展需要的项目，高性能、技术含量高的关键性、基础性、资源优势性的项目。</w:t>
                  </w:r>
                </w:p>
              </w:tc>
              <w:tc>
                <w:tcPr>
                  <w:tcW w:w="2450" w:type="dxa"/>
                  <w:shd w:val="clear" w:color="auto" w:fill="auto"/>
                  <w:vAlign w:val="center"/>
                </w:tcPr>
                <w:p w14:paraId="48CE411C">
                  <w:pPr>
                    <w:widowControl/>
                    <w:rPr>
                      <w:rFonts w:eastAsiaTheme="majorEastAsia"/>
                      <w:szCs w:val="21"/>
                    </w:rPr>
                  </w:pPr>
                  <w:r>
                    <w:rPr>
                      <w:rFonts w:eastAsiaTheme="majorEastAsia"/>
                      <w:szCs w:val="21"/>
                    </w:rPr>
                    <w:t>本项目属于符合产业定位的区域发展需要的项目，拟利用国望高科一期项目聚酯产能生产下游纺丝，符合《产业结构调整指导目录》等要求。装备技术、清洁生产水平能够达到同行业先进水平。</w:t>
                  </w:r>
                </w:p>
              </w:tc>
            </w:tr>
            <w:tr w14:paraId="356D57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5" w:hRule="atLeast"/>
              </w:trPr>
              <w:tc>
                <w:tcPr>
                  <w:tcW w:w="777" w:type="dxa"/>
                  <w:shd w:val="clear" w:color="auto" w:fill="auto"/>
                  <w:noWrap/>
                  <w:vAlign w:val="center"/>
                </w:tcPr>
                <w:p w14:paraId="6861B956">
                  <w:pPr>
                    <w:widowControl/>
                    <w:jc w:val="center"/>
                    <w:rPr>
                      <w:rFonts w:eastAsiaTheme="majorEastAsia"/>
                      <w:szCs w:val="21"/>
                    </w:rPr>
                  </w:pPr>
                  <w:r>
                    <w:rPr>
                      <w:rFonts w:eastAsiaTheme="majorEastAsia"/>
                      <w:szCs w:val="21"/>
                    </w:rPr>
                    <w:t>禁止引入</w:t>
                  </w:r>
                </w:p>
              </w:tc>
              <w:tc>
                <w:tcPr>
                  <w:tcW w:w="4253" w:type="dxa"/>
                  <w:shd w:val="clear" w:color="auto" w:fill="auto"/>
                  <w:vAlign w:val="center"/>
                </w:tcPr>
                <w:p w14:paraId="080FFF59">
                  <w:pPr>
                    <w:widowControl/>
                    <w:rPr>
                      <w:rFonts w:eastAsiaTheme="majorEastAsia"/>
                      <w:szCs w:val="21"/>
                    </w:rPr>
                  </w:pPr>
                  <w:r>
                    <w:rPr>
                      <w:rFonts w:eastAsiaTheme="majorEastAsia"/>
                      <w:szCs w:val="21"/>
                    </w:rPr>
                    <w:t>1、新建、扩建法律法规和相关政策明令禁止的落后产能项目，以及明令淘汰的安全生产落后工艺及装备项目；</w:t>
                  </w:r>
                  <w:r>
                    <w:rPr>
                      <w:rFonts w:eastAsiaTheme="majorEastAsia"/>
                      <w:szCs w:val="21"/>
                    </w:rPr>
                    <w:br w:type="textWrapping"/>
                  </w:r>
                  <w:r>
                    <w:rPr>
                      <w:rFonts w:eastAsiaTheme="majorEastAsia"/>
                      <w:szCs w:val="21"/>
                    </w:rPr>
                    <w:t>2、新建、扩建不符合国家产能置换要求的过剩产能行业的项目；</w:t>
                  </w:r>
                  <w:r>
                    <w:rPr>
                      <w:rFonts w:eastAsiaTheme="majorEastAsia"/>
                      <w:szCs w:val="21"/>
                    </w:rPr>
                    <w:br w:type="textWrapping"/>
                  </w:r>
                  <w:r>
                    <w:rPr>
                      <w:rFonts w:eastAsiaTheme="majorEastAsia"/>
                      <w:szCs w:val="21"/>
                    </w:rPr>
                    <w:t>3、《产业结构调整指导目录》明确的限制类、禁止类和淘汰类项目；</w:t>
                  </w:r>
                  <w:r>
                    <w:rPr>
                      <w:rFonts w:eastAsiaTheme="majorEastAsia"/>
                      <w:szCs w:val="21"/>
                    </w:rPr>
                    <w:br w:type="textWrapping"/>
                  </w:r>
                  <w:r>
                    <w:rPr>
                      <w:rFonts w:eastAsiaTheme="majorEastAsia"/>
                      <w:szCs w:val="21"/>
                    </w:rPr>
                    <w:t>4、禁止建设生产和使用高 VOCs 含量的溶剂型涂料、油墨、胶粘剂等项目；</w:t>
                  </w:r>
                  <w:r>
                    <w:rPr>
                      <w:rFonts w:eastAsiaTheme="majorEastAsia"/>
                      <w:szCs w:val="21"/>
                    </w:rPr>
                    <w:br w:type="textWrapping"/>
                  </w:r>
                  <w:r>
                    <w:rPr>
                      <w:rFonts w:eastAsiaTheme="majorEastAsia"/>
                      <w:szCs w:val="21"/>
                    </w:rPr>
                    <w:t>5、纺织化纤:禁止印染项目；家居建材:禁止橡胶制品业再生橡胶制造项目；塑料制品业废旧粒料的加工处理；水泥制造项目；禁止平板玻璃制造项目(仅切割、打磨、成型的除外；光伏玻璃制造、基板玻璃制造除外)；炼铁、炼钢项藝止使用湿法纤维板生产工艺。</w:t>
                  </w:r>
                </w:p>
              </w:tc>
              <w:tc>
                <w:tcPr>
                  <w:tcW w:w="2450" w:type="dxa"/>
                  <w:shd w:val="clear" w:color="auto" w:fill="auto"/>
                  <w:vAlign w:val="center"/>
                </w:tcPr>
                <w:p w14:paraId="68C3AA68">
                  <w:pPr>
                    <w:widowControl/>
                    <w:rPr>
                      <w:rFonts w:eastAsiaTheme="majorEastAsia"/>
                      <w:szCs w:val="21"/>
                    </w:rPr>
                  </w:pPr>
                  <w:r>
                    <w:rPr>
                      <w:rFonts w:eastAsiaTheme="majorEastAsia"/>
                      <w:szCs w:val="21"/>
                    </w:rPr>
                    <w:t>本项目为扩建项目，符合《产业结构调整指导目录》，不属于法律法规和相关政策明令禁止的落后产能项目，以及明令淘汰的安全生产落后工艺及装备项目，国家产能置换要求的过剩产能行业的项目，不属于《产业结构调整指导目录》明确的限制类、禁止类和淘汰类项目，不生产和使用高VOCs 含量的溶剂型涂料、油墨、胶粘剂等，不属于纺织化纤内禁止印染项目的类别。</w:t>
                  </w:r>
                </w:p>
              </w:tc>
            </w:tr>
            <w:tr w14:paraId="045497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777" w:type="dxa"/>
                  <w:shd w:val="clear" w:color="auto" w:fill="auto"/>
                  <w:noWrap/>
                  <w:vAlign w:val="center"/>
                </w:tcPr>
                <w:p w14:paraId="3EAFD1E6">
                  <w:pPr>
                    <w:widowControl/>
                    <w:jc w:val="center"/>
                    <w:rPr>
                      <w:rFonts w:eastAsiaTheme="majorEastAsia"/>
                      <w:szCs w:val="21"/>
                    </w:rPr>
                  </w:pPr>
                  <w:r>
                    <w:rPr>
                      <w:rFonts w:eastAsiaTheme="majorEastAsia"/>
                      <w:szCs w:val="21"/>
                    </w:rPr>
                    <w:t>空间布局约束</w:t>
                  </w:r>
                </w:p>
              </w:tc>
              <w:tc>
                <w:tcPr>
                  <w:tcW w:w="4253" w:type="dxa"/>
                  <w:shd w:val="clear" w:color="auto" w:fill="auto"/>
                  <w:vAlign w:val="center"/>
                </w:tcPr>
                <w:p w14:paraId="7A144D27">
                  <w:pPr>
                    <w:widowControl/>
                    <w:rPr>
                      <w:rFonts w:eastAsiaTheme="majorEastAsia"/>
                      <w:szCs w:val="21"/>
                    </w:rPr>
                  </w:pPr>
                  <w:r>
                    <w:rPr>
                      <w:rFonts w:eastAsiaTheme="majorEastAsia"/>
                      <w:szCs w:val="21"/>
                    </w:rPr>
                    <w:t>1、成子河、废黄河为《江苏省骨干河道名录(2018年修订)》中的县域重要河流。在园区开发建设活动建议划定堤岸 5m 为缓冲范围区域，避免降低河道环境质量；</w:t>
                  </w:r>
                  <w:r>
                    <w:rPr>
                      <w:rFonts w:eastAsiaTheme="majorEastAsia"/>
                      <w:szCs w:val="21"/>
                    </w:rPr>
                    <w:br w:type="textWrapping"/>
                  </w:r>
                  <w:r>
                    <w:rPr>
                      <w:rFonts w:eastAsiaTheme="majorEastAsia"/>
                      <w:szCs w:val="21"/>
                    </w:rPr>
                    <w:t>2、临近敏感目标的区域应尽量布局低污染、无污染项目；</w:t>
                  </w:r>
                  <w:r>
                    <w:rPr>
                      <w:rFonts w:eastAsiaTheme="majorEastAsia"/>
                      <w:szCs w:val="21"/>
                    </w:rPr>
                    <w:br w:type="textWrapping"/>
                  </w:r>
                  <w:r>
                    <w:rPr>
                      <w:rFonts w:eastAsiaTheme="majorEastAsia"/>
                      <w:szCs w:val="21"/>
                    </w:rPr>
                    <w:t>3、上位规划及土地利用规划调整前，区内基本农田及部分冲突区域禁止进行开发建设；</w:t>
                  </w:r>
                  <w:r>
                    <w:rPr>
                      <w:rFonts w:eastAsiaTheme="majorEastAsia"/>
                      <w:szCs w:val="21"/>
                    </w:rPr>
                    <w:br w:type="textWrapping"/>
                  </w:r>
                  <w:r>
                    <w:rPr>
                      <w:rFonts w:eastAsiaTheme="majorEastAsia"/>
                      <w:szCs w:val="21"/>
                    </w:rPr>
                    <w:t>4、园区与周边居民点间设置 50m 防护隔离带。</w:t>
                  </w:r>
                </w:p>
              </w:tc>
              <w:tc>
                <w:tcPr>
                  <w:tcW w:w="2450" w:type="dxa"/>
                  <w:shd w:val="clear" w:color="auto" w:fill="auto"/>
                  <w:vAlign w:val="center"/>
                </w:tcPr>
                <w:p w14:paraId="77E0C0E2">
                  <w:pPr>
                    <w:widowControl/>
                    <w:rPr>
                      <w:rFonts w:eastAsiaTheme="majorEastAsia"/>
                      <w:szCs w:val="21"/>
                    </w:rPr>
                  </w:pPr>
                  <w:r>
                    <w:rPr>
                      <w:rFonts w:eastAsiaTheme="majorEastAsia"/>
                      <w:szCs w:val="21"/>
                    </w:rPr>
                    <w:t>本项目在国望现有厂区内扩建，不开发成子河、废黄河堤岸 5m 为缓冲范围区域，不会降低河道环境质量。本项目临近敏感目标，布局的纺丝项目污染较低。园区与周边居民点间设置 的50m 防护隔离带工作正在推进。</w:t>
                  </w:r>
                </w:p>
              </w:tc>
            </w:tr>
            <w:tr w14:paraId="31DD36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777" w:type="dxa"/>
                  <w:shd w:val="clear" w:color="auto" w:fill="auto"/>
                  <w:noWrap/>
                  <w:vAlign w:val="center"/>
                </w:tcPr>
                <w:p w14:paraId="3C4CF377">
                  <w:pPr>
                    <w:widowControl/>
                    <w:jc w:val="center"/>
                    <w:rPr>
                      <w:rFonts w:eastAsiaTheme="majorEastAsia"/>
                      <w:szCs w:val="21"/>
                    </w:rPr>
                  </w:pPr>
                  <w:r>
                    <w:rPr>
                      <w:rFonts w:eastAsiaTheme="majorEastAsia"/>
                      <w:szCs w:val="21"/>
                    </w:rPr>
                    <w:t>污染物排放管控</w:t>
                  </w:r>
                </w:p>
              </w:tc>
              <w:tc>
                <w:tcPr>
                  <w:tcW w:w="4253" w:type="dxa"/>
                  <w:shd w:val="clear" w:color="auto" w:fill="auto"/>
                  <w:vAlign w:val="center"/>
                </w:tcPr>
                <w:p w14:paraId="6F24E79B">
                  <w:pPr>
                    <w:widowControl/>
                    <w:jc w:val="left"/>
                    <w:rPr>
                      <w:rFonts w:eastAsiaTheme="majorEastAsia"/>
                      <w:szCs w:val="21"/>
                    </w:rPr>
                  </w:pPr>
                  <w:r>
                    <w:rPr>
                      <w:rFonts w:eastAsiaTheme="majorEastAsia"/>
                      <w:szCs w:val="21"/>
                    </w:rPr>
                    <w:t>区域污染物控制总量不得突破下述总量控制要求：1、新建排放二氧化硫、氨氧化物、烟粉尘、挥发性有机物的项目，按照相关文件要求进行总量平衡。</w:t>
                  </w:r>
                  <w:r>
                    <w:rPr>
                      <w:rFonts w:eastAsiaTheme="majorEastAsia"/>
                      <w:szCs w:val="21"/>
                    </w:rPr>
                    <w:br w:type="textWrapping"/>
                  </w:r>
                  <w:r>
                    <w:rPr>
                      <w:rFonts w:eastAsiaTheme="majorEastAsia"/>
                      <w:szCs w:val="21"/>
                    </w:rPr>
                    <w:t>2、区域污染物控制总量不得突破下述总量控制要求：大气污染物排放量：二氧化硫：269.5458t/a；氮氧化物：482.1024t/a；颗粒物：278.4822t/a；挥发性有机物：284.8053t/a。水污染物排放总量控制(接管考核量)：废水量:528.61万t/a (528.61万t/a)；COD:264.307t/a (2168.157t/a)；氨氮：26.432t/a (159.015t/a)；总氮：79.293t/a (217.680t/a)。</w:t>
                  </w:r>
                </w:p>
              </w:tc>
              <w:tc>
                <w:tcPr>
                  <w:tcW w:w="2450" w:type="dxa"/>
                  <w:shd w:val="clear" w:color="auto" w:fill="auto"/>
                  <w:vAlign w:val="center"/>
                </w:tcPr>
                <w:p w14:paraId="75D61B2B">
                  <w:pPr>
                    <w:widowControl/>
                    <w:rPr>
                      <w:rFonts w:eastAsiaTheme="majorEastAsia"/>
                      <w:szCs w:val="21"/>
                    </w:rPr>
                  </w:pPr>
                  <w:r>
                    <w:rPr>
                      <w:rFonts w:eastAsiaTheme="majorEastAsia"/>
                      <w:szCs w:val="21"/>
                    </w:rPr>
                    <w:t>本项目污染物在区域内平衡，不会突破区域污染物总量。</w:t>
                  </w:r>
                </w:p>
              </w:tc>
            </w:tr>
            <w:tr w14:paraId="7CFFF9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777" w:type="dxa"/>
                  <w:shd w:val="clear" w:color="auto" w:fill="auto"/>
                  <w:vAlign w:val="center"/>
                </w:tcPr>
                <w:p w14:paraId="0E7482C4">
                  <w:pPr>
                    <w:widowControl/>
                    <w:jc w:val="center"/>
                    <w:rPr>
                      <w:rFonts w:eastAsiaTheme="majorEastAsia"/>
                      <w:szCs w:val="21"/>
                    </w:rPr>
                  </w:pPr>
                  <w:r>
                    <w:rPr>
                      <w:rFonts w:eastAsiaTheme="majorEastAsia"/>
                      <w:szCs w:val="21"/>
                    </w:rPr>
                    <w:t>环境风险防控</w:t>
                  </w:r>
                </w:p>
              </w:tc>
              <w:tc>
                <w:tcPr>
                  <w:tcW w:w="4253" w:type="dxa"/>
                  <w:shd w:val="clear" w:color="auto" w:fill="auto"/>
                  <w:vAlign w:val="center"/>
                </w:tcPr>
                <w:p w14:paraId="26C95CF1">
                  <w:pPr>
                    <w:widowControl/>
                    <w:rPr>
                      <w:rFonts w:eastAsiaTheme="majorEastAsia"/>
                      <w:szCs w:val="21"/>
                    </w:rPr>
                  </w:pPr>
                  <w:r>
                    <w:rPr>
                      <w:rFonts w:eastAsiaTheme="majorEastAsia"/>
                      <w:szCs w:val="21"/>
                    </w:rPr>
                    <w:t>1、园区建立健全区域环境风险防范体系和生态安全保障体系，完善事故应急救援体系，加强应急物资装备储备，编制突发环境事件应急预案，定期开展演练及培训；</w:t>
                  </w:r>
                  <w:r>
                    <w:rPr>
                      <w:rFonts w:eastAsiaTheme="majorEastAsia"/>
                      <w:szCs w:val="21"/>
                    </w:rPr>
                    <w:br w:type="textWrapping"/>
                  </w:r>
                  <w:r>
                    <w:rPr>
                      <w:rFonts w:eastAsiaTheme="majorEastAsia"/>
                      <w:szCs w:val="21"/>
                    </w:rPr>
                    <w:t>2、生产、使用、储存危险化学品或其他存在环境风险的企业事业单位，应当采取风险防范措施，并按要求编制环境风险应急预案，防止发生环境污染事故；</w:t>
                  </w:r>
                  <w:r>
                    <w:rPr>
                      <w:rFonts w:eastAsiaTheme="majorEastAsia"/>
                      <w:szCs w:val="21"/>
                    </w:rPr>
                    <w:br w:type="textWrapping"/>
                  </w:r>
                  <w:r>
                    <w:rPr>
                      <w:rFonts w:eastAsiaTheme="majorEastAsia"/>
                      <w:szCs w:val="21"/>
                    </w:rPr>
                    <w:t>3、危险废物产生、贮存、转移和处置实行全过程环境监管，配套防扬散、防流失、防渗漏及其他防止污染环境的措施；</w:t>
                  </w:r>
                  <w:r>
                    <w:rPr>
                      <w:rFonts w:eastAsiaTheme="majorEastAsia"/>
                      <w:szCs w:val="21"/>
                    </w:rPr>
                    <w:br w:type="textWrapping"/>
                  </w:r>
                  <w:r>
                    <w:rPr>
                      <w:rFonts w:eastAsiaTheme="majorEastAsia"/>
                      <w:szCs w:val="21"/>
                    </w:rPr>
                    <w:t>4、建立有毒有害气体监控预警体系，完善重点监控区域预警和应急机制，对重大风险源实施在线监控预警；</w:t>
                  </w:r>
                  <w:r>
                    <w:rPr>
                      <w:rFonts w:eastAsiaTheme="majorEastAsia"/>
                      <w:szCs w:val="21"/>
                    </w:rPr>
                    <w:br w:type="textWrapping"/>
                  </w:r>
                  <w:r>
                    <w:rPr>
                      <w:rFonts w:eastAsiaTheme="majorEastAsia"/>
                      <w:szCs w:val="21"/>
                    </w:rPr>
                    <w:t>5、土壤污染重点监管单位应严格控制有毒有害物质排放，落实土壤和地下水污染隐患排查治理制度等；大气和水环境重点排污单位按照要求实施污染物在线监测并联网；</w:t>
                  </w:r>
                  <w:r>
                    <w:rPr>
                      <w:rFonts w:eastAsiaTheme="majorEastAsia"/>
                      <w:szCs w:val="21"/>
                    </w:rPr>
                    <w:br w:type="textWrapping"/>
                  </w:r>
                  <w:r>
                    <w:rPr>
                      <w:rFonts w:eastAsiaTheme="majorEastAsia"/>
                      <w:szCs w:val="21"/>
                    </w:rPr>
                    <w:t>6、加强环境影响跟踪监测与管理，建立健全环境空气、地表水、地下水、土壤等环境要素监控体系，完善并落实园区日常环境监测与污染源监控计划。</w:t>
                  </w:r>
                </w:p>
              </w:tc>
              <w:tc>
                <w:tcPr>
                  <w:tcW w:w="2450" w:type="dxa"/>
                  <w:shd w:val="clear" w:color="auto" w:fill="auto"/>
                  <w:vAlign w:val="center"/>
                </w:tcPr>
                <w:p w14:paraId="15FF44D2">
                  <w:pPr>
                    <w:widowControl/>
                    <w:rPr>
                      <w:rFonts w:eastAsiaTheme="majorEastAsia"/>
                      <w:szCs w:val="21"/>
                    </w:rPr>
                  </w:pPr>
                  <w:r>
                    <w:rPr>
                      <w:rFonts w:eastAsiaTheme="majorEastAsia"/>
                      <w:szCs w:val="21"/>
                    </w:rPr>
                    <w:t>企业已经编制突发环境事件应急预案，防止发生污染事故。本项目不涉及有毒有害气体。企业已落实大气环境重点排污单位按照要求实施污染物在线监测并联网的要求，按照例行监测要求开展日常监测工作，加强企业达标排放管理。</w:t>
                  </w:r>
                </w:p>
              </w:tc>
            </w:tr>
            <w:tr w14:paraId="450C47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777" w:type="dxa"/>
                  <w:shd w:val="clear" w:color="auto" w:fill="auto"/>
                  <w:noWrap/>
                  <w:vAlign w:val="center"/>
                </w:tcPr>
                <w:p w14:paraId="031DA701">
                  <w:pPr>
                    <w:widowControl/>
                    <w:jc w:val="center"/>
                    <w:rPr>
                      <w:rFonts w:eastAsiaTheme="majorEastAsia"/>
                      <w:szCs w:val="21"/>
                    </w:rPr>
                  </w:pPr>
                  <w:r>
                    <w:rPr>
                      <w:rFonts w:eastAsiaTheme="majorEastAsia"/>
                      <w:szCs w:val="21"/>
                    </w:rPr>
                    <w:t>资源利用效率要求</w:t>
                  </w:r>
                </w:p>
              </w:tc>
              <w:tc>
                <w:tcPr>
                  <w:tcW w:w="4253" w:type="dxa"/>
                  <w:shd w:val="clear" w:color="auto" w:fill="auto"/>
                  <w:vAlign w:val="center"/>
                </w:tcPr>
                <w:p w14:paraId="239C79E7">
                  <w:pPr>
                    <w:widowControl/>
                    <w:rPr>
                      <w:rFonts w:eastAsiaTheme="majorEastAsia"/>
                      <w:szCs w:val="21"/>
                    </w:rPr>
                  </w:pPr>
                  <w:r>
                    <w:rPr>
                      <w:rFonts w:eastAsiaTheme="majorEastAsia"/>
                      <w:szCs w:val="21"/>
                    </w:rPr>
                    <w:t>1、新建、改建、扩建项目应采用先进的技术和设备，清洁生产水平应达到同行业先进水平；</w:t>
                  </w:r>
                  <w:r>
                    <w:rPr>
                      <w:rFonts w:eastAsiaTheme="majorEastAsia"/>
                      <w:szCs w:val="21"/>
                    </w:rPr>
                    <w:br w:type="textWrapping"/>
                  </w:r>
                  <w:r>
                    <w:rPr>
                      <w:rFonts w:eastAsiaTheme="majorEastAsia"/>
                      <w:szCs w:val="21"/>
                    </w:rPr>
                    <w:t>2、除热电联产项目外，禁止新建、扩建燃用高污染燃料的项目和设施，推行天然气、电力等清洁能源。</w:t>
                  </w:r>
                </w:p>
              </w:tc>
              <w:tc>
                <w:tcPr>
                  <w:tcW w:w="2450" w:type="dxa"/>
                  <w:shd w:val="clear" w:color="auto" w:fill="auto"/>
                  <w:vAlign w:val="center"/>
                </w:tcPr>
                <w:p w14:paraId="44FD50A9">
                  <w:pPr>
                    <w:widowControl/>
                    <w:rPr>
                      <w:rFonts w:eastAsiaTheme="majorEastAsia"/>
                      <w:szCs w:val="21"/>
                    </w:rPr>
                  </w:pPr>
                  <w:r>
                    <w:rPr>
                      <w:rFonts w:eastAsiaTheme="majorEastAsia"/>
                      <w:szCs w:val="21"/>
                    </w:rPr>
                    <w:t>本项目属于扩建项目，采用的先进技术和设备，清洁生产水平能够达到同行业先进水平。本项目不使用高污染燃料，外购电力依托园区。</w:t>
                  </w:r>
                </w:p>
              </w:tc>
            </w:tr>
          </w:tbl>
          <w:p w14:paraId="0325867F">
            <w:pPr>
              <w:pStyle w:val="76"/>
              <w:spacing w:line="240" w:lineRule="auto"/>
              <w:ind w:firstLine="0" w:firstLineChars="0"/>
              <w:jc w:val="center"/>
              <w:rPr>
                <w:b/>
                <w:bCs/>
              </w:rPr>
            </w:pPr>
          </w:p>
          <w:p w14:paraId="51A56BC9">
            <w:pPr>
              <w:pStyle w:val="77"/>
              <w:ind w:firstLine="480" w:firstLineChars="200"/>
              <w:jc w:val="both"/>
              <w:rPr>
                <w:b w:val="0"/>
                <w:szCs w:val="24"/>
              </w:rPr>
            </w:pPr>
            <w:r>
              <w:rPr>
                <w:b w:val="0"/>
                <w:szCs w:val="24"/>
              </w:rPr>
              <w:t>本项目与其他相关准入负面清单相符性见下表。</w:t>
            </w:r>
          </w:p>
          <w:p w14:paraId="5224D9F5">
            <w:pPr>
              <w:pStyle w:val="77"/>
              <w:spacing w:line="240" w:lineRule="auto"/>
              <w:rPr>
                <w:szCs w:val="24"/>
              </w:rPr>
            </w:pPr>
            <w:r>
              <w:rPr>
                <w:szCs w:val="24"/>
              </w:rPr>
              <w:t>表1-4 与环境准入负面清单相符性</w:t>
            </w:r>
          </w:p>
          <w:tbl>
            <w:tblPr>
              <w:tblStyle w:val="4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7"/>
              <w:gridCol w:w="3845"/>
              <w:gridCol w:w="2126"/>
              <w:gridCol w:w="1062"/>
            </w:tblGrid>
            <w:tr w14:paraId="6999D3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9" w:type="pct"/>
                  <w:vAlign w:val="center"/>
                </w:tcPr>
                <w:p w14:paraId="6ACA77F9">
                  <w:pPr>
                    <w:pStyle w:val="74"/>
                    <w:rPr>
                      <w:b/>
                      <w:bCs/>
                      <w:szCs w:val="21"/>
                    </w:rPr>
                  </w:pPr>
                  <w:r>
                    <w:rPr>
                      <w:b/>
                      <w:bCs/>
                      <w:szCs w:val="21"/>
                    </w:rPr>
                    <w:t>序号</w:t>
                  </w:r>
                </w:p>
              </w:tc>
              <w:tc>
                <w:tcPr>
                  <w:tcW w:w="2570" w:type="pct"/>
                  <w:vAlign w:val="center"/>
                </w:tcPr>
                <w:p w14:paraId="746981D7">
                  <w:pPr>
                    <w:pStyle w:val="74"/>
                    <w:jc w:val="center"/>
                    <w:rPr>
                      <w:b/>
                      <w:bCs/>
                      <w:szCs w:val="21"/>
                    </w:rPr>
                  </w:pPr>
                  <w:r>
                    <w:rPr>
                      <w:b/>
                      <w:bCs/>
                      <w:szCs w:val="21"/>
                    </w:rPr>
                    <w:t>环境准入负面清单</w:t>
                  </w:r>
                </w:p>
              </w:tc>
              <w:tc>
                <w:tcPr>
                  <w:tcW w:w="1421" w:type="pct"/>
                  <w:vAlign w:val="center"/>
                </w:tcPr>
                <w:p w14:paraId="0EA71503">
                  <w:pPr>
                    <w:pStyle w:val="74"/>
                    <w:jc w:val="center"/>
                    <w:rPr>
                      <w:b/>
                      <w:bCs/>
                      <w:szCs w:val="21"/>
                    </w:rPr>
                  </w:pPr>
                  <w:r>
                    <w:rPr>
                      <w:b/>
                      <w:bCs/>
                      <w:szCs w:val="21"/>
                    </w:rPr>
                    <w:t>本项目情况</w:t>
                  </w:r>
                </w:p>
              </w:tc>
              <w:tc>
                <w:tcPr>
                  <w:tcW w:w="710" w:type="pct"/>
                  <w:vAlign w:val="center"/>
                </w:tcPr>
                <w:p w14:paraId="3ADDC9F7">
                  <w:pPr>
                    <w:pStyle w:val="74"/>
                    <w:jc w:val="center"/>
                    <w:rPr>
                      <w:b/>
                      <w:bCs/>
                      <w:szCs w:val="21"/>
                    </w:rPr>
                  </w:pPr>
                  <w:r>
                    <w:rPr>
                      <w:b/>
                      <w:bCs/>
                      <w:szCs w:val="21"/>
                    </w:rPr>
                    <w:t>相符性</w:t>
                  </w:r>
                </w:p>
              </w:tc>
            </w:tr>
            <w:tr w14:paraId="3A913A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9" w:type="pct"/>
                  <w:vAlign w:val="center"/>
                </w:tcPr>
                <w:p w14:paraId="4D488739">
                  <w:pPr>
                    <w:pStyle w:val="74"/>
                    <w:rPr>
                      <w:szCs w:val="21"/>
                    </w:rPr>
                  </w:pPr>
                  <w:r>
                    <w:rPr>
                      <w:szCs w:val="21"/>
                    </w:rPr>
                    <w:t>1</w:t>
                  </w:r>
                </w:p>
              </w:tc>
              <w:tc>
                <w:tcPr>
                  <w:tcW w:w="2570" w:type="pct"/>
                  <w:vAlign w:val="center"/>
                </w:tcPr>
                <w:p w14:paraId="72786FEB">
                  <w:pPr>
                    <w:pStyle w:val="74"/>
                    <w:rPr>
                      <w:szCs w:val="21"/>
                    </w:rPr>
                  </w:pPr>
                  <w:r>
                    <w:rPr>
                      <w:szCs w:val="21"/>
                    </w:rPr>
                    <w:t>泗阳高新技术产业开发区负面清单</w:t>
                  </w:r>
                </w:p>
              </w:tc>
              <w:tc>
                <w:tcPr>
                  <w:tcW w:w="1421" w:type="pct"/>
                  <w:vAlign w:val="center"/>
                </w:tcPr>
                <w:p w14:paraId="116A7EE3">
                  <w:pPr>
                    <w:pStyle w:val="74"/>
                    <w:rPr>
                      <w:szCs w:val="21"/>
                    </w:rPr>
                  </w:pPr>
                  <w:r>
                    <w:rPr>
                      <w:szCs w:val="21"/>
                    </w:rPr>
                    <w:t>本项目不在负面清单内，详见表1-</w:t>
                  </w:r>
                  <w:r>
                    <w:rPr>
                      <w:rFonts w:hint="eastAsia"/>
                      <w:szCs w:val="21"/>
                    </w:rPr>
                    <w:t>3</w:t>
                  </w:r>
                  <w:r>
                    <w:rPr>
                      <w:szCs w:val="21"/>
                    </w:rPr>
                    <w:t>。</w:t>
                  </w:r>
                </w:p>
              </w:tc>
              <w:tc>
                <w:tcPr>
                  <w:tcW w:w="710" w:type="pct"/>
                  <w:vAlign w:val="center"/>
                </w:tcPr>
                <w:p w14:paraId="3D928F53">
                  <w:pPr>
                    <w:pStyle w:val="74"/>
                    <w:jc w:val="center"/>
                    <w:rPr>
                      <w:szCs w:val="21"/>
                    </w:rPr>
                  </w:pPr>
                  <w:r>
                    <w:rPr>
                      <w:szCs w:val="21"/>
                    </w:rPr>
                    <w:t>相符</w:t>
                  </w:r>
                </w:p>
              </w:tc>
            </w:tr>
            <w:tr w14:paraId="3A7848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9" w:type="pct"/>
                  <w:vAlign w:val="center"/>
                </w:tcPr>
                <w:p w14:paraId="707352BA">
                  <w:pPr>
                    <w:pStyle w:val="74"/>
                    <w:rPr>
                      <w:szCs w:val="21"/>
                    </w:rPr>
                  </w:pPr>
                  <w:r>
                    <w:rPr>
                      <w:szCs w:val="21"/>
                    </w:rPr>
                    <w:t>2</w:t>
                  </w:r>
                </w:p>
              </w:tc>
              <w:tc>
                <w:tcPr>
                  <w:tcW w:w="2570" w:type="pct"/>
                  <w:vAlign w:val="center"/>
                </w:tcPr>
                <w:p w14:paraId="1339A85A">
                  <w:pPr>
                    <w:pStyle w:val="74"/>
                    <w:rPr>
                      <w:szCs w:val="21"/>
                    </w:rPr>
                  </w:pPr>
                  <w:r>
                    <w:rPr>
                      <w:szCs w:val="21"/>
                    </w:rPr>
                    <w:t>《市场准入负面清单》（2022版）</w:t>
                  </w:r>
                </w:p>
              </w:tc>
              <w:tc>
                <w:tcPr>
                  <w:tcW w:w="1421" w:type="pct"/>
                  <w:vAlign w:val="center"/>
                </w:tcPr>
                <w:p w14:paraId="25FC4510">
                  <w:pPr>
                    <w:pStyle w:val="74"/>
                    <w:rPr>
                      <w:szCs w:val="21"/>
                    </w:rPr>
                  </w:pPr>
                  <w:r>
                    <w:rPr>
                      <w:szCs w:val="21"/>
                    </w:rPr>
                    <w:t>本项目属于</w:t>
                  </w:r>
                  <w:r>
                    <w:rPr>
                      <w:bCs/>
                      <w:szCs w:val="21"/>
                    </w:rPr>
                    <w:t>C2822涤纶纤维制造、N7723固体废物治理，不属于禁止准入类项目。</w:t>
                  </w:r>
                </w:p>
              </w:tc>
              <w:tc>
                <w:tcPr>
                  <w:tcW w:w="710" w:type="pct"/>
                  <w:vAlign w:val="center"/>
                </w:tcPr>
                <w:p w14:paraId="59F22B69">
                  <w:pPr>
                    <w:pStyle w:val="74"/>
                    <w:jc w:val="center"/>
                    <w:rPr>
                      <w:szCs w:val="21"/>
                    </w:rPr>
                  </w:pPr>
                  <w:r>
                    <w:rPr>
                      <w:szCs w:val="21"/>
                    </w:rPr>
                    <w:t>相符</w:t>
                  </w:r>
                </w:p>
              </w:tc>
            </w:tr>
            <w:tr w14:paraId="5D7E8B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9" w:type="pct"/>
                  <w:vAlign w:val="center"/>
                </w:tcPr>
                <w:p w14:paraId="33869756">
                  <w:pPr>
                    <w:pStyle w:val="74"/>
                    <w:rPr>
                      <w:szCs w:val="21"/>
                    </w:rPr>
                  </w:pPr>
                  <w:r>
                    <w:rPr>
                      <w:szCs w:val="21"/>
                    </w:rPr>
                    <w:t>3</w:t>
                  </w:r>
                </w:p>
              </w:tc>
              <w:tc>
                <w:tcPr>
                  <w:tcW w:w="2570" w:type="pct"/>
                  <w:vAlign w:val="center"/>
                </w:tcPr>
                <w:p w14:paraId="4D689216">
                  <w:pPr>
                    <w:rPr>
                      <w:szCs w:val="21"/>
                    </w:rPr>
                  </w:pPr>
                  <w:r>
                    <w:rPr>
                      <w:szCs w:val="21"/>
                    </w:rPr>
                    <w:t>《长江经济带发展负面清单指南（试行，2022年版）》（长江办〔2022〕7号）</w:t>
                  </w:r>
                </w:p>
              </w:tc>
              <w:tc>
                <w:tcPr>
                  <w:tcW w:w="1421" w:type="pct"/>
                  <w:vAlign w:val="center"/>
                </w:tcPr>
                <w:p w14:paraId="3FB939A6">
                  <w:pPr>
                    <w:pStyle w:val="74"/>
                    <w:rPr>
                      <w:szCs w:val="21"/>
                    </w:rPr>
                  </w:pPr>
                  <w:r>
                    <w:rPr>
                      <w:szCs w:val="21"/>
                    </w:rPr>
                    <w:t>本项目不属于负面清单中项目，详见表1-5</w:t>
                  </w:r>
                  <w:r>
                    <w:rPr>
                      <w:rFonts w:hint="eastAsia"/>
                      <w:szCs w:val="21"/>
                    </w:rPr>
                    <w:t>。</w:t>
                  </w:r>
                </w:p>
              </w:tc>
              <w:tc>
                <w:tcPr>
                  <w:tcW w:w="710" w:type="pct"/>
                  <w:vAlign w:val="center"/>
                </w:tcPr>
                <w:p w14:paraId="3FE55F1C">
                  <w:pPr>
                    <w:pStyle w:val="74"/>
                    <w:jc w:val="center"/>
                    <w:rPr>
                      <w:szCs w:val="21"/>
                    </w:rPr>
                  </w:pPr>
                  <w:r>
                    <w:rPr>
                      <w:szCs w:val="21"/>
                    </w:rPr>
                    <w:t>相符</w:t>
                  </w:r>
                </w:p>
              </w:tc>
            </w:tr>
            <w:tr w14:paraId="257428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9" w:type="pct"/>
                  <w:vAlign w:val="center"/>
                </w:tcPr>
                <w:p w14:paraId="5AC59D52">
                  <w:pPr>
                    <w:pStyle w:val="74"/>
                    <w:rPr>
                      <w:szCs w:val="21"/>
                    </w:rPr>
                  </w:pPr>
                  <w:r>
                    <w:rPr>
                      <w:szCs w:val="21"/>
                    </w:rPr>
                    <w:t>4</w:t>
                  </w:r>
                </w:p>
              </w:tc>
              <w:tc>
                <w:tcPr>
                  <w:tcW w:w="2570" w:type="pct"/>
                  <w:vAlign w:val="center"/>
                </w:tcPr>
                <w:p w14:paraId="6A3143EE">
                  <w:pPr>
                    <w:pStyle w:val="74"/>
                    <w:rPr>
                      <w:szCs w:val="21"/>
                    </w:rPr>
                  </w:pPr>
                  <w:r>
                    <w:rPr>
                      <w:szCs w:val="21"/>
                    </w:rPr>
                    <w:t>《&lt;长江经济带发展负面清单指南（试</w:t>
                  </w:r>
                </w:p>
                <w:p w14:paraId="7F07E5F0">
                  <w:pPr>
                    <w:pStyle w:val="74"/>
                    <w:rPr>
                      <w:szCs w:val="21"/>
                    </w:rPr>
                  </w:pPr>
                  <w:r>
                    <w:rPr>
                      <w:szCs w:val="21"/>
                    </w:rPr>
                    <w:t>行，2022年版）&gt;江苏省实施细则》（苏长江办发〔2022〕55号）</w:t>
                  </w:r>
                </w:p>
              </w:tc>
              <w:tc>
                <w:tcPr>
                  <w:tcW w:w="1421" w:type="pct"/>
                  <w:vAlign w:val="center"/>
                </w:tcPr>
                <w:p w14:paraId="6D0D1847">
                  <w:pPr>
                    <w:pStyle w:val="74"/>
                    <w:rPr>
                      <w:szCs w:val="21"/>
                    </w:rPr>
                  </w:pPr>
                  <w:r>
                    <w:rPr>
                      <w:szCs w:val="21"/>
                    </w:rPr>
                    <w:t>本项目不属于负面清单中项目，详见表1-6。</w:t>
                  </w:r>
                </w:p>
              </w:tc>
              <w:tc>
                <w:tcPr>
                  <w:tcW w:w="710" w:type="pct"/>
                  <w:vAlign w:val="center"/>
                </w:tcPr>
                <w:p w14:paraId="2A6951CF">
                  <w:pPr>
                    <w:pStyle w:val="74"/>
                    <w:jc w:val="center"/>
                    <w:rPr>
                      <w:szCs w:val="21"/>
                    </w:rPr>
                  </w:pPr>
                  <w:r>
                    <w:rPr>
                      <w:szCs w:val="21"/>
                    </w:rPr>
                    <w:t>相符</w:t>
                  </w:r>
                </w:p>
              </w:tc>
            </w:tr>
            <w:tr w14:paraId="3E00AB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9" w:type="pct"/>
                  <w:vAlign w:val="center"/>
                </w:tcPr>
                <w:p w14:paraId="7454A9D4">
                  <w:pPr>
                    <w:pStyle w:val="74"/>
                    <w:rPr>
                      <w:szCs w:val="21"/>
                    </w:rPr>
                  </w:pPr>
                  <w:r>
                    <w:rPr>
                      <w:szCs w:val="21"/>
                    </w:rPr>
                    <w:t>5</w:t>
                  </w:r>
                </w:p>
              </w:tc>
              <w:tc>
                <w:tcPr>
                  <w:tcW w:w="2570" w:type="pct"/>
                  <w:vAlign w:val="center"/>
                </w:tcPr>
                <w:p w14:paraId="6F040DE4">
                  <w:pPr>
                    <w:pStyle w:val="74"/>
                    <w:rPr>
                      <w:szCs w:val="21"/>
                    </w:rPr>
                  </w:pPr>
                  <w:r>
                    <w:rPr>
                      <w:szCs w:val="21"/>
                    </w:rPr>
                    <w:t>《产业结构调整指导目录2024》</w:t>
                  </w:r>
                </w:p>
              </w:tc>
              <w:tc>
                <w:tcPr>
                  <w:tcW w:w="1421" w:type="pct"/>
                  <w:vAlign w:val="center"/>
                </w:tcPr>
                <w:p w14:paraId="0995E8FB">
                  <w:pPr>
                    <w:pStyle w:val="74"/>
                    <w:rPr>
                      <w:szCs w:val="21"/>
                    </w:rPr>
                  </w:pPr>
                  <w:r>
                    <w:rPr>
                      <w:szCs w:val="21"/>
                    </w:rPr>
                    <w:t>本项目不属于限制类、淘汰类项目。</w:t>
                  </w:r>
                </w:p>
              </w:tc>
              <w:tc>
                <w:tcPr>
                  <w:tcW w:w="710" w:type="pct"/>
                  <w:vAlign w:val="center"/>
                </w:tcPr>
                <w:p w14:paraId="5717901E">
                  <w:pPr>
                    <w:pStyle w:val="74"/>
                    <w:jc w:val="center"/>
                    <w:rPr>
                      <w:szCs w:val="21"/>
                    </w:rPr>
                  </w:pPr>
                  <w:r>
                    <w:rPr>
                      <w:szCs w:val="21"/>
                    </w:rPr>
                    <w:t>相符</w:t>
                  </w:r>
                </w:p>
              </w:tc>
            </w:tr>
          </w:tbl>
          <w:p w14:paraId="3ACC0708">
            <w:pPr>
              <w:pStyle w:val="77"/>
              <w:spacing w:line="240" w:lineRule="auto"/>
              <w:rPr>
                <w:sz w:val="32"/>
                <w:szCs w:val="32"/>
              </w:rPr>
            </w:pPr>
            <w:r>
              <w:rPr>
                <w:szCs w:val="24"/>
              </w:rPr>
              <w:t>表1-5 与《长江经济带发展负面清单指南（试行，2022年版）》（长江办〔2022〕7号）相符性分析</w:t>
            </w:r>
          </w:p>
          <w:tbl>
            <w:tblPr>
              <w:tblStyle w:val="4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3502"/>
              <w:gridCol w:w="2793"/>
              <w:gridCol w:w="758"/>
            </w:tblGrid>
            <w:tr w14:paraId="3F80D9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tcBorders>
                    <w:tl2br w:val="nil"/>
                    <w:tr2bl w:val="nil"/>
                  </w:tcBorders>
                  <w:vAlign w:val="center"/>
                </w:tcPr>
                <w:p w14:paraId="403687C9">
                  <w:pPr>
                    <w:pStyle w:val="74"/>
                    <w:jc w:val="center"/>
                    <w:rPr>
                      <w:b/>
                      <w:bCs/>
                      <w:szCs w:val="21"/>
                    </w:rPr>
                  </w:pPr>
                  <w:r>
                    <w:rPr>
                      <w:b/>
                      <w:bCs/>
                      <w:szCs w:val="21"/>
                    </w:rPr>
                    <w:t>序号</w:t>
                  </w:r>
                </w:p>
              </w:tc>
              <w:tc>
                <w:tcPr>
                  <w:tcW w:w="2341" w:type="pct"/>
                  <w:tcBorders>
                    <w:tl2br w:val="nil"/>
                    <w:tr2bl w:val="nil"/>
                  </w:tcBorders>
                  <w:vAlign w:val="center"/>
                </w:tcPr>
                <w:p w14:paraId="0704079C">
                  <w:pPr>
                    <w:pStyle w:val="74"/>
                    <w:jc w:val="center"/>
                    <w:rPr>
                      <w:b/>
                      <w:bCs/>
                      <w:szCs w:val="21"/>
                    </w:rPr>
                  </w:pPr>
                  <w:r>
                    <w:rPr>
                      <w:b/>
                      <w:bCs/>
                      <w:szCs w:val="21"/>
                    </w:rPr>
                    <w:t>指南要求</w:t>
                  </w:r>
                </w:p>
              </w:tc>
              <w:tc>
                <w:tcPr>
                  <w:tcW w:w="1867" w:type="pct"/>
                  <w:tcBorders>
                    <w:tl2br w:val="nil"/>
                    <w:tr2bl w:val="nil"/>
                  </w:tcBorders>
                  <w:vAlign w:val="center"/>
                </w:tcPr>
                <w:p w14:paraId="40A49A21">
                  <w:pPr>
                    <w:pStyle w:val="74"/>
                    <w:jc w:val="center"/>
                    <w:rPr>
                      <w:b/>
                      <w:bCs/>
                      <w:szCs w:val="21"/>
                    </w:rPr>
                  </w:pPr>
                  <w:r>
                    <w:rPr>
                      <w:b/>
                      <w:bCs/>
                      <w:szCs w:val="21"/>
                    </w:rPr>
                    <w:t>本项目情况</w:t>
                  </w:r>
                </w:p>
              </w:tc>
              <w:tc>
                <w:tcPr>
                  <w:tcW w:w="507" w:type="pct"/>
                  <w:tcBorders>
                    <w:tl2br w:val="nil"/>
                    <w:tr2bl w:val="nil"/>
                  </w:tcBorders>
                  <w:vAlign w:val="center"/>
                </w:tcPr>
                <w:p w14:paraId="05B9AF25">
                  <w:pPr>
                    <w:pStyle w:val="74"/>
                    <w:jc w:val="center"/>
                    <w:rPr>
                      <w:b/>
                      <w:bCs/>
                      <w:szCs w:val="21"/>
                    </w:rPr>
                  </w:pPr>
                  <w:r>
                    <w:rPr>
                      <w:b/>
                      <w:bCs/>
                      <w:szCs w:val="21"/>
                    </w:rPr>
                    <w:t>相符性</w:t>
                  </w:r>
                </w:p>
              </w:tc>
            </w:tr>
            <w:tr w14:paraId="787693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tcBorders>
                    <w:tl2br w:val="nil"/>
                    <w:tr2bl w:val="nil"/>
                  </w:tcBorders>
                  <w:vAlign w:val="center"/>
                </w:tcPr>
                <w:p w14:paraId="4D1309C2">
                  <w:pPr>
                    <w:pStyle w:val="74"/>
                    <w:jc w:val="center"/>
                    <w:rPr>
                      <w:szCs w:val="21"/>
                    </w:rPr>
                  </w:pPr>
                  <w:r>
                    <w:rPr>
                      <w:szCs w:val="21"/>
                    </w:rPr>
                    <w:t>1</w:t>
                  </w:r>
                </w:p>
              </w:tc>
              <w:tc>
                <w:tcPr>
                  <w:tcW w:w="2341" w:type="pct"/>
                  <w:tcBorders>
                    <w:tl2br w:val="nil"/>
                    <w:tr2bl w:val="nil"/>
                  </w:tcBorders>
                  <w:vAlign w:val="center"/>
                </w:tcPr>
                <w:p w14:paraId="6E6A28FF">
                  <w:pPr>
                    <w:pStyle w:val="74"/>
                    <w:rPr>
                      <w:szCs w:val="21"/>
                    </w:rPr>
                  </w:pPr>
                  <w:r>
                    <w:rPr>
                      <w:szCs w:val="21"/>
                    </w:rPr>
                    <w:t>禁止建设不符合全国和省级港口布局规划以及港口总体规划的码头项目，禁止建设不符合《长江干线过江通道布局规划》的过长江通道项目。</w:t>
                  </w:r>
                </w:p>
              </w:tc>
              <w:tc>
                <w:tcPr>
                  <w:tcW w:w="1867" w:type="pct"/>
                  <w:tcBorders>
                    <w:tl2br w:val="nil"/>
                    <w:tr2bl w:val="nil"/>
                  </w:tcBorders>
                  <w:vAlign w:val="center"/>
                </w:tcPr>
                <w:p w14:paraId="79B3B073">
                  <w:pPr>
                    <w:pStyle w:val="74"/>
                    <w:rPr>
                      <w:szCs w:val="21"/>
                    </w:rPr>
                  </w:pPr>
                  <w:r>
                    <w:rPr>
                      <w:szCs w:val="21"/>
                    </w:rPr>
                    <w:t>本项目属于</w:t>
                  </w:r>
                  <w:r>
                    <w:rPr>
                      <w:rFonts w:hint="eastAsia"/>
                      <w:bCs/>
                      <w:szCs w:val="21"/>
                    </w:rPr>
                    <w:t>化学纤维制造行业</w:t>
                  </w:r>
                  <w:r>
                    <w:rPr>
                      <w:bCs/>
                      <w:szCs w:val="21"/>
                    </w:rPr>
                    <w:t>、固体废物治理</w:t>
                  </w:r>
                  <w:r>
                    <w:rPr>
                      <w:rFonts w:hint="eastAsia"/>
                      <w:bCs/>
                      <w:szCs w:val="21"/>
                    </w:rPr>
                    <w:t>行业</w:t>
                  </w:r>
                  <w:r>
                    <w:rPr>
                      <w:szCs w:val="21"/>
                    </w:rPr>
                    <w:t>，不属于码头、过长江通道项目。</w:t>
                  </w:r>
                </w:p>
              </w:tc>
              <w:tc>
                <w:tcPr>
                  <w:tcW w:w="507" w:type="pct"/>
                  <w:tcBorders>
                    <w:tl2br w:val="nil"/>
                    <w:tr2bl w:val="nil"/>
                  </w:tcBorders>
                  <w:vAlign w:val="center"/>
                </w:tcPr>
                <w:p w14:paraId="7D8528AE">
                  <w:pPr>
                    <w:pStyle w:val="74"/>
                    <w:jc w:val="center"/>
                    <w:rPr>
                      <w:szCs w:val="21"/>
                    </w:rPr>
                  </w:pPr>
                  <w:r>
                    <w:rPr>
                      <w:szCs w:val="21"/>
                    </w:rPr>
                    <w:t>相符</w:t>
                  </w:r>
                </w:p>
              </w:tc>
            </w:tr>
            <w:tr w14:paraId="18001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tcBorders>
                    <w:tl2br w:val="nil"/>
                    <w:tr2bl w:val="nil"/>
                  </w:tcBorders>
                  <w:vAlign w:val="center"/>
                </w:tcPr>
                <w:p w14:paraId="780A10B4">
                  <w:pPr>
                    <w:pStyle w:val="74"/>
                    <w:jc w:val="center"/>
                    <w:rPr>
                      <w:szCs w:val="21"/>
                    </w:rPr>
                  </w:pPr>
                  <w:r>
                    <w:rPr>
                      <w:szCs w:val="21"/>
                    </w:rPr>
                    <w:t>2</w:t>
                  </w:r>
                </w:p>
              </w:tc>
              <w:tc>
                <w:tcPr>
                  <w:tcW w:w="2341" w:type="pct"/>
                  <w:tcBorders>
                    <w:tl2br w:val="nil"/>
                    <w:tr2bl w:val="nil"/>
                  </w:tcBorders>
                  <w:vAlign w:val="center"/>
                </w:tcPr>
                <w:p w14:paraId="352FB06B">
                  <w:pPr>
                    <w:pStyle w:val="74"/>
                    <w:rPr>
                      <w:szCs w:val="21"/>
                    </w:rPr>
                  </w:pPr>
                  <w:r>
                    <w:rPr>
                      <w:szCs w:val="21"/>
                    </w:rPr>
                    <w:t>禁止在自然保护区核心区、缓冲区的岸线和河段范围内投资建设旅游和生产经营项目。禁止在风景名胜区核心景区的岸线和河段范围内投资建设与风景名胜资源保护无关的项目。</w:t>
                  </w:r>
                </w:p>
              </w:tc>
              <w:tc>
                <w:tcPr>
                  <w:tcW w:w="1867" w:type="pct"/>
                  <w:tcBorders>
                    <w:tl2br w:val="nil"/>
                    <w:tr2bl w:val="nil"/>
                  </w:tcBorders>
                  <w:vAlign w:val="center"/>
                </w:tcPr>
                <w:p w14:paraId="018FC96C">
                  <w:pPr>
                    <w:pStyle w:val="74"/>
                    <w:rPr>
                      <w:szCs w:val="21"/>
                    </w:rPr>
                  </w:pPr>
                  <w:r>
                    <w:rPr>
                      <w:szCs w:val="21"/>
                    </w:rPr>
                    <w:t>本项目位于泗阳高新技术产业开发区内，不在自然保护区核心区、缓冲区的岸线和河段范围内，不在国家级和省级风景名胜区核心景区的岸线和河段范围内。</w:t>
                  </w:r>
                </w:p>
              </w:tc>
              <w:tc>
                <w:tcPr>
                  <w:tcW w:w="507" w:type="pct"/>
                  <w:tcBorders>
                    <w:tl2br w:val="nil"/>
                    <w:tr2bl w:val="nil"/>
                  </w:tcBorders>
                  <w:vAlign w:val="center"/>
                </w:tcPr>
                <w:p w14:paraId="042EF1D4">
                  <w:pPr>
                    <w:pStyle w:val="74"/>
                    <w:jc w:val="center"/>
                    <w:rPr>
                      <w:szCs w:val="21"/>
                    </w:rPr>
                  </w:pPr>
                  <w:r>
                    <w:rPr>
                      <w:szCs w:val="21"/>
                    </w:rPr>
                    <w:t>相符</w:t>
                  </w:r>
                </w:p>
              </w:tc>
            </w:tr>
            <w:tr w14:paraId="4EF853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tcBorders>
                    <w:tl2br w:val="nil"/>
                    <w:tr2bl w:val="nil"/>
                  </w:tcBorders>
                  <w:vAlign w:val="center"/>
                </w:tcPr>
                <w:p w14:paraId="55A5BB82">
                  <w:pPr>
                    <w:pStyle w:val="74"/>
                    <w:jc w:val="center"/>
                    <w:rPr>
                      <w:szCs w:val="21"/>
                    </w:rPr>
                  </w:pPr>
                  <w:r>
                    <w:rPr>
                      <w:szCs w:val="21"/>
                    </w:rPr>
                    <w:t>3</w:t>
                  </w:r>
                </w:p>
              </w:tc>
              <w:tc>
                <w:tcPr>
                  <w:tcW w:w="2341" w:type="pct"/>
                  <w:tcBorders>
                    <w:tl2br w:val="nil"/>
                    <w:tr2bl w:val="nil"/>
                  </w:tcBorders>
                  <w:vAlign w:val="center"/>
                </w:tcPr>
                <w:p w14:paraId="52174BB0">
                  <w:pPr>
                    <w:pStyle w:val="74"/>
                    <w:rPr>
                      <w:szCs w:val="21"/>
                    </w:rPr>
                  </w:pPr>
                  <w:r>
                    <w:rPr>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867" w:type="pct"/>
                  <w:tcBorders>
                    <w:tl2br w:val="nil"/>
                    <w:tr2bl w:val="nil"/>
                  </w:tcBorders>
                  <w:vAlign w:val="center"/>
                </w:tcPr>
                <w:p w14:paraId="62BF8CB5">
                  <w:pPr>
                    <w:pStyle w:val="74"/>
                    <w:rPr>
                      <w:szCs w:val="21"/>
                    </w:rPr>
                  </w:pPr>
                  <w:r>
                    <w:rPr>
                      <w:szCs w:val="21"/>
                    </w:rPr>
                    <w:t>本项目位于泗阳高新技术产业开发区内，不在饮用水水源一级保护区的岸线和河段范围内、不在饮用水水源二级保护区的岸线和河段范围内。</w:t>
                  </w:r>
                </w:p>
              </w:tc>
              <w:tc>
                <w:tcPr>
                  <w:tcW w:w="507" w:type="pct"/>
                  <w:tcBorders>
                    <w:tl2br w:val="nil"/>
                    <w:tr2bl w:val="nil"/>
                  </w:tcBorders>
                  <w:vAlign w:val="center"/>
                </w:tcPr>
                <w:p w14:paraId="6985D990">
                  <w:pPr>
                    <w:pStyle w:val="74"/>
                    <w:jc w:val="center"/>
                    <w:rPr>
                      <w:szCs w:val="21"/>
                    </w:rPr>
                  </w:pPr>
                  <w:r>
                    <w:rPr>
                      <w:szCs w:val="21"/>
                    </w:rPr>
                    <w:t>相符</w:t>
                  </w:r>
                </w:p>
              </w:tc>
            </w:tr>
            <w:tr w14:paraId="4AB42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tcBorders>
                    <w:tl2br w:val="nil"/>
                    <w:tr2bl w:val="nil"/>
                  </w:tcBorders>
                  <w:vAlign w:val="center"/>
                </w:tcPr>
                <w:p w14:paraId="2796656D">
                  <w:pPr>
                    <w:pStyle w:val="74"/>
                    <w:jc w:val="center"/>
                    <w:rPr>
                      <w:szCs w:val="21"/>
                    </w:rPr>
                  </w:pPr>
                  <w:r>
                    <w:rPr>
                      <w:szCs w:val="21"/>
                    </w:rPr>
                    <w:t>4</w:t>
                  </w:r>
                </w:p>
              </w:tc>
              <w:tc>
                <w:tcPr>
                  <w:tcW w:w="2341" w:type="pct"/>
                  <w:tcBorders>
                    <w:tl2br w:val="nil"/>
                    <w:tr2bl w:val="nil"/>
                  </w:tcBorders>
                  <w:vAlign w:val="center"/>
                </w:tcPr>
                <w:p w14:paraId="4FBDC251">
                  <w:pPr>
                    <w:pStyle w:val="74"/>
                    <w:rPr>
                      <w:szCs w:val="21"/>
                    </w:rPr>
                  </w:pPr>
                  <w:r>
                    <w:rPr>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867" w:type="pct"/>
                  <w:tcBorders>
                    <w:tl2br w:val="nil"/>
                    <w:tr2bl w:val="nil"/>
                  </w:tcBorders>
                  <w:vAlign w:val="center"/>
                </w:tcPr>
                <w:p w14:paraId="3DD46E59">
                  <w:pPr>
                    <w:pStyle w:val="74"/>
                    <w:rPr>
                      <w:szCs w:val="21"/>
                    </w:rPr>
                  </w:pPr>
                  <w:r>
                    <w:rPr>
                      <w:szCs w:val="21"/>
                    </w:rPr>
                    <w:t>本项目位于泗阳高新技术产业开发区内，不在水产种质资源保护区的岸线和河段范围内、不在国家湿地公园的岸线和河段范围内。</w:t>
                  </w:r>
                </w:p>
              </w:tc>
              <w:tc>
                <w:tcPr>
                  <w:tcW w:w="507" w:type="pct"/>
                  <w:tcBorders>
                    <w:tl2br w:val="nil"/>
                    <w:tr2bl w:val="nil"/>
                  </w:tcBorders>
                  <w:vAlign w:val="center"/>
                </w:tcPr>
                <w:p w14:paraId="199A2CC4">
                  <w:pPr>
                    <w:pStyle w:val="74"/>
                    <w:jc w:val="center"/>
                    <w:rPr>
                      <w:szCs w:val="21"/>
                    </w:rPr>
                  </w:pPr>
                  <w:r>
                    <w:rPr>
                      <w:szCs w:val="21"/>
                    </w:rPr>
                    <w:t>相符</w:t>
                  </w:r>
                </w:p>
              </w:tc>
            </w:tr>
            <w:tr w14:paraId="1EE57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tcBorders>
                    <w:tl2br w:val="nil"/>
                    <w:tr2bl w:val="nil"/>
                  </w:tcBorders>
                  <w:vAlign w:val="center"/>
                </w:tcPr>
                <w:p w14:paraId="7D1367CC">
                  <w:pPr>
                    <w:pStyle w:val="74"/>
                    <w:jc w:val="center"/>
                    <w:rPr>
                      <w:szCs w:val="21"/>
                    </w:rPr>
                  </w:pPr>
                  <w:r>
                    <w:rPr>
                      <w:szCs w:val="21"/>
                    </w:rPr>
                    <w:t>5</w:t>
                  </w:r>
                </w:p>
              </w:tc>
              <w:tc>
                <w:tcPr>
                  <w:tcW w:w="2341" w:type="pct"/>
                  <w:tcBorders>
                    <w:tl2br w:val="nil"/>
                    <w:tr2bl w:val="nil"/>
                  </w:tcBorders>
                  <w:vAlign w:val="center"/>
                </w:tcPr>
                <w:p w14:paraId="6C81EC4D">
                  <w:pPr>
                    <w:pStyle w:val="74"/>
                    <w:rPr>
                      <w:szCs w:val="21"/>
                    </w:rPr>
                  </w:pPr>
                  <w:r>
                    <w:rPr>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867" w:type="pct"/>
                  <w:tcBorders>
                    <w:tl2br w:val="nil"/>
                    <w:tr2bl w:val="nil"/>
                  </w:tcBorders>
                  <w:vAlign w:val="center"/>
                </w:tcPr>
                <w:p w14:paraId="4F533517">
                  <w:pPr>
                    <w:pStyle w:val="74"/>
                    <w:rPr>
                      <w:szCs w:val="21"/>
                    </w:rPr>
                  </w:pPr>
                  <w:r>
                    <w:rPr>
                      <w:szCs w:val="21"/>
                    </w:rPr>
                    <w:t>本项目位于泗阳高新技术产业开发区</w:t>
                  </w:r>
                  <w:bookmarkStart w:id="19" w:name="OLE_LINK17"/>
                  <w:r>
                    <w:rPr>
                      <w:szCs w:val="21"/>
                    </w:rPr>
                    <w:t>内</w:t>
                  </w:r>
                  <w:bookmarkEnd w:id="19"/>
                  <w:r>
                    <w:rPr>
                      <w:szCs w:val="21"/>
                    </w:rPr>
                    <w:t>，不在长江流域河湖岸线内、不在《长江岸线保护和开发利用总体规划》划定的岸线保护区和保留区内、不在《全国重要江河湖泊水功能区划》划定的河段及湖泊保护区、保留区内。</w:t>
                  </w:r>
                </w:p>
              </w:tc>
              <w:tc>
                <w:tcPr>
                  <w:tcW w:w="507" w:type="pct"/>
                  <w:tcBorders>
                    <w:tl2br w:val="nil"/>
                    <w:tr2bl w:val="nil"/>
                  </w:tcBorders>
                  <w:vAlign w:val="center"/>
                </w:tcPr>
                <w:p w14:paraId="46289B95">
                  <w:pPr>
                    <w:pStyle w:val="74"/>
                    <w:jc w:val="center"/>
                    <w:rPr>
                      <w:szCs w:val="21"/>
                    </w:rPr>
                  </w:pPr>
                  <w:r>
                    <w:rPr>
                      <w:szCs w:val="21"/>
                    </w:rPr>
                    <w:t>相符</w:t>
                  </w:r>
                </w:p>
              </w:tc>
            </w:tr>
            <w:tr w14:paraId="7B0B8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tcBorders>
                    <w:tl2br w:val="nil"/>
                    <w:tr2bl w:val="nil"/>
                  </w:tcBorders>
                  <w:vAlign w:val="center"/>
                </w:tcPr>
                <w:p w14:paraId="6306BE23">
                  <w:pPr>
                    <w:pStyle w:val="74"/>
                    <w:jc w:val="center"/>
                    <w:rPr>
                      <w:szCs w:val="21"/>
                    </w:rPr>
                  </w:pPr>
                  <w:r>
                    <w:rPr>
                      <w:szCs w:val="21"/>
                    </w:rPr>
                    <w:t>6</w:t>
                  </w:r>
                </w:p>
              </w:tc>
              <w:tc>
                <w:tcPr>
                  <w:tcW w:w="2341" w:type="pct"/>
                  <w:tcBorders>
                    <w:tl2br w:val="nil"/>
                    <w:tr2bl w:val="nil"/>
                  </w:tcBorders>
                  <w:vAlign w:val="center"/>
                </w:tcPr>
                <w:p w14:paraId="14B93483">
                  <w:pPr>
                    <w:pStyle w:val="74"/>
                    <w:rPr>
                      <w:szCs w:val="21"/>
                    </w:rPr>
                  </w:pPr>
                  <w:r>
                    <w:rPr>
                      <w:szCs w:val="21"/>
                    </w:rPr>
                    <w:t>禁止未经许可在长江干支流及湖泊新设、改设或扩大排污口。</w:t>
                  </w:r>
                </w:p>
              </w:tc>
              <w:tc>
                <w:tcPr>
                  <w:tcW w:w="1867" w:type="pct"/>
                  <w:tcBorders>
                    <w:tl2br w:val="nil"/>
                    <w:tr2bl w:val="nil"/>
                  </w:tcBorders>
                  <w:vAlign w:val="center"/>
                </w:tcPr>
                <w:p w14:paraId="2020395E">
                  <w:pPr>
                    <w:pStyle w:val="74"/>
                    <w:rPr>
                      <w:szCs w:val="21"/>
                    </w:rPr>
                  </w:pPr>
                  <w:r>
                    <w:rPr>
                      <w:szCs w:val="21"/>
                    </w:rPr>
                    <w:t>本项目不在长江干支流及湖泊新设、改设或扩大排污口。</w:t>
                  </w:r>
                </w:p>
              </w:tc>
              <w:tc>
                <w:tcPr>
                  <w:tcW w:w="507" w:type="pct"/>
                  <w:tcBorders>
                    <w:tl2br w:val="nil"/>
                    <w:tr2bl w:val="nil"/>
                  </w:tcBorders>
                  <w:vAlign w:val="center"/>
                </w:tcPr>
                <w:p w14:paraId="0F459255">
                  <w:pPr>
                    <w:pStyle w:val="74"/>
                    <w:jc w:val="center"/>
                    <w:rPr>
                      <w:szCs w:val="21"/>
                    </w:rPr>
                  </w:pPr>
                  <w:r>
                    <w:rPr>
                      <w:szCs w:val="21"/>
                    </w:rPr>
                    <w:t>相符</w:t>
                  </w:r>
                </w:p>
              </w:tc>
            </w:tr>
            <w:tr w14:paraId="5BEFCE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tcBorders>
                    <w:tl2br w:val="nil"/>
                    <w:tr2bl w:val="nil"/>
                  </w:tcBorders>
                  <w:vAlign w:val="center"/>
                </w:tcPr>
                <w:p w14:paraId="0597E1BF">
                  <w:pPr>
                    <w:pStyle w:val="74"/>
                    <w:jc w:val="center"/>
                    <w:rPr>
                      <w:szCs w:val="21"/>
                    </w:rPr>
                  </w:pPr>
                  <w:r>
                    <w:rPr>
                      <w:szCs w:val="21"/>
                    </w:rPr>
                    <w:t>7</w:t>
                  </w:r>
                </w:p>
              </w:tc>
              <w:tc>
                <w:tcPr>
                  <w:tcW w:w="2341" w:type="pct"/>
                  <w:tcBorders>
                    <w:tl2br w:val="nil"/>
                    <w:tr2bl w:val="nil"/>
                  </w:tcBorders>
                  <w:vAlign w:val="center"/>
                </w:tcPr>
                <w:p w14:paraId="2EBC1A0E">
                  <w:pPr>
                    <w:pStyle w:val="74"/>
                    <w:rPr>
                      <w:szCs w:val="21"/>
                    </w:rPr>
                  </w:pPr>
                  <w:r>
                    <w:rPr>
                      <w:szCs w:val="21"/>
                    </w:rPr>
                    <w:t>禁止在“一江一口两湖七河”和332个水生生物保护区开展生产性捕捞。</w:t>
                  </w:r>
                </w:p>
              </w:tc>
              <w:tc>
                <w:tcPr>
                  <w:tcW w:w="1867" w:type="pct"/>
                  <w:tcBorders>
                    <w:tl2br w:val="nil"/>
                    <w:tr2bl w:val="nil"/>
                  </w:tcBorders>
                  <w:vAlign w:val="center"/>
                </w:tcPr>
                <w:p w14:paraId="0140515F">
                  <w:pPr>
                    <w:pStyle w:val="74"/>
                    <w:rPr>
                      <w:szCs w:val="21"/>
                    </w:rPr>
                  </w:pPr>
                  <w:r>
                    <w:rPr>
                      <w:szCs w:val="21"/>
                    </w:rPr>
                    <w:t>本项目不在“一江一口两湖七河”和332个水生生物保护区内。</w:t>
                  </w:r>
                </w:p>
              </w:tc>
              <w:tc>
                <w:tcPr>
                  <w:tcW w:w="507" w:type="pct"/>
                  <w:tcBorders>
                    <w:tl2br w:val="nil"/>
                    <w:tr2bl w:val="nil"/>
                  </w:tcBorders>
                  <w:vAlign w:val="center"/>
                </w:tcPr>
                <w:p w14:paraId="1B7E6B87">
                  <w:pPr>
                    <w:pStyle w:val="74"/>
                    <w:jc w:val="center"/>
                    <w:rPr>
                      <w:szCs w:val="21"/>
                    </w:rPr>
                  </w:pPr>
                  <w:r>
                    <w:rPr>
                      <w:szCs w:val="21"/>
                    </w:rPr>
                    <w:t>相符</w:t>
                  </w:r>
                </w:p>
              </w:tc>
            </w:tr>
            <w:tr w14:paraId="6C0276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tcBorders>
                    <w:tl2br w:val="nil"/>
                    <w:tr2bl w:val="nil"/>
                  </w:tcBorders>
                  <w:vAlign w:val="center"/>
                </w:tcPr>
                <w:p w14:paraId="19D1A2D0">
                  <w:pPr>
                    <w:pStyle w:val="74"/>
                    <w:jc w:val="center"/>
                    <w:rPr>
                      <w:szCs w:val="21"/>
                    </w:rPr>
                  </w:pPr>
                  <w:r>
                    <w:rPr>
                      <w:szCs w:val="21"/>
                    </w:rPr>
                    <w:t>8</w:t>
                  </w:r>
                </w:p>
              </w:tc>
              <w:tc>
                <w:tcPr>
                  <w:tcW w:w="2341" w:type="pct"/>
                  <w:tcBorders>
                    <w:tl2br w:val="nil"/>
                    <w:tr2bl w:val="nil"/>
                  </w:tcBorders>
                  <w:vAlign w:val="center"/>
                </w:tcPr>
                <w:p w14:paraId="1A5FB811">
                  <w:pPr>
                    <w:pStyle w:val="74"/>
                    <w:rPr>
                      <w:szCs w:val="21"/>
                    </w:rPr>
                  </w:pPr>
                  <w:r>
                    <w:rPr>
                      <w:szCs w:val="21"/>
                    </w:rPr>
                    <w:t>禁止在长江干支流、重要湖泊岸线一公里范围内新建、扩建化工园区和化工项目。禁止在长江干流岸</w:t>
                  </w:r>
                </w:p>
                <w:p w14:paraId="652527FC">
                  <w:pPr>
                    <w:pStyle w:val="74"/>
                    <w:rPr>
                      <w:szCs w:val="21"/>
                    </w:rPr>
                  </w:pPr>
                  <w:r>
                    <w:rPr>
                      <w:szCs w:val="21"/>
                    </w:rPr>
                    <w:t>线三公里范围内和重要支流岸线一公里范围内新建、改建、扩建尾矿库、冶炼渣库和磷石膏库，以本项目不在长江干支流、重要湖泊岸线一公里范围内、不在长江干流岸线三公里范围内和重要支流岸线一公里范围提升安全、生态环境保护水平为目的的改建除外。</w:t>
                  </w:r>
                </w:p>
              </w:tc>
              <w:tc>
                <w:tcPr>
                  <w:tcW w:w="1867" w:type="pct"/>
                  <w:tcBorders>
                    <w:tl2br w:val="nil"/>
                    <w:tr2bl w:val="nil"/>
                  </w:tcBorders>
                  <w:vAlign w:val="center"/>
                </w:tcPr>
                <w:p w14:paraId="5D7BD725">
                  <w:pPr>
                    <w:pStyle w:val="74"/>
                    <w:rPr>
                      <w:szCs w:val="21"/>
                    </w:rPr>
                  </w:pPr>
                  <w:r>
                    <w:rPr>
                      <w:szCs w:val="21"/>
                    </w:rPr>
                    <w:t>本项目不在长江干支流、重要湖泊岸线一公里范围内，且不属于化工项目。本项目在长江干流岸线三公里范围内，不在重要支流岸线一公里范围内，不属于化工园区、化工项目、尾矿库、冶炼渣库和磷石膏库项目。</w:t>
                  </w:r>
                </w:p>
              </w:tc>
              <w:tc>
                <w:tcPr>
                  <w:tcW w:w="507" w:type="pct"/>
                  <w:tcBorders>
                    <w:tl2br w:val="nil"/>
                    <w:tr2bl w:val="nil"/>
                  </w:tcBorders>
                  <w:vAlign w:val="center"/>
                </w:tcPr>
                <w:p w14:paraId="72F99628">
                  <w:pPr>
                    <w:pStyle w:val="74"/>
                    <w:jc w:val="center"/>
                    <w:rPr>
                      <w:szCs w:val="21"/>
                    </w:rPr>
                  </w:pPr>
                  <w:r>
                    <w:rPr>
                      <w:szCs w:val="21"/>
                    </w:rPr>
                    <w:t>相符</w:t>
                  </w:r>
                </w:p>
              </w:tc>
            </w:tr>
            <w:tr w14:paraId="180C3B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tcBorders>
                    <w:tl2br w:val="nil"/>
                    <w:tr2bl w:val="nil"/>
                  </w:tcBorders>
                  <w:vAlign w:val="center"/>
                </w:tcPr>
                <w:p w14:paraId="357835A1">
                  <w:pPr>
                    <w:pStyle w:val="74"/>
                    <w:jc w:val="center"/>
                    <w:rPr>
                      <w:szCs w:val="21"/>
                    </w:rPr>
                  </w:pPr>
                  <w:r>
                    <w:rPr>
                      <w:szCs w:val="21"/>
                    </w:rPr>
                    <w:t>9</w:t>
                  </w:r>
                </w:p>
              </w:tc>
              <w:tc>
                <w:tcPr>
                  <w:tcW w:w="2341" w:type="pct"/>
                  <w:tcBorders>
                    <w:tl2br w:val="nil"/>
                    <w:tr2bl w:val="nil"/>
                  </w:tcBorders>
                  <w:vAlign w:val="center"/>
                </w:tcPr>
                <w:p w14:paraId="5FAE3807">
                  <w:pPr>
                    <w:pStyle w:val="74"/>
                    <w:rPr>
                      <w:szCs w:val="21"/>
                    </w:rPr>
                  </w:pPr>
                  <w:r>
                    <w:rPr>
                      <w:szCs w:val="21"/>
                    </w:rPr>
                    <w:t>禁止在合规园区外新建、扩建钢铁、石化、化工、焦化、建材、有色、制浆造纸等高污染项目。</w:t>
                  </w:r>
                </w:p>
              </w:tc>
              <w:tc>
                <w:tcPr>
                  <w:tcW w:w="1867" w:type="pct"/>
                  <w:tcBorders>
                    <w:tl2br w:val="nil"/>
                    <w:tr2bl w:val="nil"/>
                  </w:tcBorders>
                  <w:vAlign w:val="center"/>
                </w:tcPr>
                <w:p w14:paraId="39A85CE1">
                  <w:pPr>
                    <w:pStyle w:val="74"/>
                    <w:rPr>
                      <w:szCs w:val="21"/>
                    </w:rPr>
                  </w:pPr>
                  <w:r>
                    <w:rPr>
                      <w:szCs w:val="21"/>
                    </w:rPr>
                    <w:t>本项目不属于钢铁、石化、化工、焦化、建材、有色、制浆造纸等高污染项目。</w:t>
                  </w:r>
                </w:p>
              </w:tc>
              <w:tc>
                <w:tcPr>
                  <w:tcW w:w="507" w:type="pct"/>
                  <w:tcBorders>
                    <w:tl2br w:val="nil"/>
                    <w:tr2bl w:val="nil"/>
                  </w:tcBorders>
                  <w:vAlign w:val="center"/>
                </w:tcPr>
                <w:p w14:paraId="0AFFF2A4">
                  <w:pPr>
                    <w:pStyle w:val="74"/>
                    <w:jc w:val="center"/>
                    <w:rPr>
                      <w:szCs w:val="21"/>
                    </w:rPr>
                  </w:pPr>
                  <w:r>
                    <w:rPr>
                      <w:szCs w:val="21"/>
                    </w:rPr>
                    <w:t>相符</w:t>
                  </w:r>
                </w:p>
              </w:tc>
            </w:tr>
            <w:tr w14:paraId="38E975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tcBorders>
                    <w:tl2br w:val="nil"/>
                    <w:tr2bl w:val="nil"/>
                  </w:tcBorders>
                  <w:vAlign w:val="center"/>
                </w:tcPr>
                <w:p w14:paraId="284C860B">
                  <w:pPr>
                    <w:pStyle w:val="74"/>
                    <w:jc w:val="center"/>
                    <w:rPr>
                      <w:szCs w:val="21"/>
                    </w:rPr>
                  </w:pPr>
                  <w:r>
                    <w:rPr>
                      <w:szCs w:val="21"/>
                    </w:rPr>
                    <w:t>10</w:t>
                  </w:r>
                </w:p>
              </w:tc>
              <w:tc>
                <w:tcPr>
                  <w:tcW w:w="2341" w:type="pct"/>
                  <w:tcBorders>
                    <w:tl2br w:val="nil"/>
                    <w:tr2bl w:val="nil"/>
                  </w:tcBorders>
                  <w:vAlign w:val="center"/>
                </w:tcPr>
                <w:p w14:paraId="1ABF11E4">
                  <w:pPr>
                    <w:pStyle w:val="74"/>
                    <w:rPr>
                      <w:szCs w:val="21"/>
                    </w:rPr>
                  </w:pPr>
                  <w:r>
                    <w:rPr>
                      <w:szCs w:val="21"/>
                    </w:rPr>
                    <w:t>禁止新建、扩建不符合国家石化、现代煤化工等产业布局规划的项目。</w:t>
                  </w:r>
                </w:p>
              </w:tc>
              <w:tc>
                <w:tcPr>
                  <w:tcW w:w="1867" w:type="pct"/>
                  <w:tcBorders>
                    <w:tl2br w:val="nil"/>
                    <w:tr2bl w:val="nil"/>
                  </w:tcBorders>
                  <w:vAlign w:val="center"/>
                </w:tcPr>
                <w:p w14:paraId="2F1E0CA7">
                  <w:pPr>
                    <w:pStyle w:val="74"/>
                    <w:rPr>
                      <w:szCs w:val="21"/>
                    </w:rPr>
                  </w:pPr>
                  <w:r>
                    <w:rPr>
                      <w:szCs w:val="21"/>
                    </w:rPr>
                    <w:t>本项目不属于不符合国家石化、现代煤化工等产业布局规划的项目。</w:t>
                  </w:r>
                </w:p>
              </w:tc>
              <w:tc>
                <w:tcPr>
                  <w:tcW w:w="507" w:type="pct"/>
                  <w:tcBorders>
                    <w:tl2br w:val="nil"/>
                    <w:tr2bl w:val="nil"/>
                  </w:tcBorders>
                  <w:vAlign w:val="center"/>
                </w:tcPr>
                <w:p w14:paraId="2ED83EAE">
                  <w:pPr>
                    <w:pStyle w:val="74"/>
                    <w:jc w:val="center"/>
                    <w:rPr>
                      <w:szCs w:val="21"/>
                    </w:rPr>
                  </w:pPr>
                  <w:r>
                    <w:rPr>
                      <w:szCs w:val="21"/>
                    </w:rPr>
                    <w:t>相符</w:t>
                  </w:r>
                </w:p>
              </w:tc>
            </w:tr>
            <w:tr w14:paraId="5744BF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tcBorders>
                    <w:tl2br w:val="nil"/>
                    <w:tr2bl w:val="nil"/>
                  </w:tcBorders>
                  <w:vAlign w:val="center"/>
                </w:tcPr>
                <w:p w14:paraId="6F4007C5">
                  <w:pPr>
                    <w:pStyle w:val="74"/>
                    <w:jc w:val="center"/>
                    <w:rPr>
                      <w:szCs w:val="21"/>
                    </w:rPr>
                  </w:pPr>
                  <w:r>
                    <w:rPr>
                      <w:szCs w:val="21"/>
                    </w:rPr>
                    <w:t>11</w:t>
                  </w:r>
                </w:p>
              </w:tc>
              <w:tc>
                <w:tcPr>
                  <w:tcW w:w="2341" w:type="pct"/>
                  <w:tcBorders>
                    <w:tl2br w:val="nil"/>
                    <w:tr2bl w:val="nil"/>
                  </w:tcBorders>
                  <w:vAlign w:val="center"/>
                </w:tcPr>
                <w:p w14:paraId="06771006">
                  <w:pPr>
                    <w:pStyle w:val="74"/>
                    <w:rPr>
                      <w:szCs w:val="21"/>
                    </w:rPr>
                  </w:pPr>
                  <w:r>
                    <w:rPr>
                      <w:szCs w:val="21"/>
                    </w:rPr>
                    <w:t>禁止新建、扩建法律法规和相关政策明令禁止的落后产能项目。禁止新建、扩建不符合国家产能置换要求的严重过剩产能行业的项目。禁止新建、扩建不符合要求的高耗能高排放项目。</w:t>
                  </w:r>
                </w:p>
              </w:tc>
              <w:tc>
                <w:tcPr>
                  <w:tcW w:w="1867" w:type="pct"/>
                  <w:tcBorders>
                    <w:tl2br w:val="nil"/>
                    <w:tr2bl w:val="nil"/>
                  </w:tcBorders>
                  <w:vAlign w:val="center"/>
                </w:tcPr>
                <w:p w14:paraId="20AE689C">
                  <w:pPr>
                    <w:pStyle w:val="74"/>
                    <w:rPr>
                      <w:szCs w:val="21"/>
                    </w:rPr>
                  </w:pPr>
                  <w:r>
                    <w:rPr>
                      <w:szCs w:val="21"/>
                    </w:rPr>
                    <w:t>本项目不属于落后产能项目，不属于不符合国家产能置换要求的严重过剩产能行业的项目。不属于不符合要求的高耗能高排放项目。</w:t>
                  </w:r>
                </w:p>
              </w:tc>
              <w:tc>
                <w:tcPr>
                  <w:tcW w:w="507" w:type="pct"/>
                  <w:tcBorders>
                    <w:tl2br w:val="nil"/>
                    <w:tr2bl w:val="nil"/>
                  </w:tcBorders>
                  <w:vAlign w:val="center"/>
                </w:tcPr>
                <w:p w14:paraId="5DEFE583">
                  <w:pPr>
                    <w:pStyle w:val="74"/>
                    <w:jc w:val="center"/>
                    <w:rPr>
                      <w:szCs w:val="21"/>
                    </w:rPr>
                  </w:pPr>
                  <w:r>
                    <w:rPr>
                      <w:szCs w:val="21"/>
                    </w:rPr>
                    <w:t>相符</w:t>
                  </w:r>
                </w:p>
              </w:tc>
            </w:tr>
            <w:tr w14:paraId="7BFE3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tcBorders>
                    <w:tl2br w:val="nil"/>
                    <w:tr2bl w:val="nil"/>
                  </w:tcBorders>
                  <w:vAlign w:val="center"/>
                </w:tcPr>
                <w:p w14:paraId="036C290C">
                  <w:pPr>
                    <w:pStyle w:val="74"/>
                    <w:jc w:val="center"/>
                    <w:rPr>
                      <w:szCs w:val="21"/>
                    </w:rPr>
                  </w:pPr>
                  <w:r>
                    <w:rPr>
                      <w:szCs w:val="21"/>
                    </w:rPr>
                    <w:t>12</w:t>
                  </w:r>
                </w:p>
              </w:tc>
              <w:tc>
                <w:tcPr>
                  <w:tcW w:w="2341" w:type="pct"/>
                  <w:tcBorders>
                    <w:tl2br w:val="nil"/>
                    <w:tr2bl w:val="nil"/>
                  </w:tcBorders>
                  <w:vAlign w:val="center"/>
                </w:tcPr>
                <w:p w14:paraId="676F61B0">
                  <w:pPr>
                    <w:pStyle w:val="74"/>
                    <w:rPr>
                      <w:szCs w:val="21"/>
                    </w:rPr>
                  </w:pPr>
                  <w:r>
                    <w:rPr>
                      <w:szCs w:val="21"/>
                    </w:rPr>
                    <w:t>法律法规及相关政策文件有更加严格规定的从其规定。</w:t>
                  </w:r>
                </w:p>
              </w:tc>
              <w:tc>
                <w:tcPr>
                  <w:tcW w:w="1867" w:type="pct"/>
                  <w:tcBorders>
                    <w:tl2br w:val="nil"/>
                    <w:tr2bl w:val="nil"/>
                  </w:tcBorders>
                  <w:vAlign w:val="center"/>
                </w:tcPr>
                <w:p w14:paraId="37037CD9">
                  <w:pPr>
                    <w:pStyle w:val="74"/>
                    <w:rPr>
                      <w:szCs w:val="21"/>
                    </w:rPr>
                  </w:pPr>
                  <w:r>
                    <w:rPr>
                      <w:szCs w:val="21"/>
                    </w:rPr>
                    <w:t>本项目符合相关法律法规及相关政策文件。</w:t>
                  </w:r>
                </w:p>
              </w:tc>
              <w:tc>
                <w:tcPr>
                  <w:tcW w:w="507" w:type="pct"/>
                  <w:tcBorders>
                    <w:tl2br w:val="nil"/>
                    <w:tr2bl w:val="nil"/>
                  </w:tcBorders>
                  <w:vAlign w:val="center"/>
                </w:tcPr>
                <w:p w14:paraId="1BD9577E">
                  <w:pPr>
                    <w:pStyle w:val="74"/>
                    <w:jc w:val="center"/>
                    <w:rPr>
                      <w:szCs w:val="21"/>
                    </w:rPr>
                  </w:pPr>
                  <w:r>
                    <w:rPr>
                      <w:szCs w:val="21"/>
                    </w:rPr>
                    <w:t>相符</w:t>
                  </w:r>
                </w:p>
              </w:tc>
            </w:tr>
          </w:tbl>
          <w:p w14:paraId="633465E9">
            <w:pPr>
              <w:pStyle w:val="77"/>
              <w:spacing w:line="240" w:lineRule="auto"/>
              <w:rPr>
                <w:szCs w:val="24"/>
              </w:rPr>
            </w:pPr>
            <w:r>
              <w:rPr>
                <w:szCs w:val="24"/>
              </w:rPr>
              <w:t>表1-6 与《长江经济带发展负面清单指南（试行，2022年版）江苏省实施细则》（苏长江办发〔2022〕55号）相符性分析</w:t>
            </w:r>
          </w:p>
          <w:tbl>
            <w:tblPr>
              <w:tblStyle w:val="4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5"/>
              <w:gridCol w:w="636"/>
              <w:gridCol w:w="3818"/>
              <w:gridCol w:w="1982"/>
              <w:gridCol w:w="609"/>
            </w:tblGrid>
            <w:tr w14:paraId="13A4F8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tcBorders>
                    <w:tl2br w:val="nil"/>
                    <w:tr2bl w:val="nil"/>
                  </w:tcBorders>
                  <w:vAlign w:val="center"/>
                </w:tcPr>
                <w:p w14:paraId="6C367D20">
                  <w:pPr>
                    <w:pStyle w:val="74"/>
                    <w:jc w:val="center"/>
                    <w:rPr>
                      <w:b/>
                      <w:bCs/>
                      <w:szCs w:val="21"/>
                    </w:rPr>
                  </w:pPr>
                  <w:r>
                    <w:rPr>
                      <w:b/>
                      <w:bCs/>
                      <w:szCs w:val="21"/>
                    </w:rPr>
                    <w:t>序号</w:t>
                  </w:r>
                </w:p>
              </w:tc>
              <w:tc>
                <w:tcPr>
                  <w:tcW w:w="2977" w:type="pct"/>
                  <w:gridSpan w:val="2"/>
                  <w:tcBorders>
                    <w:tl2br w:val="nil"/>
                    <w:tr2bl w:val="nil"/>
                  </w:tcBorders>
                  <w:vAlign w:val="center"/>
                </w:tcPr>
                <w:p w14:paraId="016B1A88">
                  <w:pPr>
                    <w:pStyle w:val="74"/>
                    <w:jc w:val="center"/>
                    <w:rPr>
                      <w:b/>
                      <w:bCs/>
                      <w:szCs w:val="21"/>
                    </w:rPr>
                  </w:pPr>
                  <w:r>
                    <w:rPr>
                      <w:b/>
                      <w:bCs/>
                      <w:szCs w:val="21"/>
                    </w:rPr>
                    <w:t>管控条款</w:t>
                  </w:r>
                </w:p>
              </w:tc>
              <w:tc>
                <w:tcPr>
                  <w:tcW w:w="1325" w:type="pct"/>
                  <w:tcBorders>
                    <w:tl2br w:val="nil"/>
                    <w:tr2bl w:val="nil"/>
                  </w:tcBorders>
                  <w:vAlign w:val="center"/>
                </w:tcPr>
                <w:p w14:paraId="04E58816">
                  <w:pPr>
                    <w:pStyle w:val="74"/>
                    <w:jc w:val="center"/>
                    <w:rPr>
                      <w:b/>
                      <w:bCs/>
                      <w:szCs w:val="21"/>
                    </w:rPr>
                  </w:pPr>
                  <w:r>
                    <w:rPr>
                      <w:b/>
                      <w:bCs/>
                      <w:szCs w:val="21"/>
                    </w:rPr>
                    <w:t>本项目情况</w:t>
                  </w:r>
                </w:p>
              </w:tc>
              <w:tc>
                <w:tcPr>
                  <w:tcW w:w="408" w:type="pct"/>
                  <w:tcBorders>
                    <w:tl2br w:val="nil"/>
                    <w:tr2bl w:val="nil"/>
                  </w:tcBorders>
                  <w:vAlign w:val="center"/>
                </w:tcPr>
                <w:p w14:paraId="74A25BB4">
                  <w:pPr>
                    <w:pStyle w:val="74"/>
                    <w:jc w:val="center"/>
                    <w:rPr>
                      <w:b/>
                      <w:bCs/>
                      <w:szCs w:val="21"/>
                    </w:rPr>
                  </w:pPr>
                  <w:r>
                    <w:rPr>
                      <w:b/>
                      <w:bCs/>
                      <w:szCs w:val="21"/>
                    </w:rPr>
                    <w:t>相符性</w:t>
                  </w:r>
                </w:p>
              </w:tc>
            </w:tr>
            <w:tr w14:paraId="77231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tcBorders>
                    <w:tl2br w:val="nil"/>
                    <w:tr2bl w:val="nil"/>
                  </w:tcBorders>
                  <w:vAlign w:val="center"/>
                </w:tcPr>
                <w:p w14:paraId="3ACD7F84">
                  <w:pPr>
                    <w:pStyle w:val="74"/>
                    <w:jc w:val="center"/>
                    <w:rPr>
                      <w:szCs w:val="21"/>
                    </w:rPr>
                  </w:pPr>
                  <w:r>
                    <w:rPr>
                      <w:szCs w:val="21"/>
                    </w:rPr>
                    <w:t>1</w:t>
                  </w:r>
                </w:p>
              </w:tc>
              <w:tc>
                <w:tcPr>
                  <w:tcW w:w="425" w:type="pct"/>
                  <w:vMerge w:val="restart"/>
                  <w:tcBorders>
                    <w:tl2br w:val="nil"/>
                    <w:tr2bl w:val="nil"/>
                  </w:tcBorders>
                  <w:vAlign w:val="center"/>
                </w:tcPr>
                <w:p w14:paraId="78A1AE89">
                  <w:pPr>
                    <w:pStyle w:val="74"/>
                    <w:jc w:val="center"/>
                    <w:rPr>
                      <w:szCs w:val="21"/>
                    </w:rPr>
                  </w:pPr>
                  <w:r>
                    <w:rPr>
                      <w:szCs w:val="21"/>
                    </w:rPr>
                    <w:t>一、河段利用与岸线开发</w:t>
                  </w:r>
                </w:p>
              </w:tc>
              <w:tc>
                <w:tcPr>
                  <w:tcW w:w="2551" w:type="pct"/>
                  <w:tcBorders>
                    <w:tl2br w:val="nil"/>
                    <w:tr2bl w:val="nil"/>
                  </w:tcBorders>
                  <w:vAlign w:val="center"/>
                </w:tcPr>
                <w:p w14:paraId="6DB1B7D3">
                  <w:pPr>
                    <w:pStyle w:val="74"/>
                    <w:rPr>
                      <w:szCs w:val="21"/>
                    </w:rPr>
                  </w:pPr>
                  <w:r>
                    <w:rPr>
                      <w:szCs w:val="21"/>
                    </w:rPr>
                    <w:t>1、禁止建设不符合国家港口布局规划和《江苏省沿江沿海港口布局规划（2015-2030年）》《江苏省内河港口布局规划（2017-2035年）》以及我省有关港口总体规划的码头项目，禁止建设未纳入《长江干线过江通道布局规划》的过长江通道项目。</w:t>
                  </w:r>
                </w:p>
              </w:tc>
              <w:tc>
                <w:tcPr>
                  <w:tcW w:w="1325" w:type="pct"/>
                  <w:tcBorders>
                    <w:tl2br w:val="nil"/>
                    <w:tr2bl w:val="nil"/>
                  </w:tcBorders>
                  <w:vAlign w:val="center"/>
                </w:tcPr>
                <w:p w14:paraId="55E615CF">
                  <w:pPr>
                    <w:pStyle w:val="74"/>
                    <w:rPr>
                      <w:szCs w:val="21"/>
                    </w:rPr>
                  </w:pPr>
                  <w:r>
                    <w:rPr>
                      <w:szCs w:val="21"/>
                    </w:rPr>
                    <w:t>本项目不属于码头、过长江通道项目。</w:t>
                  </w:r>
                </w:p>
              </w:tc>
              <w:tc>
                <w:tcPr>
                  <w:tcW w:w="408" w:type="pct"/>
                  <w:tcBorders>
                    <w:tl2br w:val="nil"/>
                    <w:tr2bl w:val="nil"/>
                  </w:tcBorders>
                  <w:vAlign w:val="center"/>
                </w:tcPr>
                <w:p w14:paraId="76DF7F49">
                  <w:pPr>
                    <w:pStyle w:val="74"/>
                    <w:jc w:val="center"/>
                    <w:rPr>
                      <w:szCs w:val="21"/>
                    </w:rPr>
                  </w:pPr>
                  <w:r>
                    <w:rPr>
                      <w:szCs w:val="21"/>
                    </w:rPr>
                    <w:t>相符</w:t>
                  </w:r>
                </w:p>
              </w:tc>
            </w:tr>
            <w:tr w14:paraId="49CCDA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tcBorders>
                    <w:tl2br w:val="nil"/>
                    <w:tr2bl w:val="nil"/>
                  </w:tcBorders>
                  <w:vAlign w:val="center"/>
                </w:tcPr>
                <w:p w14:paraId="178D53D2">
                  <w:pPr>
                    <w:pStyle w:val="74"/>
                    <w:jc w:val="center"/>
                    <w:rPr>
                      <w:szCs w:val="21"/>
                    </w:rPr>
                  </w:pPr>
                  <w:r>
                    <w:rPr>
                      <w:szCs w:val="21"/>
                    </w:rPr>
                    <w:t>2</w:t>
                  </w:r>
                </w:p>
              </w:tc>
              <w:tc>
                <w:tcPr>
                  <w:tcW w:w="425" w:type="pct"/>
                  <w:vMerge w:val="continue"/>
                  <w:tcBorders>
                    <w:tl2br w:val="nil"/>
                    <w:tr2bl w:val="nil"/>
                  </w:tcBorders>
                  <w:vAlign w:val="center"/>
                </w:tcPr>
                <w:p w14:paraId="23D569D8">
                  <w:pPr>
                    <w:pStyle w:val="74"/>
                    <w:jc w:val="center"/>
                    <w:rPr>
                      <w:szCs w:val="21"/>
                    </w:rPr>
                  </w:pPr>
                </w:p>
              </w:tc>
              <w:tc>
                <w:tcPr>
                  <w:tcW w:w="2551" w:type="pct"/>
                  <w:tcBorders>
                    <w:tl2br w:val="nil"/>
                    <w:tr2bl w:val="nil"/>
                  </w:tcBorders>
                  <w:vAlign w:val="center"/>
                </w:tcPr>
                <w:p w14:paraId="4D4A530B">
                  <w:pPr>
                    <w:pStyle w:val="74"/>
                    <w:rPr>
                      <w:szCs w:val="21"/>
                    </w:rPr>
                  </w:pPr>
                  <w:r>
                    <w:rPr>
                      <w:szCs w:val="21"/>
                    </w:rPr>
                    <w:t>2、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自然保护区、风景名胜区由省林业局会同有关方面界定并落实管控责任。</w:t>
                  </w:r>
                </w:p>
              </w:tc>
              <w:tc>
                <w:tcPr>
                  <w:tcW w:w="1325" w:type="pct"/>
                  <w:tcBorders>
                    <w:tl2br w:val="nil"/>
                    <w:tr2bl w:val="nil"/>
                  </w:tcBorders>
                  <w:vAlign w:val="center"/>
                </w:tcPr>
                <w:p w14:paraId="3760A317">
                  <w:pPr>
                    <w:pStyle w:val="74"/>
                    <w:rPr>
                      <w:szCs w:val="21"/>
                    </w:rPr>
                  </w:pPr>
                  <w:r>
                    <w:rPr>
                      <w:szCs w:val="21"/>
                    </w:rPr>
                    <w:t>本项目不属于自然保护区核心区、缓冲区的岸线和河段范围，不属于国家级和省级风景名胜区核心景区的岸线和河段范围。</w:t>
                  </w:r>
                </w:p>
              </w:tc>
              <w:tc>
                <w:tcPr>
                  <w:tcW w:w="408" w:type="pct"/>
                  <w:tcBorders>
                    <w:tl2br w:val="nil"/>
                    <w:tr2bl w:val="nil"/>
                  </w:tcBorders>
                  <w:vAlign w:val="center"/>
                </w:tcPr>
                <w:p w14:paraId="115D77E2">
                  <w:pPr>
                    <w:pStyle w:val="74"/>
                    <w:jc w:val="center"/>
                    <w:rPr>
                      <w:szCs w:val="21"/>
                    </w:rPr>
                  </w:pPr>
                  <w:r>
                    <w:rPr>
                      <w:szCs w:val="21"/>
                    </w:rPr>
                    <w:t>相符</w:t>
                  </w:r>
                </w:p>
              </w:tc>
            </w:tr>
            <w:tr w14:paraId="76D95F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tcBorders>
                    <w:tl2br w:val="nil"/>
                    <w:tr2bl w:val="nil"/>
                  </w:tcBorders>
                  <w:vAlign w:val="center"/>
                </w:tcPr>
                <w:p w14:paraId="52E203A4">
                  <w:pPr>
                    <w:pStyle w:val="74"/>
                    <w:jc w:val="center"/>
                    <w:rPr>
                      <w:szCs w:val="21"/>
                    </w:rPr>
                  </w:pPr>
                  <w:r>
                    <w:rPr>
                      <w:szCs w:val="21"/>
                    </w:rPr>
                    <w:t>3</w:t>
                  </w:r>
                </w:p>
              </w:tc>
              <w:tc>
                <w:tcPr>
                  <w:tcW w:w="425" w:type="pct"/>
                  <w:vMerge w:val="continue"/>
                  <w:tcBorders>
                    <w:tl2br w:val="nil"/>
                    <w:tr2bl w:val="nil"/>
                  </w:tcBorders>
                  <w:vAlign w:val="center"/>
                </w:tcPr>
                <w:p w14:paraId="43B28CF6">
                  <w:pPr>
                    <w:pStyle w:val="74"/>
                    <w:jc w:val="center"/>
                    <w:rPr>
                      <w:szCs w:val="21"/>
                    </w:rPr>
                  </w:pPr>
                </w:p>
              </w:tc>
              <w:tc>
                <w:tcPr>
                  <w:tcW w:w="2551" w:type="pct"/>
                  <w:tcBorders>
                    <w:tl2br w:val="nil"/>
                    <w:tr2bl w:val="nil"/>
                  </w:tcBorders>
                  <w:vAlign w:val="center"/>
                </w:tcPr>
                <w:p w14:paraId="33D67FCD">
                  <w:pPr>
                    <w:pStyle w:val="74"/>
                    <w:rPr>
                      <w:szCs w:val="21"/>
                    </w:rPr>
                  </w:pPr>
                  <w:r>
                    <w:rPr>
                      <w:szCs w:val="21"/>
                    </w:rPr>
                    <w:t>3、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tc>
              <w:tc>
                <w:tcPr>
                  <w:tcW w:w="1325" w:type="pct"/>
                  <w:tcBorders>
                    <w:tl2br w:val="nil"/>
                    <w:tr2bl w:val="nil"/>
                  </w:tcBorders>
                  <w:vAlign w:val="center"/>
                </w:tcPr>
                <w:p w14:paraId="46F1AB6C">
                  <w:pPr>
                    <w:pStyle w:val="74"/>
                    <w:rPr>
                      <w:szCs w:val="21"/>
                    </w:rPr>
                  </w:pPr>
                  <w:r>
                    <w:rPr>
                      <w:szCs w:val="21"/>
                    </w:rPr>
                    <w:t>本项目不属于饮用水水源一级保护区的岸线和河段范围、饮用水水源二级保护区的岸线和河段范围、饮用水水源准保护区的岸线和河段范围。</w:t>
                  </w:r>
                </w:p>
              </w:tc>
              <w:tc>
                <w:tcPr>
                  <w:tcW w:w="408" w:type="pct"/>
                  <w:tcBorders>
                    <w:tl2br w:val="nil"/>
                    <w:tr2bl w:val="nil"/>
                  </w:tcBorders>
                  <w:vAlign w:val="center"/>
                </w:tcPr>
                <w:p w14:paraId="404A20CE">
                  <w:pPr>
                    <w:pStyle w:val="74"/>
                    <w:jc w:val="center"/>
                    <w:rPr>
                      <w:szCs w:val="21"/>
                    </w:rPr>
                  </w:pPr>
                  <w:r>
                    <w:rPr>
                      <w:szCs w:val="21"/>
                    </w:rPr>
                    <w:t>相符</w:t>
                  </w:r>
                </w:p>
              </w:tc>
            </w:tr>
            <w:tr w14:paraId="25F2CE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tcBorders>
                    <w:tl2br w:val="nil"/>
                    <w:tr2bl w:val="nil"/>
                  </w:tcBorders>
                  <w:vAlign w:val="center"/>
                </w:tcPr>
                <w:p w14:paraId="0C22EB67">
                  <w:pPr>
                    <w:pStyle w:val="74"/>
                    <w:jc w:val="center"/>
                    <w:rPr>
                      <w:szCs w:val="21"/>
                    </w:rPr>
                  </w:pPr>
                  <w:r>
                    <w:rPr>
                      <w:szCs w:val="21"/>
                    </w:rPr>
                    <w:t>4</w:t>
                  </w:r>
                </w:p>
              </w:tc>
              <w:tc>
                <w:tcPr>
                  <w:tcW w:w="425" w:type="pct"/>
                  <w:vMerge w:val="continue"/>
                  <w:tcBorders>
                    <w:tl2br w:val="nil"/>
                    <w:tr2bl w:val="nil"/>
                  </w:tcBorders>
                  <w:vAlign w:val="center"/>
                </w:tcPr>
                <w:p w14:paraId="32AD784E">
                  <w:pPr>
                    <w:pStyle w:val="74"/>
                    <w:jc w:val="center"/>
                    <w:rPr>
                      <w:szCs w:val="21"/>
                    </w:rPr>
                  </w:pPr>
                </w:p>
              </w:tc>
              <w:tc>
                <w:tcPr>
                  <w:tcW w:w="2551" w:type="pct"/>
                  <w:tcBorders>
                    <w:tl2br w:val="nil"/>
                    <w:tr2bl w:val="nil"/>
                  </w:tcBorders>
                  <w:vAlign w:val="center"/>
                </w:tcPr>
                <w:p w14:paraId="43ED106B">
                  <w:pPr>
                    <w:pStyle w:val="74"/>
                    <w:rPr>
                      <w:szCs w:val="21"/>
                    </w:rPr>
                  </w:pPr>
                  <w:r>
                    <w:rPr>
                      <w:szCs w:val="21"/>
                    </w:rPr>
                    <w:t>4、严格执行《水产种质资源保护区管理暂行办法》，禁止在国家级和省级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水产种质资源保护区、国家湿地公园分别由省农业农村厅、省林业局会同有关方面界定并落实管控责任。</w:t>
                  </w:r>
                </w:p>
              </w:tc>
              <w:tc>
                <w:tcPr>
                  <w:tcW w:w="1325" w:type="pct"/>
                  <w:tcBorders>
                    <w:tl2br w:val="nil"/>
                    <w:tr2bl w:val="nil"/>
                  </w:tcBorders>
                  <w:vAlign w:val="center"/>
                </w:tcPr>
                <w:p w14:paraId="789BA8AB">
                  <w:pPr>
                    <w:pStyle w:val="74"/>
                    <w:rPr>
                      <w:szCs w:val="21"/>
                    </w:rPr>
                  </w:pPr>
                  <w:r>
                    <w:rPr>
                      <w:szCs w:val="21"/>
                    </w:rPr>
                    <w:t>本项目不属于国家级和省级水产种质资源保护区的岸线和河段范围、国家湿地公园的岸线和河段范围。</w:t>
                  </w:r>
                </w:p>
              </w:tc>
              <w:tc>
                <w:tcPr>
                  <w:tcW w:w="408" w:type="pct"/>
                  <w:tcBorders>
                    <w:tl2br w:val="nil"/>
                    <w:tr2bl w:val="nil"/>
                  </w:tcBorders>
                  <w:vAlign w:val="center"/>
                </w:tcPr>
                <w:p w14:paraId="06A2931F">
                  <w:pPr>
                    <w:pStyle w:val="74"/>
                    <w:jc w:val="center"/>
                    <w:rPr>
                      <w:szCs w:val="21"/>
                    </w:rPr>
                  </w:pPr>
                  <w:r>
                    <w:rPr>
                      <w:szCs w:val="21"/>
                    </w:rPr>
                    <w:t>相符</w:t>
                  </w:r>
                </w:p>
              </w:tc>
            </w:tr>
            <w:tr w14:paraId="14B1C0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tcBorders>
                    <w:tl2br w:val="nil"/>
                    <w:tr2bl w:val="nil"/>
                  </w:tcBorders>
                  <w:vAlign w:val="center"/>
                </w:tcPr>
                <w:p w14:paraId="6EE5EDFB">
                  <w:pPr>
                    <w:pStyle w:val="74"/>
                    <w:jc w:val="center"/>
                    <w:rPr>
                      <w:szCs w:val="21"/>
                    </w:rPr>
                  </w:pPr>
                  <w:r>
                    <w:rPr>
                      <w:szCs w:val="21"/>
                    </w:rPr>
                    <w:t>5</w:t>
                  </w:r>
                </w:p>
              </w:tc>
              <w:tc>
                <w:tcPr>
                  <w:tcW w:w="425" w:type="pct"/>
                  <w:vMerge w:val="continue"/>
                  <w:tcBorders>
                    <w:tl2br w:val="nil"/>
                    <w:tr2bl w:val="nil"/>
                  </w:tcBorders>
                  <w:vAlign w:val="center"/>
                </w:tcPr>
                <w:p w14:paraId="05E7B3D8">
                  <w:pPr>
                    <w:pStyle w:val="74"/>
                    <w:jc w:val="center"/>
                    <w:rPr>
                      <w:szCs w:val="21"/>
                    </w:rPr>
                  </w:pPr>
                </w:p>
              </w:tc>
              <w:tc>
                <w:tcPr>
                  <w:tcW w:w="2551" w:type="pct"/>
                  <w:tcBorders>
                    <w:tl2br w:val="nil"/>
                    <w:tr2bl w:val="nil"/>
                  </w:tcBorders>
                  <w:vAlign w:val="center"/>
                </w:tcPr>
                <w:p w14:paraId="24EB0A1C">
                  <w:pPr>
                    <w:pStyle w:val="74"/>
                    <w:rPr>
                      <w:szCs w:val="21"/>
                    </w:rPr>
                  </w:pPr>
                  <w:r>
                    <w:rPr>
                      <w:szCs w:val="21"/>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tc>
              <w:tc>
                <w:tcPr>
                  <w:tcW w:w="1325" w:type="pct"/>
                  <w:tcBorders>
                    <w:tl2br w:val="nil"/>
                    <w:tr2bl w:val="nil"/>
                  </w:tcBorders>
                  <w:vAlign w:val="center"/>
                </w:tcPr>
                <w:p w14:paraId="67EFA731">
                  <w:pPr>
                    <w:pStyle w:val="74"/>
                    <w:rPr>
                      <w:szCs w:val="21"/>
                    </w:rPr>
                  </w:pPr>
                  <w:r>
                    <w:rPr>
                      <w:szCs w:val="21"/>
                    </w:rPr>
                    <w:t>本项目不属于《长江岸线保护和开发利用总体规划》划定的岸线保护区和保留区、《全国重要江河湖泊水功能区划》划定的河段及湖泊保护区、保留区。</w:t>
                  </w:r>
                </w:p>
              </w:tc>
              <w:tc>
                <w:tcPr>
                  <w:tcW w:w="408" w:type="pct"/>
                  <w:tcBorders>
                    <w:tl2br w:val="nil"/>
                    <w:tr2bl w:val="nil"/>
                  </w:tcBorders>
                  <w:vAlign w:val="center"/>
                </w:tcPr>
                <w:p w14:paraId="6FEDE687">
                  <w:pPr>
                    <w:pStyle w:val="74"/>
                    <w:jc w:val="center"/>
                    <w:rPr>
                      <w:szCs w:val="21"/>
                    </w:rPr>
                  </w:pPr>
                  <w:r>
                    <w:rPr>
                      <w:szCs w:val="21"/>
                    </w:rPr>
                    <w:t>相符</w:t>
                  </w:r>
                </w:p>
              </w:tc>
            </w:tr>
            <w:tr w14:paraId="08DC8E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tcBorders>
                    <w:tl2br w:val="nil"/>
                    <w:tr2bl w:val="nil"/>
                  </w:tcBorders>
                  <w:vAlign w:val="center"/>
                </w:tcPr>
                <w:p w14:paraId="0226775C">
                  <w:pPr>
                    <w:pStyle w:val="74"/>
                    <w:jc w:val="center"/>
                    <w:rPr>
                      <w:szCs w:val="21"/>
                    </w:rPr>
                  </w:pPr>
                  <w:r>
                    <w:rPr>
                      <w:szCs w:val="21"/>
                    </w:rPr>
                    <w:t>6</w:t>
                  </w:r>
                </w:p>
              </w:tc>
              <w:tc>
                <w:tcPr>
                  <w:tcW w:w="425" w:type="pct"/>
                  <w:vMerge w:val="continue"/>
                  <w:tcBorders>
                    <w:tl2br w:val="nil"/>
                    <w:tr2bl w:val="nil"/>
                  </w:tcBorders>
                  <w:vAlign w:val="center"/>
                </w:tcPr>
                <w:p w14:paraId="18BDC550">
                  <w:pPr>
                    <w:pStyle w:val="74"/>
                    <w:jc w:val="center"/>
                    <w:rPr>
                      <w:szCs w:val="21"/>
                    </w:rPr>
                  </w:pPr>
                </w:p>
              </w:tc>
              <w:tc>
                <w:tcPr>
                  <w:tcW w:w="2551" w:type="pct"/>
                  <w:tcBorders>
                    <w:tl2br w:val="nil"/>
                    <w:tr2bl w:val="nil"/>
                  </w:tcBorders>
                  <w:vAlign w:val="center"/>
                </w:tcPr>
                <w:p w14:paraId="43474D14">
                  <w:pPr>
                    <w:pStyle w:val="74"/>
                    <w:rPr>
                      <w:szCs w:val="21"/>
                    </w:rPr>
                  </w:pPr>
                  <w:r>
                    <w:rPr>
                      <w:szCs w:val="21"/>
                    </w:rPr>
                    <w:t>6、禁止未经许可在长江干支流及湖泊新设、改设或扩大排污口。</w:t>
                  </w:r>
                </w:p>
              </w:tc>
              <w:tc>
                <w:tcPr>
                  <w:tcW w:w="1325" w:type="pct"/>
                  <w:tcBorders>
                    <w:tl2br w:val="nil"/>
                    <w:tr2bl w:val="nil"/>
                  </w:tcBorders>
                  <w:vAlign w:val="center"/>
                </w:tcPr>
                <w:p w14:paraId="2164DFE5">
                  <w:pPr>
                    <w:pStyle w:val="74"/>
                    <w:rPr>
                      <w:szCs w:val="21"/>
                    </w:rPr>
                  </w:pPr>
                  <w:r>
                    <w:rPr>
                      <w:szCs w:val="21"/>
                    </w:rPr>
                    <w:t>本项目不新设、改设或扩大排污口。</w:t>
                  </w:r>
                </w:p>
              </w:tc>
              <w:tc>
                <w:tcPr>
                  <w:tcW w:w="408" w:type="pct"/>
                  <w:tcBorders>
                    <w:tl2br w:val="nil"/>
                    <w:tr2bl w:val="nil"/>
                  </w:tcBorders>
                  <w:vAlign w:val="center"/>
                </w:tcPr>
                <w:p w14:paraId="35EE0FAF">
                  <w:pPr>
                    <w:pStyle w:val="74"/>
                    <w:jc w:val="center"/>
                    <w:rPr>
                      <w:szCs w:val="21"/>
                    </w:rPr>
                  </w:pPr>
                  <w:r>
                    <w:rPr>
                      <w:szCs w:val="21"/>
                    </w:rPr>
                    <w:t>相符</w:t>
                  </w:r>
                </w:p>
              </w:tc>
            </w:tr>
            <w:tr w14:paraId="52E1DA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tcBorders>
                    <w:tl2br w:val="nil"/>
                    <w:tr2bl w:val="nil"/>
                  </w:tcBorders>
                  <w:vAlign w:val="center"/>
                </w:tcPr>
                <w:p w14:paraId="10651371">
                  <w:pPr>
                    <w:pStyle w:val="74"/>
                    <w:jc w:val="center"/>
                    <w:rPr>
                      <w:szCs w:val="21"/>
                    </w:rPr>
                  </w:pPr>
                  <w:r>
                    <w:rPr>
                      <w:szCs w:val="21"/>
                    </w:rPr>
                    <w:t>7</w:t>
                  </w:r>
                </w:p>
              </w:tc>
              <w:tc>
                <w:tcPr>
                  <w:tcW w:w="425" w:type="pct"/>
                  <w:vMerge w:val="restart"/>
                  <w:tcBorders>
                    <w:tl2br w:val="nil"/>
                    <w:tr2bl w:val="nil"/>
                  </w:tcBorders>
                  <w:vAlign w:val="center"/>
                </w:tcPr>
                <w:p w14:paraId="10A77FA4">
                  <w:pPr>
                    <w:pStyle w:val="74"/>
                    <w:jc w:val="center"/>
                    <w:rPr>
                      <w:szCs w:val="21"/>
                    </w:rPr>
                  </w:pPr>
                  <w:r>
                    <w:rPr>
                      <w:szCs w:val="21"/>
                    </w:rPr>
                    <w:t>二、区域活动</w:t>
                  </w:r>
                </w:p>
              </w:tc>
              <w:tc>
                <w:tcPr>
                  <w:tcW w:w="2551" w:type="pct"/>
                  <w:tcBorders>
                    <w:tl2br w:val="nil"/>
                    <w:tr2bl w:val="nil"/>
                  </w:tcBorders>
                  <w:vAlign w:val="center"/>
                </w:tcPr>
                <w:p w14:paraId="04D862CA">
                  <w:pPr>
                    <w:pStyle w:val="74"/>
                    <w:rPr>
                      <w:szCs w:val="21"/>
                    </w:rPr>
                  </w:pPr>
                  <w:r>
                    <w:rPr>
                      <w:szCs w:val="21"/>
                    </w:rPr>
                    <w:t>7、禁止长江干流、长江口、34个列入《率先全面禁捕的长江流域水生生物保护区名录》的水生生物保护区以及省规定的其它禁渔水域开展生产性捕捞。</w:t>
                  </w:r>
                </w:p>
              </w:tc>
              <w:tc>
                <w:tcPr>
                  <w:tcW w:w="1325" w:type="pct"/>
                  <w:tcBorders>
                    <w:tl2br w:val="nil"/>
                    <w:tr2bl w:val="nil"/>
                  </w:tcBorders>
                  <w:vAlign w:val="center"/>
                </w:tcPr>
                <w:p w14:paraId="7C52994D">
                  <w:pPr>
                    <w:pStyle w:val="74"/>
                    <w:rPr>
                      <w:szCs w:val="21"/>
                    </w:rPr>
                  </w:pPr>
                  <w:r>
                    <w:rPr>
                      <w:szCs w:val="21"/>
                    </w:rPr>
                    <w:t>本项目不涉及生产性捕捞。</w:t>
                  </w:r>
                </w:p>
              </w:tc>
              <w:tc>
                <w:tcPr>
                  <w:tcW w:w="408" w:type="pct"/>
                  <w:tcBorders>
                    <w:tl2br w:val="nil"/>
                    <w:tr2bl w:val="nil"/>
                  </w:tcBorders>
                  <w:vAlign w:val="center"/>
                </w:tcPr>
                <w:p w14:paraId="07D0087A">
                  <w:pPr>
                    <w:pStyle w:val="74"/>
                    <w:jc w:val="center"/>
                    <w:rPr>
                      <w:szCs w:val="21"/>
                    </w:rPr>
                  </w:pPr>
                  <w:r>
                    <w:rPr>
                      <w:szCs w:val="21"/>
                    </w:rPr>
                    <w:t>相符</w:t>
                  </w:r>
                </w:p>
              </w:tc>
            </w:tr>
            <w:tr w14:paraId="2B93F3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tcBorders>
                    <w:tl2br w:val="nil"/>
                    <w:tr2bl w:val="nil"/>
                  </w:tcBorders>
                  <w:vAlign w:val="center"/>
                </w:tcPr>
                <w:p w14:paraId="3D7CEB56">
                  <w:pPr>
                    <w:pStyle w:val="74"/>
                    <w:jc w:val="center"/>
                    <w:rPr>
                      <w:szCs w:val="21"/>
                    </w:rPr>
                  </w:pPr>
                  <w:r>
                    <w:rPr>
                      <w:szCs w:val="21"/>
                    </w:rPr>
                    <w:t>8</w:t>
                  </w:r>
                </w:p>
              </w:tc>
              <w:tc>
                <w:tcPr>
                  <w:tcW w:w="425" w:type="pct"/>
                  <w:vMerge w:val="continue"/>
                  <w:tcBorders>
                    <w:tl2br w:val="nil"/>
                    <w:tr2bl w:val="nil"/>
                  </w:tcBorders>
                  <w:vAlign w:val="center"/>
                </w:tcPr>
                <w:p w14:paraId="7C5D120A">
                  <w:pPr>
                    <w:pStyle w:val="74"/>
                    <w:jc w:val="center"/>
                    <w:rPr>
                      <w:szCs w:val="21"/>
                    </w:rPr>
                  </w:pPr>
                </w:p>
              </w:tc>
              <w:tc>
                <w:tcPr>
                  <w:tcW w:w="2551" w:type="pct"/>
                  <w:tcBorders>
                    <w:tl2br w:val="nil"/>
                    <w:tr2bl w:val="nil"/>
                  </w:tcBorders>
                  <w:vAlign w:val="center"/>
                </w:tcPr>
                <w:p w14:paraId="1989F4A2">
                  <w:pPr>
                    <w:pStyle w:val="74"/>
                    <w:rPr>
                      <w:szCs w:val="21"/>
                    </w:rPr>
                  </w:pPr>
                  <w:r>
                    <w:rPr>
                      <w:szCs w:val="21"/>
                    </w:rPr>
                    <w:t>8、禁止在距离长江干支流岸线一公里范围内新建、扩建化工园区和化工项目。长江干支流一公里按照长江干支流岸线边界（即水利部门河道管理范围边界）向陆域纵深一公里执行。</w:t>
                  </w:r>
                </w:p>
              </w:tc>
              <w:tc>
                <w:tcPr>
                  <w:tcW w:w="1325" w:type="pct"/>
                  <w:tcBorders>
                    <w:tl2br w:val="nil"/>
                    <w:tr2bl w:val="nil"/>
                  </w:tcBorders>
                  <w:vAlign w:val="center"/>
                </w:tcPr>
                <w:p w14:paraId="5C7AAD03">
                  <w:pPr>
                    <w:pStyle w:val="74"/>
                    <w:rPr>
                      <w:szCs w:val="21"/>
                    </w:rPr>
                  </w:pPr>
                  <w:r>
                    <w:rPr>
                      <w:szCs w:val="21"/>
                    </w:rPr>
                    <w:t>本项目不属于化工项目。</w:t>
                  </w:r>
                </w:p>
              </w:tc>
              <w:tc>
                <w:tcPr>
                  <w:tcW w:w="408" w:type="pct"/>
                  <w:tcBorders>
                    <w:tl2br w:val="nil"/>
                    <w:tr2bl w:val="nil"/>
                  </w:tcBorders>
                  <w:vAlign w:val="center"/>
                </w:tcPr>
                <w:p w14:paraId="694C34D6">
                  <w:pPr>
                    <w:pStyle w:val="74"/>
                    <w:jc w:val="center"/>
                    <w:rPr>
                      <w:szCs w:val="21"/>
                    </w:rPr>
                  </w:pPr>
                  <w:r>
                    <w:rPr>
                      <w:szCs w:val="21"/>
                    </w:rPr>
                    <w:t>相符</w:t>
                  </w:r>
                </w:p>
              </w:tc>
            </w:tr>
            <w:tr w14:paraId="6B1327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tcBorders>
                    <w:tl2br w:val="nil"/>
                    <w:tr2bl w:val="nil"/>
                  </w:tcBorders>
                  <w:vAlign w:val="center"/>
                </w:tcPr>
                <w:p w14:paraId="65ED5AFB">
                  <w:pPr>
                    <w:pStyle w:val="74"/>
                    <w:jc w:val="center"/>
                    <w:rPr>
                      <w:szCs w:val="21"/>
                    </w:rPr>
                  </w:pPr>
                  <w:r>
                    <w:rPr>
                      <w:szCs w:val="21"/>
                    </w:rPr>
                    <w:t>9</w:t>
                  </w:r>
                </w:p>
              </w:tc>
              <w:tc>
                <w:tcPr>
                  <w:tcW w:w="425" w:type="pct"/>
                  <w:vMerge w:val="continue"/>
                  <w:tcBorders>
                    <w:tl2br w:val="nil"/>
                    <w:tr2bl w:val="nil"/>
                  </w:tcBorders>
                  <w:vAlign w:val="center"/>
                </w:tcPr>
                <w:p w14:paraId="5DC84199">
                  <w:pPr>
                    <w:pStyle w:val="74"/>
                    <w:jc w:val="center"/>
                    <w:rPr>
                      <w:szCs w:val="21"/>
                    </w:rPr>
                  </w:pPr>
                </w:p>
              </w:tc>
              <w:tc>
                <w:tcPr>
                  <w:tcW w:w="2551" w:type="pct"/>
                  <w:tcBorders>
                    <w:tl2br w:val="nil"/>
                    <w:tr2bl w:val="nil"/>
                  </w:tcBorders>
                  <w:vAlign w:val="center"/>
                </w:tcPr>
                <w:p w14:paraId="6689726E">
                  <w:pPr>
                    <w:pStyle w:val="74"/>
                    <w:rPr>
                      <w:szCs w:val="21"/>
                    </w:rPr>
                  </w:pPr>
                  <w:r>
                    <w:rPr>
                      <w:szCs w:val="21"/>
                    </w:rPr>
                    <w:t>9、禁止在长江干流岸线三公里范围内新建、改建、扩建尾矿库、冶炼渣库和磷石膏库，以提升安全、生态环境保护水平为目的的改建除外。</w:t>
                  </w:r>
                </w:p>
              </w:tc>
              <w:tc>
                <w:tcPr>
                  <w:tcW w:w="1325" w:type="pct"/>
                  <w:tcBorders>
                    <w:tl2br w:val="nil"/>
                    <w:tr2bl w:val="nil"/>
                  </w:tcBorders>
                  <w:vAlign w:val="center"/>
                </w:tcPr>
                <w:p w14:paraId="41F7DCB9">
                  <w:pPr>
                    <w:pStyle w:val="74"/>
                    <w:rPr>
                      <w:szCs w:val="21"/>
                    </w:rPr>
                  </w:pPr>
                  <w:r>
                    <w:rPr>
                      <w:szCs w:val="21"/>
                    </w:rPr>
                    <w:t>本项目不涉及尾矿库、冶炼渣库和磷石膏库。</w:t>
                  </w:r>
                </w:p>
              </w:tc>
              <w:tc>
                <w:tcPr>
                  <w:tcW w:w="408" w:type="pct"/>
                  <w:tcBorders>
                    <w:tl2br w:val="nil"/>
                    <w:tr2bl w:val="nil"/>
                  </w:tcBorders>
                  <w:vAlign w:val="center"/>
                </w:tcPr>
                <w:p w14:paraId="5CDB7B39">
                  <w:pPr>
                    <w:pStyle w:val="74"/>
                    <w:jc w:val="center"/>
                    <w:rPr>
                      <w:szCs w:val="21"/>
                    </w:rPr>
                  </w:pPr>
                  <w:r>
                    <w:rPr>
                      <w:szCs w:val="21"/>
                    </w:rPr>
                    <w:t>相符</w:t>
                  </w:r>
                </w:p>
              </w:tc>
            </w:tr>
            <w:tr w14:paraId="3F4B6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tcBorders>
                    <w:tl2br w:val="nil"/>
                    <w:tr2bl w:val="nil"/>
                  </w:tcBorders>
                  <w:vAlign w:val="center"/>
                </w:tcPr>
                <w:p w14:paraId="58E410DF">
                  <w:pPr>
                    <w:pStyle w:val="74"/>
                    <w:jc w:val="center"/>
                    <w:rPr>
                      <w:szCs w:val="21"/>
                    </w:rPr>
                  </w:pPr>
                  <w:r>
                    <w:rPr>
                      <w:szCs w:val="21"/>
                    </w:rPr>
                    <w:t>10</w:t>
                  </w:r>
                </w:p>
              </w:tc>
              <w:tc>
                <w:tcPr>
                  <w:tcW w:w="425" w:type="pct"/>
                  <w:vMerge w:val="continue"/>
                  <w:tcBorders>
                    <w:tl2br w:val="nil"/>
                    <w:tr2bl w:val="nil"/>
                  </w:tcBorders>
                  <w:vAlign w:val="center"/>
                </w:tcPr>
                <w:p w14:paraId="40681CA5">
                  <w:pPr>
                    <w:pStyle w:val="74"/>
                    <w:jc w:val="center"/>
                    <w:rPr>
                      <w:szCs w:val="21"/>
                    </w:rPr>
                  </w:pPr>
                </w:p>
              </w:tc>
              <w:tc>
                <w:tcPr>
                  <w:tcW w:w="2551" w:type="pct"/>
                  <w:tcBorders>
                    <w:tl2br w:val="nil"/>
                    <w:tr2bl w:val="nil"/>
                  </w:tcBorders>
                  <w:vAlign w:val="center"/>
                </w:tcPr>
                <w:p w14:paraId="751FB36A">
                  <w:pPr>
                    <w:pStyle w:val="74"/>
                    <w:rPr>
                      <w:szCs w:val="21"/>
                    </w:rPr>
                  </w:pPr>
                  <w:r>
                    <w:rPr>
                      <w:szCs w:val="21"/>
                    </w:rPr>
                    <w:t>10、禁止在太湖流域一、二、三级保护区内开展《江苏省太湖水污染防治条例》禁止的投资建设活动。</w:t>
                  </w:r>
                </w:p>
              </w:tc>
              <w:tc>
                <w:tcPr>
                  <w:tcW w:w="1325" w:type="pct"/>
                  <w:tcBorders>
                    <w:tl2br w:val="nil"/>
                    <w:tr2bl w:val="nil"/>
                  </w:tcBorders>
                  <w:vAlign w:val="center"/>
                </w:tcPr>
                <w:p w14:paraId="5C32E2AA">
                  <w:pPr>
                    <w:pStyle w:val="74"/>
                    <w:rPr>
                      <w:szCs w:val="21"/>
                    </w:rPr>
                  </w:pPr>
                  <w:r>
                    <w:rPr>
                      <w:szCs w:val="21"/>
                    </w:rPr>
                    <w:t>本项目不属于《江苏省太湖水污染防治条例》禁止的投资建设活动。</w:t>
                  </w:r>
                </w:p>
              </w:tc>
              <w:tc>
                <w:tcPr>
                  <w:tcW w:w="408" w:type="pct"/>
                  <w:tcBorders>
                    <w:tl2br w:val="nil"/>
                    <w:tr2bl w:val="nil"/>
                  </w:tcBorders>
                  <w:vAlign w:val="center"/>
                </w:tcPr>
                <w:p w14:paraId="272E8906">
                  <w:pPr>
                    <w:pStyle w:val="74"/>
                    <w:jc w:val="center"/>
                    <w:rPr>
                      <w:szCs w:val="21"/>
                    </w:rPr>
                  </w:pPr>
                  <w:r>
                    <w:rPr>
                      <w:szCs w:val="21"/>
                    </w:rPr>
                    <w:t>相符</w:t>
                  </w:r>
                </w:p>
              </w:tc>
            </w:tr>
            <w:tr w14:paraId="027A9B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tcBorders>
                    <w:tl2br w:val="nil"/>
                    <w:tr2bl w:val="nil"/>
                  </w:tcBorders>
                  <w:vAlign w:val="center"/>
                </w:tcPr>
                <w:p w14:paraId="4B04F2FC">
                  <w:pPr>
                    <w:pStyle w:val="74"/>
                    <w:jc w:val="center"/>
                    <w:rPr>
                      <w:szCs w:val="21"/>
                    </w:rPr>
                  </w:pPr>
                  <w:r>
                    <w:rPr>
                      <w:szCs w:val="21"/>
                    </w:rPr>
                    <w:t>11</w:t>
                  </w:r>
                </w:p>
              </w:tc>
              <w:tc>
                <w:tcPr>
                  <w:tcW w:w="425" w:type="pct"/>
                  <w:vMerge w:val="continue"/>
                  <w:tcBorders>
                    <w:tl2br w:val="nil"/>
                    <w:tr2bl w:val="nil"/>
                  </w:tcBorders>
                  <w:vAlign w:val="center"/>
                </w:tcPr>
                <w:p w14:paraId="17EA91CE">
                  <w:pPr>
                    <w:pStyle w:val="74"/>
                    <w:jc w:val="center"/>
                    <w:rPr>
                      <w:szCs w:val="21"/>
                    </w:rPr>
                  </w:pPr>
                </w:p>
              </w:tc>
              <w:tc>
                <w:tcPr>
                  <w:tcW w:w="2551" w:type="pct"/>
                  <w:tcBorders>
                    <w:tl2br w:val="nil"/>
                    <w:tr2bl w:val="nil"/>
                  </w:tcBorders>
                  <w:vAlign w:val="center"/>
                </w:tcPr>
                <w:p w14:paraId="1CE840AA">
                  <w:pPr>
                    <w:pStyle w:val="74"/>
                    <w:rPr>
                      <w:szCs w:val="21"/>
                    </w:rPr>
                  </w:pPr>
                  <w:r>
                    <w:rPr>
                      <w:szCs w:val="21"/>
                    </w:rPr>
                    <w:t>11、禁止在沿江地区新建、扩建未纳入国家和省布局规划的燃煤发电项目。</w:t>
                  </w:r>
                </w:p>
              </w:tc>
              <w:tc>
                <w:tcPr>
                  <w:tcW w:w="1325" w:type="pct"/>
                  <w:tcBorders>
                    <w:tl2br w:val="nil"/>
                    <w:tr2bl w:val="nil"/>
                  </w:tcBorders>
                  <w:vAlign w:val="center"/>
                </w:tcPr>
                <w:p w14:paraId="15056F69">
                  <w:pPr>
                    <w:pStyle w:val="74"/>
                    <w:rPr>
                      <w:szCs w:val="21"/>
                    </w:rPr>
                  </w:pPr>
                  <w:r>
                    <w:rPr>
                      <w:szCs w:val="21"/>
                    </w:rPr>
                    <w:t>本项目不属于燃煤发电项目。</w:t>
                  </w:r>
                </w:p>
              </w:tc>
              <w:tc>
                <w:tcPr>
                  <w:tcW w:w="408" w:type="pct"/>
                  <w:tcBorders>
                    <w:tl2br w:val="nil"/>
                    <w:tr2bl w:val="nil"/>
                  </w:tcBorders>
                  <w:vAlign w:val="center"/>
                </w:tcPr>
                <w:p w14:paraId="0C8FC4B9">
                  <w:pPr>
                    <w:pStyle w:val="74"/>
                    <w:jc w:val="center"/>
                    <w:rPr>
                      <w:szCs w:val="21"/>
                    </w:rPr>
                  </w:pPr>
                  <w:r>
                    <w:rPr>
                      <w:szCs w:val="21"/>
                    </w:rPr>
                    <w:t>相符</w:t>
                  </w:r>
                </w:p>
              </w:tc>
            </w:tr>
            <w:tr w14:paraId="2F882D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tcBorders>
                    <w:tl2br w:val="nil"/>
                    <w:tr2bl w:val="nil"/>
                  </w:tcBorders>
                  <w:vAlign w:val="center"/>
                </w:tcPr>
                <w:p w14:paraId="34B853A7">
                  <w:pPr>
                    <w:pStyle w:val="74"/>
                    <w:jc w:val="center"/>
                    <w:rPr>
                      <w:szCs w:val="21"/>
                    </w:rPr>
                  </w:pPr>
                  <w:r>
                    <w:rPr>
                      <w:szCs w:val="21"/>
                    </w:rPr>
                    <w:t>12</w:t>
                  </w:r>
                </w:p>
              </w:tc>
              <w:tc>
                <w:tcPr>
                  <w:tcW w:w="425" w:type="pct"/>
                  <w:vMerge w:val="continue"/>
                  <w:tcBorders>
                    <w:tl2br w:val="nil"/>
                    <w:tr2bl w:val="nil"/>
                  </w:tcBorders>
                  <w:vAlign w:val="center"/>
                </w:tcPr>
                <w:p w14:paraId="1E6E0663">
                  <w:pPr>
                    <w:pStyle w:val="74"/>
                    <w:jc w:val="center"/>
                    <w:rPr>
                      <w:szCs w:val="21"/>
                    </w:rPr>
                  </w:pPr>
                </w:p>
              </w:tc>
              <w:tc>
                <w:tcPr>
                  <w:tcW w:w="2551" w:type="pct"/>
                  <w:tcBorders>
                    <w:tl2br w:val="nil"/>
                    <w:tr2bl w:val="nil"/>
                  </w:tcBorders>
                  <w:vAlign w:val="center"/>
                </w:tcPr>
                <w:p w14:paraId="7DF7D0D6">
                  <w:pPr>
                    <w:pStyle w:val="74"/>
                    <w:rPr>
                      <w:szCs w:val="21"/>
                    </w:rPr>
                  </w:pPr>
                  <w:r>
                    <w:rPr>
                      <w:szCs w:val="21"/>
                    </w:rPr>
                    <w:t>12、禁止在合规园区外新建、扩建钢铁、石化、化工、焦化、建材、有色、制浆造纸等高污染项目。合规园区名录按照《〈长江经济带发展负面清单指南（试行，2022年版）〉江苏省实施细则合规园区名录》执行。</w:t>
                  </w:r>
                </w:p>
              </w:tc>
              <w:tc>
                <w:tcPr>
                  <w:tcW w:w="1325" w:type="pct"/>
                  <w:tcBorders>
                    <w:tl2br w:val="nil"/>
                    <w:tr2bl w:val="nil"/>
                  </w:tcBorders>
                  <w:vAlign w:val="center"/>
                </w:tcPr>
                <w:p w14:paraId="2713AFE2">
                  <w:pPr>
                    <w:pStyle w:val="74"/>
                    <w:rPr>
                      <w:szCs w:val="21"/>
                    </w:rPr>
                  </w:pPr>
                  <w:r>
                    <w:rPr>
                      <w:szCs w:val="21"/>
                    </w:rPr>
                    <w:t>本项目不属于钢铁、石化、化工、焦化、建材、有色、制浆造纸等高污染项目。</w:t>
                  </w:r>
                </w:p>
              </w:tc>
              <w:tc>
                <w:tcPr>
                  <w:tcW w:w="408" w:type="pct"/>
                  <w:tcBorders>
                    <w:tl2br w:val="nil"/>
                    <w:tr2bl w:val="nil"/>
                  </w:tcBorders>
                  <w:vAlign w:val="center"/>
                </w:tcPr>
                <w:p w14:paraId="394F3A9B">
                  <w:pPr>
                    <w:pStyle w:val="74"/>
                    <w:jc w:val="center"/>
                    <w:rPr>
                      <w:szCs w:val="21"/>
                    </w:rPr>
                  </w:pPr>
                  <w:r>
                    <w:rPr>
                      <w:szCs w:val="21"/>
                    </w:rPr>
                    <w:t>相符</w:t>
                  </w:r>
                </w:p>
              </w:tc>
            </w:tr>
            <w:tr w14:paraId="2BB870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tcBorders>
                    <w:tl2br w:val="nil"/>
                    <w:tr2bl w:val="nil"/>
                  </w:tcBorders>
                  <w:vAlign w:val="center"/>
                </w:tcPr>
                <w:p w14:paraId="164324EF">
                  <w:pPr>
                    <w:pStyle w:val="74"/>
                    <w:jc w:val="center"/>
                    <w:rPr>
                      <w:szCs w:val="21"/>
                    </w:rPr>
                  </w:pPr>
                  <w:r>
                    <w:rPr>
                      <w:szCs w:val="21"/>
                    </w:rPr>
                    <w:t>13</w:t>
                  </w:r>
                </w:p>
              </w:tc>
              <w:tc>
                <w:tcPr>
                  <w:tcW w:w="425" w:type="pct"/>
                  <w:vMerge w:val="continue"/>
                  <w:tcBorders>
                    <w:tl2br w:val="nil"/>
                    <w:tr2bl w:val="nil"/>
                  </w:tcBorders>
                  <w:vAlign w:val="center"/>
                </w:tcPr>
                <w:p w14:paraId="28ECAE1B">
                  <w:pPr>
                    <w:pStyle w:val="74"/>
                    <w:jc w:val="center"/>
                    <w:rPr>
                      <w:szCs w:val="21"/>
                    </w:rPr>
                  </w:pPr>
                </w:p>
              </w:tc>
              <w:tc>
                <w:tcPr>
                  <w:tcW w:w="2551" w:type="pct"/>
                  <w:tcBorders>
                    <w:tl2br w:val="nil"/>
                    <w:tr2bl w:val="nil"/>
                  </w:tcBorders>
                  <w:vAlign w:val="center"/>
                </w:tcPr>
                <w:p w14:paraId="1AE00E03">
                  <w:pPr>
                    <w:pStyle w:val="74"/>
                    <w:rPr>
                      <w:szCs w:val="21"/>
                    </w:rPr>
                  </w:pPr>
                  <w:r>
                    <w:rPr>
                      <w:szCs w:val="21"/>
                    </w:rPr>
                    <w:t>13、禁止在取消化工定位的园区（集中区）内新建化工项目。</w:t>
                  </w:r>
                </w:p>
              </w:tc>
              <w:tc>
                <w:tcPr>
                  <w:tcW w:w="1325" w:type="pct"/>
                  <w:tcBorders>
                    <w:tl2br w:val="nil"/>
                    <w:tr2bl w:val="nil"/>
                  </w:tcBorders>
                  <w:vAlign w:val="center"/>
                </w:tcPr>
                <w:p w14:paraId="20865884">
                  <w:pPr>
                    <w:pStyle w:val="74"/>
                    <w:rPr>
                      <w:szCs w:val="21"/>
                    </w:rPr>
                  </w:pPr>
                  <w:r>
                    <w:rPr>
                      <w:szCs w:val="21"/>
                    </w:rPr>
                    <w:t>本项目不属于化工项目。</w:t>
                  </w:r>
                </w:p>
              </w:tc>
              <w:tc>
                <w:tcPr>
                  <w:tcW w:w="408" w:type="pct"/>
                  <w:tcBorders>
                    <w:tl2br w:val="nil"/>
                    <w:tr2bl w:val="nil"/>
                  </w:tcBorders>
                  <w:vAlign w:val="center"/>
                </w:tcPr>
                <w:p w14:paraId="5CFE881C">
                  <w:pPr>
                    <w:pStyle w:val="74"/>
                    <w:jc w:val="center"/>
                    <w:rPr>
                      <w:szCs w:val="21"/>
                    </w:rPr>
                  </w:pPr>
                  <w:r>
                    <w:rPr>
                      <w:szCs w:val="21"/>
                    </w:rPr>
                    <w:t>相符</w:t>
                  </w:r>
                </w:p>
              </w:tc>
            </w:tr>
            <w:tr w14:paraId="425506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tcBorders>
                    <w:tl2br w:val="nil"/>
                    <w:tr2bl w:val="nil"/>
                  </w:tcBorders>
                  <w:vAlign w:val="center"/>
                </w:tcPr>
                <w:p w14:paraId="5DD18E10">
                  <w:pPr>
                    <w:pStyle w:val="74"/>
                    <w:jc w:val="center"/>
                    <w:rPr>
                      <w:szCs w:val="21"/>
                    </w:rPr>
                  </w:pPr>
                  <w:r>
                    <w:rPr>
                      <w:szCs w:val="21"/>
                    </w:rPr>
                    <w:t>14</w:t>
                  </w:r>
                </w:p>
              </w:tc>
              <w:tc>
                <w:tcPr>
                  <w:tcW w:w="425" w:type="pct"/>
                  <w:vMerge w:val="continue"/>
                  <w:tcBorders>
                    <w:tl2br w:val="nil"/>
                    <w:tr2bl w:val="nil"/>
                  </w:tcBorders>
                  <w:vAlign w:val="center"/>
                </w:tcPr>
                <w:p w14:paraId="4B43E4B6">
                  <w:pPr>
                    <w:pStyle w:val="74"/>
                    <w:jc w:val="center"/>
                    <w:rPr>
                      <w:szCs w:val="21"/>
                    </w:rPr>
                  </w:pPr>
                </w:p>
              </w:tc>
              <w:tc>
                <w:tcPr>
                  <w:tcW w:w="2551" w:type="pct"/>
                  <w:tcBorders>
                    <w:tl2br w:val="nil"/>
                    <w:tr2bl w:val="nil"/>
                  </w:tcBorders>
                  <w:vAlign w:val="center"/>
                </w:tcPr>
                <w:p w14:paraId="06A9FF59">
                  <w:pPr>
                    <w:pStyle w:val="74"/>
                    <w:rPr>
                      <w:szCs w:val="21"/>
                    </w:rPr>
                  </w:pPr>
                  <w:r>
                    <w:rPr>
                      <w:szCs w:val="21"/>
                    </w:rPr>
                    <w:t>14、禁止在化工企业周边建设不符合安全距离规定的劳动密集型的非化工项目和其他人员密集的公共设施项目。</w:t>
                  </w:r>
                </w:p>
              </w:tc>
              <w:tc>
                <w:tcPr>
                  <w:tcW w:w="1325" w:type="pct"/>
                  <w:tcBorders>
                    <w:tl2br w:val="nil"/>
                    <w:tr2bl w:val="nil"/>
                  </w:tcBorders>
                  <w:vAlign w:val="center"/>
                </w:tcPr>
                <w:p w14:paraId="42B5BC05">
                  <w:pPr>
                    <w:pStyle w:val="74"/>
                    <w:rPr>
                      <w:szCs w:val="21"/>
                    </w:rPr>
                  </w:pPr>
                  <w:r>
                    <w:rPr>
                      <w:szCs w:val="21"/>
                    </w:rPr>
                    <w:t>本项目不属于劳动密集型非化工项目。</w:t>
                  </w:r>
                </w:p>
              </w:tc>
              <w:tc>
                <w:tcPr>
                  <w:tcW w:w="408" w:type="pct"/>
                  <w:tcBorders>
                    <w:tl2br w:val="nil"/>
                    <w:tr2bl w:val="nil"/>
                  </w:tcBorders>
                  <w:vAlign w:val="center"/>
                </w:tcPr>
                <w:p w14:paraId="50FAD89E">
                  <w:pPr>
                    <w:pStyle w:val="74"/>
                    <w:jc w:val="center"/>
                    <w:rPr>
                      <w:szCs w:val="21"/>
                    </w:rPr>
                  </w:pPr>
                  <w:r>
                    <w:rPr>
                      <w:szCs w:val="21"/>
                    </w:rPr>
                    <w:t>相符</w:t>
                  </w:r>
                </w:p>
              </w:tc>
            </w:tr>
            <w:tr w14:paraId="22BC53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tcBorders>
                    <w:tl2br w:val="nil"/>
                    <w:tr2bl w:val="nil"/>
                  </w:tcBorders>
                  <w:vAlign w:val="center"/>
                </w:tcPr>
                <w:p w14:paraId="52DBECCE">
                  <w:pPr>
                    <w:pStyle w:val="74"/>
                    <w:jc w:val="center"/>
                    <w:rPr>
                      <w:szCs w:val="21"/>
                    </w:rPr>
                  </w:pPr>
                  <w:r>
                    <w:rPr>
                      <w:szCs w:val="21"/>
                    </w:rPr>
                    <w:t>15</w:t>
                  </w:r>
                </w:p>
              </w:tc>
              <w:tc>
                <w:tcPr>
                  <w:tcW w:w="425" w:type="pct"/>
                  <w:vMerge w:val="restart"/>
                  <w:tcBorders>
                    <w:tl2br w:val="nil"/>
                    <w:tr2bl w:val="nil"/>
                  </w:tcBorders>
                  <w:vAlign w:val="center"/>
                </w:tcPr>
                <w:p w14:paraId="5A187499">
                  <w:pPr>
                    <w:pStyle w:val="74"/>
                    <w:jc w:val="center"/>
                    <w:rPr>
                      <w:szCs w:val="21"/>
                    </w:rPr>
                  </w:pPr>
                  <w:r>
                    <w:rPr>
                      <w:szCs w:val="21"/>
                    </w:rPr>
                    <w:t>三、产业发展</w:t>
                  </w:r>
                </w:p>
              </w:tc>
              <w:tc>
                <w:tcPr>
                  <w:tcW w:w="2551" w:type="pct"/>
                  <w:tcBorders>
                    <w:tl2br w:val="nil"/>
                    <w:tr2bl w:val="nil"/>
                  </w:tcBorders>
                  <w:vAlign w:val="center"/>
                </w:tcPr>
                <w:p w14:paraId="773E02A5">
                  <w:pPr>
                    <w:pStyle w:val="74"/>
                    <w:rPr>
                      <w:szCs w:val="21"/>
                    </w:rPr>
                  </w:pPr>
                  <w:r>
                    <w:rPr>
                      <w:szCs w:val="21"/>
                    </w:rPr>
                    <w:t>15、禁止新建、扩建不符合国家和省产业政策的尿素、磷铵、电石、烧碱、聚氯乙烯、纯碱等行业新增产能项目。</w:t>
                  </w:r>
                </w:p>
              </w:tc>
              <w:tc>
                <w:tcPr>
                  <w:tcW w:w="1325" w:type="pct"/>
                  <w:tcBorders>
                    <w:tl2br w:val="nil"/>
                    <w:tr2bl w:val="nil"/>
                  </w:tcBorders>
                  <w:vAlign w:val="center"/>
                </w:tcPr>
                <w:p w14:paraId="20F877D1">
                  <w:pPr>
                    <w:pStyle w:val="74"/>
                    <w:rPr>
                      <w:szCs w:val="21"/>
                    </w:rPr>
                  </w:pPr>
                  <w:r>
                    <w:rPr>
                      <w:szCs w:val="21"/>
                    </w:rPr>
                    <w:t>本项目不属于尿素、磷铵、电石、烧碱、聚氯乙烯、纯碱等行业新增产能项目。</w:t>
                  </w:r>
                </w:p>
              </w:tc>
              <w:tc>
                <w:tcPr>
                  <w:tcW w:w="408" w:type="pct"/>
                  <w:tcBorders>
                    <w:tl2br w:val="nil"/>
                    <w:tr2bl w:val="nil"/>
                  </w:tcBorders>
                  <w:vAlign w:val="center"/>
                </w:tcPr>
                <w:p w14:paraId="77195AC6">
                  <w:pPr>
                    <w:pStyle w:val="74"/>
                    <w:jc w:val="center"/>
                    <w:rPr>
                      <w:szCs w:val="21"/>
                    </w:rPr>
                  </w:pPr>
                  <w:r>
                    <w:rPr>
                      <w:szCs w:val="21"/>
                    </w:rPr>
                    <w:t>相符</w:t>
                  </w:r>
                </w:p>
              </w:tc>
            </w:tr>
            <w:tr w14:paraId="62BC89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tcBorders>
                    <w:tl2br w:val="nil"/>
                    <w:tr2bl w:val="nil"/>
                  </w:tcBorders>
                  <w:vAlign w:val="center"/>
                </w:tcPr>
                <w:p w14:paraId="2DDEC269">
                  <w:pPr>
                    <w:pStyle w:val="74"/>
                    <w:jc w:val="center"/>
                    <w:rPr>
                      <w:szCs w:val="21"/>
                    </w:rPr>
                  </w:pPr>
                  <w:r>
                    <w:rPr>
                      <w:szCs w:val="21"/>
                    </w:rPr>
                    <w:t>16</w:t>
                  </w:r>
                </w:p>
              </w:tc>
              <w:tc>
                <w:tcPr>
                  <w:tcW w:w="425" w:type="pct"/>
                  <w:vMerge w:val="continue"/>
                  <w:tcBorders>
                    <w:tl2br w:val="nil"/>
                    <w:tr2bl w:val="nil"/>
                  </w:tcBorders>
                  <w:vAlign w:val="center"/>
                </w:tcPr>
                <w:p w14:paraId="55D4FCBA">
                  <w:pPr>
                    <w:pStyle w:val="74"/>
                    <w:jc w:val="center"/>
                    <w:rPr>
                      <w:szCs w:val="21"/>
                    </w:rPr>
                  </w:pPr>
                </w:p>
              </w:tc>
              <w:tc>
                <w:tcPr>
                  <w:tcW w:w="2551" w:type="pct"/>
                  <w:tcBorders>
                    <w:tl2br w:val="nil"/>
                    <w:tr2bl w:val="nil"/>
                  </w:tcBorders>
                  <w:vAlign w:val="center"/>
                </w:tcPr>
                <w:p w14:paraId="66F04974">
                  <w:pPr>
                    <w:pStyle w:val="74"/>
                    <w:rPr>
                      <w:szCs w:val="21"/>
                    </w:rPr>
                  </w:pPr>
                  <w:r>
                    <w:rPr>
                      <w:szCs w:val="21"/>
                    </w:rPr>
                    <w:t>16、禁止新建、改建、扩建高毒、高残留以及对环境影响大的农药原药（化学合成类）项目，禁止新建、扩建不符合国家和省产业政策的农药、医药和染料中间体化工项目。</w:t>
                  </w:r>
                </w:p>
              </w:tc>
              <w:tc>
                <w:tcPr>
                  <w:tcW w:w="1325" w:type="pct"/>
                  <w:tcBorders>
                    <w:tl2br w:val="nil"/>
                    <w:tr2bl w:val="nil"/>
                  </w:tcBorders>
                  <w:vAlign w:val="center"/>
                </w:tcPr>
                <w:p w14:paraId="2B3ED7D6">
                  <w:pPr>
                    <w:pStyle w:val="74"/>
                    <w:rPr>
                      <w:szCs w:val="21"/>
                    </w:rPr>
                  </w:pPr>
                  <w:r>
                    <w:rPr>
                      <w:szCs w:val="21"/>
                    </w:rPr>
                    <w:t>本项目不属于农药原药（化学合成类）项目、农药、医药和染料中间体化工项目。</w:t>
                  </w:r>
                </w:p>
              </w:tc>
              <w:tc>
                <w:tcPr>
                  <w:tcW w:w="408" w:type="pct"/>
                  <w:tcBorders>
                    <w:tl2br w:val="nil"/>
                    <w:tr2bl w:val="nil"/>
                  </w:tcBorders>
                  <w:vAlign w:val="center"/>
                </w:tcPr>
                <w:p w14:paraId="24EAE76A">
                  <w:pPr>
                    <w:pStyle w:val="74"/>
                    <w:jc w:val="center"/>
                    <w:rPr>
                      <w:szCs w:val="21"/>
                    </w:rPr>
                  </w:pPr>
                  <w:r>
                    <w:rPr>
                      <w:szCs w:val="21"/>
                    </w:rPr>
                    <w:t>相符</w:t>
                  </w:r>
                </w:p>
              </w:tc>
            </w:tr>
            <w:tr w14:paraId="1646B2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tcBorders>
                    <w:tl2br w:val="nil"/>
                    <w:tr2bl w:val="nil"/>
                  </w:tcBorders>
                  <w:vAlign w:val="center"/>
                </w:tcPr>
                <w:p w14:paraId="75F7A658">
                  <w:pPr>
                    <w:pStyle w:val="74"/>
                    <w:jc w:val="center"/>
                    <w:rPr>
                      <w:szCs w:val="21"/>
                    </w:rPr>
                  </w:pPr>
                  <w:r>
                    <w:rPr>
                      <w:szCs w:val="21"/>
                    </w:rPr>
                    <w:t>17</w:t>
                  </w:r>
                </w:p>
              </w:tc>
              <w:tc>
                <w:tcPr>
                  <w:tcW w:w="425" w:type="pct"/>
                  <w:vMerge w:val="continue"/>
                  <w:tcBorders>
                    <w:tl2br w:val="nil"/>
                    <w:tr2bl w:val="nil"/>
                  </w:tcBorders>
                  <w:vAlign w:val="center"/>
                </w:tcPr>
                <w:p w14:paraId="38B57029">
                  <w:pPr>
                    <w:pStyle w:val="74"/>
                    <w:jc w:val="center"/>
                    <w:rPr>
                      <w:szCs w:val="21"/>
                    </w:rPr>
                  </w:pPr>
                </w:p>
              </w:tc>
              <w:tc>
                <w:tcPr>
                  <w:tcW w:w="2551" w:type="pct"/>
                  <w:tcBorders>
                    <w:tl2br w:val="nil"/>
                    <w:tr2bl w:val="nil"/>
                  </w:tcBorders>
                  <w:vAlign w:val="center"/>
                </w:tcPr>
                <w:p w14:paraId="239CA7D8">
                  <w:pPr>
                    <w:pStyle w:val="74"/>
                    <w:rPr>
                      <w:szCs w:val="21"/>
                    </w:rPr>
                  </w:pPr>
                  <w:r>
                    <w:rPr>
                      <w:szCs w:val="21"/>
                    </w:rPr>
                    <w:t>17、禁止新建、扩建不符合国家石化、现代煤化工等产业布局规划的项目，禁止新建独立焦化项目。</w:t>
                  </w:r>
                </w:p>
              </w:tc>
              <w:tc>
                <w:tcPr>
                  <w:tcW w:w="1325" w:type="pct"/>
                  <w:tcBorders>
                    <w:tl2br w:val="nil"/>
                    <w:tr2bl w:val="nil"/>
                  </w:tcBorders>
                  <w:vAlign w:val="center"/>
                </w:tcPr>
                <w:p w14:paraId="4BDFBFDE">
                  <w:pPr>
                    <w:pStyle w:val="74"/>
                    <w:rPr>
                      <w:szCs w:val="21"/>
                    </w:rPr>
                  </w:pPr>
                  <w:r>
                    <w:rPr>
                      <w:szCs w:val="21"/>
                    </w:rPr>
                    <w:t>本项目不属于独立焦化项目。</w:t>
                  </w:r>
                </w:p>
              </w:tc>
              <w:tc>
                <w:tcPr>
                  <w:tcW w:w="408" w:type="pct"/>
                  <w:tcBorders>
                    <w:tl2br w:val="nil"/>
                    <w:tr2bl w:val="nil"/>
                  </w:tcBorders>
                  <w:vAlign w:val="center"/>
                </w:tcPr>
                <w:p w14:paraId="61D07C8A">
                  <w:pPr>
                    <w:pStyle w:val="74"/>
                    <w:jc w:val="center"/>
                    <w:rPr>
                      <w:szCs w:val="21"/>
                    </w:rPr>
                  </w:pPr>
                  <w:r>
                    <w:rPr>
                      <w:szCs w:val="21"/>
                    </w:rPr>
                    <w:t>相符</w:t>
                  </w:r>
                </w:p>
              </w:tc>
            </w:tr>
            <w:tr w14:paraId="2175CA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tcBorders>
                    <w:tl2br w:val="nil"/>
                    <w:tr2bl w:val="nil"/>
                  </w:tcBorders>
                  <w:vAlign w:val="center"/>
                </w:tcPr>
                <w:p w14:paraId="313F343C">
                  <w:pPr>
                    <w:pStyle w:val="74"/>
                    <w:jc w:val="center"/>
                    <w:rPr>
                      <w:szCs w:val="21"/>
                    </w:rPr>
                  </w:pPr>
                  <w:r>
                    <w:rPr>
                      <w:szCs w:val="21"/>
                    </w:rPr>
                    <w:t>18</w:t>
                  </w:r>
                </w:p>
              </w:tc>
              <w:tc>
                <w:tcPr>
                  <w:tcW w:w="425" w:type="pct"/>
                  <w:vMerge w:val="continue"/>
                  <w:tcBorders>
                    <w:tl2br w:val="nil"/>
                    <w:tr2bl w:val="nil"/>
                  </w:tcBorders>
                  <w:vAlign w:val="center"/>
                </w:tcPr>
                <w:p w14:paraId="60C3BDA8">
                  <w:pPr>
                    <w:pStyle w:val="74"/>
                    <w:jc w:val="center"/>
                    <w:rPr>
                      <w:szCs w:val="21"/>
                    </w:rPr>
                  </w:pPr>
                </w:p>
              </w:tc>
              <w:tc>
                <w:tcPr>
                  <w:tcW w:w="2551" w:type="pct"/>
                  <w:tcBorders>
                    <w:tl2br w:val="nil"/>
                    <w:tr2bl w:val="nil"/>
                  </w:tcBorders>
                  <w:vAlign w:val="center"/>
                </w:tcPr>
                <w:p w14:paraId="504FCA65">
                  <w:pPr>
                    <w:pStyle w:val="74"/>
                    <w:rPr>
                      <w:szCs w:val="21"/>
                    </w:rPr>
                  </w:pPr>
                  <w:r>
                    <w:rPr>
                      <w:szCs w:val="21"/>
                    </w:rPr>
                    <w:t>18、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1325" w:type="pct"/>
                  <w:tcBorders>
                    <w:tl2br w:val="nil"/>
                    <w:tr2bl w:val="nil"/>
                  </w:tcBorders>
                  <w:vAlign w:val="center"/>
                </w:tcPr>
                <w:p w14:paraId="201461E8">
                  <w:pPr>
                    <w:pStyle w:val="74"/>
                    <w:rPr>
                      <w:szCs w:val="21"/>
                    </w:rPr>
                  </w:pPr>
                  <w:r>
                    <w:rPr>
                      <w:szCs w:val="21"/>
                    </w:rPr>
                    <w:t>本项目不属于国家《产业结构调整指导目录》《江苏省产业结构调整限制、淘汰和禁止目录》明确限制类、淘汰类、禁止类项目，法律法规和相关政策明令禁止的落后产能项目以及明令淘汰的安全生产落后工艺及装备项目。</w:t>
                  </w:r>
                </w:p>
              </w:tc>
              <w:tc>
                <w:tcPr>
                  <w:tcW w:w="408" w:type="pct"/>
                  <w:tcBorders>
                    <w:tl2br w:val="nil"/>
                    <w:tr2bl w:val="nil"/>
                  </w:tcBorders>
                  <w:vAlign w:val="center"/>
                </w:tcPr>
                <w:p w14:paraId="48FCB342">
                  <w:pPr>
                    <w:pStyle w:val="74"/>
                    <w:jc w:val="center"/>
                    <w:rPr>
                      <w:szCs w:val="21"/>
                    </w:rPr>
                  </w:pPr>
                  <w:r>
                    <w:rPr>
                      <w:szCs w:val="21"/>
                    </w:rPr>
                    <w:t>相符</w:t>
                  </w:r>
                </w:p>
              </w:tc>
            </w:tr>
            <w:tr w14:paraId="6BAB79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tcBorders>
                    <w:tl2br w:val="nil"/>
                    <w:tr2bl w:val="nil"/>
                  </w:tcBorders>
                  <w:vAlign w:val="center"/>
                </w:tcPr>
                <w:p w14:paraId="3EEF6D62">
                  <w:pPr>
                    <w:pStyle w:val="74"/>
                    <w:jc w:val="center"/>
                    <w:rPr>
                      <w:szCs w:val="21"/>
                    </w:rPr>
                  </w:pPr>
                  <w:r>
                    <w:rPr>
                      <w:szCs w:val="21"/>
                    </w:rPr>
                    <w:t>19</w:t>
                  </w:r>
                </w:p>
              </w:tc>
              <w:tc>
                <w:tcPr>
                  <w:tcW w:w="425" w:type="pct"/>
                  <w:vMerge w:val="continue"/>
                  <w:tcBorders>
                    <w:tl2br w:val="nil"/>
                    <w:tr2bl w:val="nil"/>
                  </w:tcBorders>
                  <w:vAlign w:val="center"/>
                </w:tcPr>
                <w:p w14:paraId="02440F57">
                  <w:pPr>
                    <w:pStyle w:val="74"/>
                    <w:jc w:val="center"/>
                    <w:rPr>
                      <w:szCs w:val="21"/>
                    </w:rPr>
                  </w:pPr>
                </w:p>
              </w:tc>
              <w:tc>
                <w:tcPr>
                  <w:tcW w:w="2551" w:type="pct"/>
                  <w:tcBorders>
                    <w:tl2br w:val="nil"/>
                    <w:tr2bl w:val="nil"/>
                  </w:tcBorders>
                  <w:vAlign w:val="center"/>
                </w:tcPr>
                <w:p w14:paraId="080D1BB4">
                  <w:pPr>
                    <w:pStyle w:val="74"/>
                    <w:rPr>
                      <w:szCs w:val="21"/>
                    </w:rPr>
                  </w:pPr>
                  <w:r>
                    <w:rPr>
                      <w:szCs w:val="21"/>
                    </w:rPr>
                    <w:t>19、禁止新建、扩建不符合国家产能置换要求的严重过剩产能行业的项目。禁止新建、扩建不符合要求的高耗能高排放项目。</w:t>
                  </w:r>
                </w:p>
              </w:tc>
              <w:tc>
                <w:tcPr>
                  <w:tcW w:w="1325" w:type="pct"/>
                  <w:tcBorders>
                    <w:tl2br w:val="nil"/>
                    <w:tr2bl w:val="nil"/>
                  </w:tcBorders>
                  <w:vAlign w:val="center"/>
                </w:tcPr>
                <w:p w14:paraId="79EC8A7A">
                  <w:pPr>
                    <w:pStyle w:val="74"/>
                    <w:rPr>
                      <w:szCs w:val="21"/>
                    </w:rPr>
                  </w:pPr>
                  <w:r>
                    <w:rPr>
                      <w:szCs w:val="21"/>
                    </w:rPr>
                    <w:t>本项目不属于严重过剩产能行业的项目、不属于高耗能高排放项目。</w:t>
                  </w:r>
                </w:p>
              </w:tc>
              <w:tc>
                <w:tcPr>
                  <w:tcW w:w="408" w:type="pct"/>
                  <w:tcBorders>
                    <w:tl2br w:val="nil"/>
                    <w:tr2bl w:val="nil"/>
                  </w:tcBorders>
                  <w:vAlign w:val="center"/>
                </w:tcPr>
                <w:p w14:paraId="02896319">
                  <w:pPr>
                    <w:pStyle w:val="74"/>
                    <w:jc w:val="center"/>
                    <w:rPr>
                      <w:szCs w:val="21"/>
                    </w:rPr>
                  </w:pPr>
                  <w:r>
                    <w:rPr>
                      <w:szCs w:val="21"/>
                    </w:rPr>
                    <w:t>相符</w:t>
                  </w:r>
                </w:p>
              </w:tc>
            </w:tr>
            <w:tr w14:paraId="0DB519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tcBorders>
                    <w:tl2br w:val="nil"/>
                    <w:tr2bl w:val="nil"/>
                  </w:tcBorders>
                  <w:vAlign w:val="center"/>
                </w:tcPr>
                <w:p w14:paraId="2C590977">
                  <w:pPr>
                    <w:pStyle w:val="74"/>
                    <w:jc w:val="center"/>
                    <w:rPr>
                      <w:szCs w:val="21"/>
                    </w:rPr>
                  </w:pPr>
                  <w:r>
                    <w:rPr>
                      <w:szCs w:val="21"/>
                    </w:rPr>
                    <w:t>20</w:t>
                  </w:r>
                </w:p>
              </w:tc>
              <w:tc>
                <w:tcPr>
                  <w:tcW w:w="425" w:type="pct"/>
                  <w:vMerge w:val="continue"/>
                  <w:tcBorders>
                    <w:tl2br w:val="nil"/>
                    <w:tr2bl w:val="nil"/>
                  </w:tcBorders>
                  <w:vAlign w:val="center"/>
                </w:tcPr>
                <w:p w14:paraId="6ECCF544">
                  <w:pPr>
                    <w:pStyle w:val="74"/>
                    <w:jc w:val="center"/>
                    <w:rPr>
                      <w:szCs w:val="21"/>
                    </w:rPr>
                  </w:pPr>
                </w:p>
              </w:tc>
              <w:tc>
                <w:tcPr>
                  <w:tcW w:w="2551" w:type="pct"/>
                  <w:tcBorders>
                    <w:tl2br w:val="nil"/>
                    <w:tr2bl w:val="nil"/>
                  </w:tcBorders>
                  <w:vAlign w:val="center"/>
                </w:tcPr>
                <w:p w14:paraId="47EA2624">
                  <w:pPr>
                    <w:pStyle w:val="74"/>
                    <w:rPr>
                      <w:szCs w:val="21"/>
                    </w:rPr>
                  </w:pPr>
                  <w:r>
                    <w:rPr>
                      <w:szCs w:val="21"/>
                    </w:rPr>
                    <w:t>20、法律法规及相关政策文件有更加严格规定的从其规定。</w:t>
                  </w:r>
                </w:p>
              </w:tc>
              <w:tc>
                <w:tcPr>
                  <w:tcW w:w="1325" w:type="pct"/>
                  <w:tcBorders>
                    <w:tl2br w:val="nil"/>
                    <w:tr2bl w:val="nil"/>
                  </w:tcBorders>
                  <w:vAlign w:val="center"/>
                </w:tcPr>
                <w:p w14:paraId="7CC61767">
                  <w:pPr>
                    <w:pStyle w:val="74"/>
                    <w:rPr>
                      <w:szCs w:val="21"/>
                    </w:rPr>
                  </w:pPr>
                  <w:r>
                    <w:rPr>
                      <w:szCs w:val="21"/>
                    </w:rPr>
                    <w:t>本项目符合法律法规及相关政策文件。</w:t>
                  </w:r>
                </w:p>
              </w:tc>
              <w:tc>
                <w:tcPr>
                  <w:tcW w:w="408" w:type="pct"/>
                  <w:tcBorders>
                    <w:tl2br w:val="nil"/>
                    <w:tr2bl w:val="nil"/>
                  </w:tcBorders>
                  <w:vAlign w:val="center"/>
                </w:tcPr>
                <w:p w14:paraId="567CD2F0">
                  <w:pPr>
                    <w:pStyle w:val="74"/>
                    <w:jc w:val="center"/>
                    <w:rPr>
                      <w:szCs w:val="21"/>
                    </w:rPr>
                  </w:pPr>
                  <w:r>
                    <w:rPr>
                      <w:szCs w:val="21"/>
                    </w:rPr>
                    <w:t>相符</w:t>
                  </w:r>
                </w:p>
              </w:tc>
            </w:tr>
          </w:tbl>
          <w:p w14:paraId="7795B051">
            <w:pPr>
              <w:pStyle w:val="77"/>
              <w:ind w:firstLine="360" w:firstLineChars="150"/>
              <w:jc w:val="both"/>
              <w:rPr>
                <w:b w:val="0"/>
                <w:szCs w:val="24"/>
              </w:rPr>
            </w:pPr>
            <w:r>
              <w:rPr>
                <w:b w:val="0"/>
                <w:szCs w:val="24"/>
              </w:rPr>
              <w:t>综上分析，本项目符合“三线一单”要求。</w:t>
            </w:r>
          </w:p>
          <w:p w14:paraId="449A02FE">
            <w:pPr>
              <w:pStyle w:val="78"/>
              <w:spacing w:before="0" w:after="0"/>
              <w:rPr>
                <w:rFonts w:cs="Times New Roman"/>
                <w:szCs w:val="24"/>
              </w:rPr>
            </w:pPr>
            <w:r>
              <w:rPr>
                <w:rFonts w:cs="Times New Roman"/>
                <w:szCs w:val="24"/>
              </w:rPr>
              <w:t>2、其他相关生态环境保护法律法规、生态环境保护规划相符性分析</w:t>
            </w:r>
          </w:p>
          <w:p w14:paraId="6371B5F2">
            <w:pPr>
              <w:pStyle w:val="285"/>
              <w:ind w:firstLine="480"/>
            </w:pPr>
            <w:r>
              <w:t>（1）与《关于印发重点行业挥发性有机物综合治理方案的通知》（环大气[2019]53号）、《关于印发2020年挥发性有机物治理攻坚方案的通知》（环大气[2020]33号）、《挥发性有机物无组织排放控制标准》（GB37822-2019）的相符性</w:t>
            </w:r>
          </w:p>
          <w:p w14:paraId="1C5DDF6E">
            <w:pPr>
              <w:pStyle w:val="77"/>
              <w:ind w:firstLine="480" w:firstLineChars="200"/>
              <w:jc w:val="both"/>
              <w:rPr>
                <w:b w:val="0"/>
                <w:bCs w:val="0"/>
                <w:szCs w:val="24"/>
              </w:rPr>
            </w:pPr>
            <w:r>
              <w:rPr>
                <w:b w:val="0"/>
                <w:bCs w:val="0"/>
                <w:szCs w:val="24"/>
              </w:rPr>
              <w:t>对照《关于印发重点行业挥发性有机物综合治理方案的通知》（环大气[2019]53号）、《关于印发2020年挥发性有机物治理攻坚方案的通知》（环大气[2020]33号）、《挥发性有机物无组织排放控制标准》（GB37822-2019）文件要求，本项目采用先进水平的生产技术和设备，并通过生产工艺的优化设计，从源头上减少废气的产生。本项目废气进行了分类收集和分质处理，纺丝油剂废气经油气分离装置处理后达标排放，切片干燥废气收集后经旋风除尘+布袋除尘器处理达标后排放，废丝回收废气经油烟净化器处理达标后排放。</w:t>
            </w:r>
            <w:bookmarkStart w:id="20" w:name="OLE_LINK1"/>
            <w:r>
              <w:rPr>
                <w:b w:val="0"/>
                <w:bCs w:val="0"/>
                <w:szCs w:val="24"/>
              </w:rPr>
              <w:t>油罐车将柴油运入厂内，采用自吸式卸油工艺将柴油从油罐车配套的软管和导管卸入油罐内，项目拟安装油气回收装置对卸油过程排出的油气进行回收，减少油气向外界逸散。本项目挥发性有机物无组织废气主要为纺丝车间油剂废气的无组织排放、撬装加油一体化设备的无组织排放。总体而言，从生产工艺、生产设备、废气收集、废气输送、废气治理等方面，本项目符合《关于印发重点行业挥发性有机物综合治理方案的通知》（环大气[2019]53号）、《关于印发2020年挥发性有机物治理攻坚方案的通知》（环大气[2020]33号）、《挥发性有机物无组织排放控制标准》（GB37822-2019）的相关管控要求。</w:t>
            </w:r>
          </w:p>
          <w:bookmarkEnd w:id="20"/>
          <w:p w14:paraId="5851429F">
            <w:pPr>
              <w:pStyle w:val="285"/>
              <w:ind w:firstLine="480"/>
            </w:pPr>
            <w:r>
              <w:t>（2）与《关于加快推进废旧纺织品循环利用的实施意见》（发改环资〔2022〕526号）、《关于“十四五”大宗固体废弃物综合利用的指导意见》(发改环资〔2021〕381号)的相符性</w:t>
            </w:r>
          </w:p>
          <w:p w14:paraId="4075A86D">
            <w:pPr>
              <w:pStyle w:val="77"/>
              <w:ind w:firstLine="480" w:firstLineChars="200"/>
              <w:jc w:val="both"/>
              <w:rPr>
                <w:b w:val="0"/>
                <w:bCs w:val="0"/>
                <w:szCs w:val="24"/>
              </w:rPr>
            </w:pPr>
            <w:r>
              <w:rPr>
                <w:b w:val="0"/>
                <w:bCs w:val="0"/>
                <w:szCs w:val="24"/>
              </w:rPr>
              <w:t>对照《关于加快推进废旧纺织品循环利用的实施意见》（发改环资〔2022〕526号），本次扩建项目利用涤纶废丝为原料，属于废旧纺织品再生利用，有利于促进废旧纺织品综合利用，有利于构建资源循环型产业体系和废旧物资循环利用体系。对照《关于“十四五”大宗固体废弃物综合利用的指导意见》（发改环资〔2021〕381号），本项目属于资源综合利用，项目的实施有利于提升大宗固废综合利用水平，全面提高资源利用效率</w:t>
            </w:r>
            <w:r>
              <w:rPr>
                <w:rFonts w:hint="eastAsia"/>
                <w:b w:val="0"/>
                <w:bCs w:val="0"/>
                <w:szCs w:val="24"/>
              </w:rPr>
              <w:t>。</w:t>
            </w:r>
          </w:p>
          <w:p w14:paraId="72AC4DC2">
            <w:pPr>
              <w:pStyle w:val="77"/>
              <w:ind w:firstLine="480" w:firstLineChars="200"/>
              <w:jc w:val="both"/>
              <w:rPr>
                <w:b w:val="0"/>
                <w:bCs w:val="0"/>
                <w:szCs w:val="24"/>
              </w:rPr>
            </w:pPr>
            <w:r>
              <w:rPr>
                <w:b w:val="0"/>
                <w:bCs w:val="0"/>
                <w:szCs w:val="24"/>
              </w:rPr>
              <w:t>（3）与《汽车加油加气加氢站技术标准》（GB50156-2021）相符性分析</w:t>
            </w:r>
          </w:p>
          <w:p w14:paraId="62C20580">
            <w:pPr>
              <w:pStyle w:val="77"/>
              <w:spacing w:line="240" w:lineRule="auto"/>
              <w:rPr>
                <w:szCs w:val="24"/>
              </w:rPr>
            </w:pPr>
            <w:r>
              <w:rPr>
                <w:szCs w:val="24"/>
              </w:rPr>
              <w:t>表1-7 与《汽车加油加气加氢站技术标准》（GB50156-2021）</w:t>
            </w:r>
            <w:r>
              <w:t>的</w:t>
            </w:r>
            <w:r>
              <w:rPr>
                <w:szCs w:val="24"/>
              </w:rPr>
              <w:t>相符性分析</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5315"/>
              <w:gridCol w:w="1527"/>
            </w:tblGrid>
            <w:tr w14:paraId="079BBB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5" w:hRule="atLeast"/>
              </w:trPr>
              <w:tc>
                <w:tcPr>
                  <w:tcW w:w="328" w:type="pct"/>
                  <w:shd w:val="clear" w:color="auto" w:fill="auto"/>
                  <w:noWrap/>
                  <w:vAlign w:val="center"/>
                </w:tcPr>
                <w:p w14:paraId="0DF6D4A8">
                  <w:pPr>
                    <w:widowControl/>
                    <w:jc w:val="center"/>
                    <w:rPr>
                      <w:rFonts w:eastAsiaTheme="majorEastAsia"/>
                      <w:b/>
                      <w:bCs/>
                      <w:kern w:val="0"/>
                      <w:szCs w:val="21"/>
                    </w:rPr>
                  </w:pPr>
                  <w:r>
                    <w:rPr>
                      <w:rFonts w:eastAsiaTheme="majorEastAsia"/>
                      <w:b/>
                      <w:bCs/>
                      <w:kern w:val="0"/>
                      <w:szCs w:val="21"/>
                    </w:rPr>
                    <w:t>序号</w:t>
                  </w:r>
                </w:p>
              </w:tc>
              <w:tc>
                <w:tcPr>
                  <w:tcW w:w="3602" w:type="pct"/>
                  <w:shd w:val="clear" w:color="auto" w:fill="auto"/>
                  <w:noWrap/>
                  <w:vAlign w:val="center"/>
                </w:tcPr>
                <w:p w14:paraId="5148E58E">
                  <w:pPr>
                    <w:widowControl/>
                    <w:jc w:val="center"/>
                    <w:rPr>
                      <w:rFonts w:eastAsiaTheme="majorEastAsia"/>
                      <w:b/>
                      <w:bCs/>
                      <w:kern w:val="0"/>
                      <w:szCs w:val="21"/>
                    </w:rPr>
                  </w:pPr>
                  <w:r>
                    <w:rPr>
                      <w:rFonts w:eastAsiaTheme="majorEastAsia"/>
                      <w:b/>
                      <w:bCs/>
                      <w:kern w:val="0"/>
                      <w:szCs w:val="21"/>
                    </w:rPr>
                    <w:t>相关要求</w:t>
                  </w:r>
                </w:p>
              </w:tc>
              <w:tc>
                <w:tcPr>
                  <w:tcW w:w="1070" w:type="pct"/>
                  <w:shd w:val="clear" w:color="auto" w:fill="auto"/>
                  <w:noWrap/>
                  <w:vAlign w:val="center"/>
                </w:tcPr>
                <w:p w14:paraId="749B5F16">
                  <w:pPr>
                    <w:widowControl/>
                    <w:jc w:val="center"/>
                    <w:rPr>
                      <w:rFonts w:eastAsiaTheme="majorEastAsia"/>
                      <w:b/>
                      <w:bCs/>
                      <w:kern w:val="0"/>
                      <w:szCs w:val="21"/>
                    </w:rPr>
                  </w:pPr>
                  <w:r>
                    <w:rPr>
                      <w:rFonts w:eastAsiaTheme="majorEastAsia"/>
                      <w:b/>
                      <w:bCs/>
                      <w:kern w:val="0"/>
                      <w:szCs w:val="21"/>
                    </w:rPr>
                    <w:t>符合性</w:t>
                  </w:r>
                </w:p>
              </w:tc>
            </w:tr>
            <w:tr w14:paraId="63998B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328" w:type="pct"/>
                  <w:shd w:val="clear" w:color="auto" w:fill="auto"/>
                  <w:noWrap/>
                  <w:vAlign w:val="center"/>
                </w:tcPr>
                <w:p w14:paraId="7C71A50D">
                  <w:pPr>
                    <w:widowControl/>
                    <w:jc w:val="center"/>
                    <w:rPr>
                      <w:rFonts w:eastAsiaTheme="majorEastAsia"/>
                      <w:kern w:val="0"/>
                      <w:szCs w:val="21"/>
                    </w:rPr>
                  </w:pPr>
                  <w:r>
                    <w:rPr>
                      <w:rFonts w:eastAsiaTheme="majorEastAsia"/>
                      <w:kern w:val="0"/>
                      <w:szCs w:val="21"/>
                    </w:rPr>
                    <w:t>1</w:t>
                  </w:r>
                </w:p>
              </w:tc>
              <w:tc>
                <w:tcPr>
                  <w:tcW w:w="3602" w:type="pct"/>
                  <w:shd w:val="clear" w:color="auto" w:fill="auto"/>
                  <w:vAlign w:val="center"/>
                </w:tcPr>
                <w:p w14:paraId="2ED5D1DE">
                  <w:pPr>
                    <w:widowControl/>
                    <w:jc w:val="center"/>
                    <w:rPr>
                      <w:rFonts w:eastAsiaTheme="majorEastAsia"/>
                      <w:kern w:val="0"/>
                      <w:szCs w:val="21"/>
                    </w:rPr>
                  </w:pPr>
                  <w:r>
                    <w:rPr>
                      <w:rFonts w:eastAsiaTheme="majorEastAsia"/>
                      <w:kern w:val="0"/>
                      <w:szCs w:val="21"/>
                    </w:rPr>
                    <w:t>撬装式加油站装置应采用双壁钢制油罐，两层罐壁之间的空间应设漏油检测装置，并配套防渗混凝土等防渗措施，并应保证内罐与外罐任何部位出现渗漏时均能被发现</w:t>
                  </w:r>
                </w:p>
              </w:tc>
              <w:tc>
                <w:tcPr>
                  <w:tcW w:w="1070" w:type="pct"/>
                  <w:shd w:val="clear" w:color="auto" w:fill="auto"/>
                  <w:vAlign w:val="center"/>
                </w:tcPr>
                <w:p w14:paraId="5BE10C16">
                  <w:pPr>
                    <w:widowControl/>
                    <w:jc w:val="center"/>
                    <w:rPr>
                      <w:rFonts w:eastAsiaTheme="majorEastAsia"/>
                      <w:kern w:val="0"/>
                      <w:szCs w:val="21"/>
                    </w:rPr>
                  </w:pPr>
                  <w:r>
                    <w:rPr>
                      <w:rFonts w:eastAsiaTheme="majorEastAsia"/>
                      <w:kern w:val="0"/>
                      <w:szCs w:val="21"/>
                    </w:rPr>
                    <w:t>符合，并同时配套相应的防渗漏措施</w:t>
                  </w:r>
                </w:p>
              </w:tc>
            </w:tr>
            <w:tr w14:paraId="004B7A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328" w:type="pct"/>
                  <w:shd w:val="clear" w:color="auto" w:fill="auto"/>
                  <w:noWrap/>
                  <w:vAlign w:val="center"/>
                </w:tcPr>
                <w:p w14:paraId="14782A26">
                  <w:pPr>
                    <w:widowControl/>
                    <w:jc w:val="center"/>
                    <w:rPr>
                      <w:rFonts w:eastAsiaTheme="majorEastAsia"/>
                      <w:kern w:val="0"/>
                      <w:szCs w:val="21"/>
                    </w:rPr>
                  </w:pPr>
                  <w:r>
                    <w:rPr>
                      <w:rFonts w:eastAsiaTheme="majorEastAsia"/>
                      <w:kern w:val="0"/>
                      <w:szCs w:val="21"/>
                    </w:rPr>
                    <w:t>2</w:t>
                  </w:r>
                </w:p>
              </w:tc>
              <w:tc>
                <w:tcPr>
                  <w:tcW w:w="3602" w:type="pct"/>
                  <w:shd w:val="clear" w:color="auto" w:fill="auto"/>
                  <w:vAlign w:val="center"/>
                </w:tcPr>
                <w:p w14:paraId="60F59EA9">
                  <w:pPr>
                    <w:widowControl/>
                    <w:jc w:val="center"/>
                    <w:rPr>
                      <w:rFonts w:eastAsiaTheme="majorEastAsia"/>
                      <w:kern w:val="0"/>
                      <w:szCs w:val="21"/>
                    </w:rPr>
                  </w:pPr>
                  <w:r>
                    <w:rPr>
                      <w:rFonts w:eastAsiaTheme="majorEastAsia"/>
                      <w:kern w:val="0"/>
                      <w:szCs w:val="21"/>
                    </w:rPr>
                    <w:t>撬装式加油装置储罐的内罐设计压力不应小于0.8MPa，建造应符合《固定式压力容器安全技术监察规程》TSG21、国家现行标准《压力容器》GB150.1~GB150.4、《卧式容器》NB/T47042和《石油化工钢制压力容器》SH/T3074 的有关规定。</w:t>
                  </w:r>
                </w:p>
              </w:tc>
              <w:tc>
                <w:tcPr>
                  <w:tcW w:w="1070" w:type="pct"/>
                  <w:shd w:val="clear" w:color="auto" w:fill="auto"/>
                  <w:noWrap/>
                  <w:vAlign w:val="center"/>
                </w:tcPr>
                <w:p w14:paraId="49D4B5B3">
                  <w:pPr>
                    <w:widowControl/>
                    <w:jc w:val="center"/>
                    <w:rPr>
                      <w:rFonts w:eastAsiaTheme="majorEastAsia"/>
                      <w:kern w:val="0"/>
                      <w:szCs w:val="21"/>
                    </w:rPr>
                  </w:pPr>
                  <w:r>
                    <w:rPr>
                      <w:rFonts w:eastAsiaTheme="majorEastAsia"/>
                      <w:kern w:val="0"/>
                      <w:szCs w:val="21"/>
                    </w:rPr>
                    <w:t>符合</w:t>
                  </w:r>
                </w:p>
              </w:tc>
            </w:tr>
            <w:tr w14:paraId="3BF873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328" w:type="pct"/>
                  <w:shd w:val="clear" w:color="auto" w:fill="auto"/>
                  <w:noWrap/>
                  <w:vAlign w:val="center"/>
                </w:tcPr>
                <w:p w14:paraId="6AB9B8B0">
                  <w:pPr>
                    <w:widowControl/>
                    <w:jc w:val="center"/>
                    <w:rPr>
                      <w:rFonts w:eastAsiaTheme="majorEastAsia"/>
                      <w:kern w:val="0"/>
                      <w:szCs w:val="21"/>
                    </w:rPr>
                  </w:pPr>
                  <w:r>
                    <w:rPr>
                      <w:rFonts w:eastAsiaTheme="majorEastAsia"/>
                      <w:kern w:val="0"/>
                      <w:szCs w:val="21"/>
                    </w:rPr>
                    <w:t>3</w:t>
                  </w:r>
                </w:p>
              </w:tc>
              <w:tc>
                <w:tcPr>
                  <w:tcW w:w="3602" w:type="pct"/>
                  <w:shd w:val="clear" w:color="auto" w:fill="auto"/>
                  <w:vAlign w:val="center"/>
                </w:tcPr>
                <w:p w14:paraId="71EF190B">
                  <w:pPr>
                    <w:widowControl/>
                    <w:jc w:val="center"/>
                    <w:rPr>
                      <w:rFonts w:eastAsiaTheme="majorEastAsia"/>
                      <w:kern w:val="0"/>
                      <w:szCs w:val="21"/>
                    </w:rPr>
                  </w:pPr>
                  <w:r>
                    <w:rPr>
                      <w:rFonts w:eastAsiaTheme="majorEastAsia"/>
                      <w:kern w:val="0"/>
                      <w:szCs w:val="21"/>
                    </w:rPr>
                    <w:t>双壁钢制油罐的外罐，设计压力可为常压，建造应符合现行行业标准《钢制焊接常压容器》NB/T47003.1 的有关规定</w:t>
                  </w:r>
                </w:p>
              </w:tc>
              <w:tc>
                <w:tcPr>
                  <w:tcW w:w="1070" w:type="pct"/>
                  <w:shd w:val="clear" w:color="auto" w:fill="auto"/>
                  <w:noWrap/>
                  <w:vAlign w:val="center"/>
                </w:tcPr>
                <w:p w14:paraId="7CA0B2CE">
                  <w:pPr>
                    <w:widowControl/>
                    <w:jc w:val="center"/>
                    <w:rPr>
                      <w:rFonts w:eastAsiaTheme="majorEastAsia"/>
                      <w:kern w:val="0"/>
                      <w:szCs w:val="21"/>
                    </w:rPr>
                  </w:pPr>
                  <w:r>
                    <w:rPr>
                      <w:rFonts w:eastAsiaTheme="majorEastAsia"/>
                      <w:kern w:val="0"/>
                      <w:szCs w:val="21"/>
                    </w:rPr>
                    <w:t>符合</w:t>
                  </w:r>
                </w:p>
              </w:tc>
            </w:tr>
            <w:tr w14:paraId="547C99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328" w:type="pct"/>
                  <w:shd w:val="clear" w:color="auto" w:fill="auto"/>
                  <w:noWrap/>
                  <w:vAlign w:val="center"/>
                </w:tcPr>
                <w:p w14:paraId="457DBB1C">
                  <w:pPr>
                    <w:widowControl/>
                    <w:jc w:val="center"/>
                    <w:rPr>
                      <w:rFonts w:eastAsiaTheme="majorEastAsia"/>
                      <w:kern w:val="0"/>
                      <w:szCs w:val="21"/>
                    </w:rPr>
                  </w:pPr>
                  <w:r>
                    <w:rPr>
                      <w:rFonts w:eastAsiaTheme="majorEastAsia"/>
                      <w:kern w:val="0"/>
                      <w:szCs w:val="21"/>
                    </w:rPr>
                    <w:t>4</w:t>
                  </w:r>
                </w:p>
              </w:tc>
              <w:tc>
                <w:tcPr>
                  <w:tcW w:w="3602" w:type="pct"/>
                  <w:shd w:val="clear" w:color="auto" w:fill="auto"/>
                  <w:vAlign w:val="center"/>
                </w:tcPr>
                <w:p w14:paraId="037FEEA7">
                  <w:pPr>
                    <w:widowControl/>
                    <w:jc w:val="center"/>
                    <w:rPr>
                      <w:rFonts w:eastAsiaTheme="majorEastAsia"/>
                      <w:kern w:val="0"/>
                      <w:szCs w:val="21"/>
                    </w:rPr>
                  </w:pPr>
                  <w:r>
                    <w:rPr>
                      <w:rFonts w:eastAsiaTheme="majorEastAsia"/>
                      <w:kern w:val="0"/>
                      <w:szCs w:val="21"/>
                    </w:rPr>
                    <w:t>油罐应设紧急泄压装置、防溢流阀、液位计，液位计应在油罐内的液位上升到油罐容量的 90%时发出报警信号，防溢流阀应在油罐内的液位上升到油罐容量的95%时自动停止油料进罐。</w:t>
                  </w:r>
                </w:p>
              </w:tc>
              <w:tc>
                <w:tcPr>
                  <w:tcW w:w="1070" w:type="pct"/>
                  <w:shd w:val="clear" w:color="auto" w:fill="auto"/>
                  <w:vAlign w:val="center"/>
                </w:tcPr>
                <w:p w14:paraId="5DF32919">
                  <w:pPr>
                    <w:widowControl/>
                    <w:jc w:val="center"/>
                    <w:rPr>
                      <w:rFonts w:eastAsiaTheme="majorEastAsia"/>
                      <w:kern w:val="0"/>
                      <w:szCs w:val="21"/>
                    </w:rPr>
                  </w:pPr>
                  <w:r>
                    <w:rPr>
                      <w:rFonts w:eastAsiaTheme="majorEastAsia"/>
                      <w:kern w:val="0"/>
                      <w:szCs w:val="21"/>
                    </w:rPr>
                    <w:t>符合，并同时配套相应的防渗漏措施</w:t>
                  </w:r>
                </w:p>
              </w:tc>
            </w:tr>
            <w:tr w14:paraId="777422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328" w:type="pct"/>
                  <w:shd w:val="clear" w:color="auto" w:fill="auto"/>
                  <w:noWrap/>
                  <w:vAlign w:val="center"/>
                </w:tcPr>
                <w:p w14:paraId="4B10C934">
                  <w:pPr>
                    <w:widowControl/>
                    <w:jc w:val="center"/>
                    <w:rPr>
                      <w:rFonts w:eastAsiaTheme="majorEastAsia"/>
                      <w:kern w:val="0"/>
                      <w:szCs w:val="21"/>
                    </w:rPr>
                  </w:pPr>
                  <w:r>
                    <w:rPr>
                      <w:rFonts w:eastAsiaTheme="majorEastAsia"/>
                      <w:kern w:val="0"/>
                      <w:szCs w:val="21"/>
                    </w:rPr>
                    <w:t>5</w:t>
                  </w:r>
                </w:p>
              </w:tc>
              <w:tc>
                <w:tcPr>
                  <w:tcW w:w="3602" w:type="pct"/>
                  <w:shd w:val="clear" w:color="auto" w:fill="auto"/>
                  <w:vAlign w:val="center"/>
                </w:tcPr>
                <w:p w14:paraId="5E03A143">
                  <w:pPr>
                    <w:widowControl/>
                    <w:jc w:val="center"/>
                    <w:rPr>
                      <w:rFonts w:eastAsiaTheme="majorEastAsia"/>
                      <w:kern w:val="0"/>
                      <w:szCs w:val="21"/>
                    </w:rPr>
                  </w:pPr>
                  <w:r>
                    <w:rPr>
                      <w:rFonts w:eastAsiaTheme="majorEastAsia"/>
                      <w:kern w:val="0"/>
                      <w:szCs w:val="21"/>
                    </w:rPr>
                    <w:t>油罐出油管道应设置高温自动断油保护阀</w:t>
                  </w:r>
                </w:p>
              </w:tc>
              <w:tc>
                <w:tcPr>
                  <w:tcW w:w="1070" w:type="pct"/>
                  <w:shd w:val="clear" w:color="auto" w:fill="auto"/>
                  <w:vAlign w:val="center"/>
                </w:tcPr>
                <w:p w14:paraId="4C4E6B38">
                  <w:pPr>
                    <w:widowControl/>
                    <w:jc w:val="center"/>
                    <w:rPr>
                      <w:rFonts w:eastAsiaTheme="majorEastAsia"/>
                      <w:kern w:val="0"/>
                      <w:szCs w:val="21"/>
                    </w:rPr>
                  </w:pPr>
                  <w:r>
                    <w:rPr>
                      <w:rFonts w:eastAsiaTheme="majorEastAsia"/>
                      <w:kern w:val="0"/>
                      <w:szCs w:val="21"/>
                    </w:rPr>
                    <w:t>符合，并同时配套相应的防渗漏措施</w:t>
                  </w:r>
                </w:p>
              </w:tc>
            </w:tr>
            <w:tr w14:paraId="205B23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328" w:type="pct"/>
                  <w:shd w:val="clear" w:color="auto" w:fill="auto"/>
                  <w:noWrap/>
                  <w:vAlign w:val="center"/>
                </w:tcPr>
                <w:p w14:paraId="3D4B3D57">
                  <w:pPr>
                    <w:widowControl/>
                    <w:jc w:val="center"/>
                    <w:rPr>
                      <w:rFonts w:eastAsiaTheme="majorEastAsia"/>
                      <w:kern w:val="0"/>
                      <w:szCs w:val="21"/>
                    </w:rPr>
                  </w:pPr>
                  <w:r>
                    <w:rPr>
                      <w:rFonts w:eastAsiaTheme="majorEastAsia"/>
                      <w:kern w:val="0"/>
                      <w:szCs w:val="21"/>
                    </w:rPr>
                    <w:t>6</w:t>
                  </w:r>
                </w:p>
              </w:tc>
              <w:tc>
                <w:tcPr>
                  <w:tcW w:w="3602" w:type="pct"/>
                  <w:shd w:val="clear" w:color="auto" w:fill="auto"/>
                  <w:vAlign w:val="center"/>
                </w:tcPr>
                <w:p w14:paraId="0A7D0CBF">
                  <w:pPr>
                    <w:widowControl/>
                    <w:jc w:val="center"/>
                    <w:rPr>
                      <w:rFonts w:eastAsiaTheme="majorEastAsia"/>
                      <w:kern w:val="0"/>
                      <w:szCs w:val="21"/>
                    </w:rPr>
                  </w:pPr>
                  <w:r>
                    <w:rPr>
                      <w:rFonts w:eastAsiaTheme="majorEastAsia"/>
                      <w:kern w:val="0"/>
                      <w:szCs w:val="21"/>
                    </w:rPr>
                    <w:t>油罐进油口应设置在油罐上部，进油管的高点应高于油罐的最高液位，进油管道应伸至罐内距罐底50mm~100mm 处，进油管应采取防虹吸措施</w:t>
                  </w:r>
                  <w:r>
                    <w:rPr>
                      <w:rFonts w:hint="eastAsia" w:eastAsiaTheme="majorEastAsia"/>
                      <w:kern w:val="0"/>
                      <w:szCs w:val="21"/>
                    </w:rPr>
                    <w:t>。</w:t>
                  </w:r>
                </w:p>
              </w:tc>
              <w:tc>
                <w:tcPr>
                  <w:tcW w:w="1070" w:type="pct"/>
                  <w:shd w:val="clear" w:color="auto" w:fill="auto"/>
                  <w:vAlign w:val="center"/>
                </w:tcPr>
                <w:p w14:paraId="7A5EC291">
                  <w:pPr>
                    <w:widowControl/>
                    <w:jc w:val="center"/>
                    <w:rPr>
                      <w:rFonts w:eastAsiaTheme="majorEastAsia"/>
                      <w:kern w:val="0"/>
                      <w:szCs w:val="21"/>
                    </w:rPr>
                  </w:pPr>
                  <w:r>
                    <w:rPr>
                      <w:rFonts w:eastAsiaTheme="majorEastAsia"/>
                      <w:kern w:val="0"/>
                      <w:szCs w:val="21"/>
                    </w:rPr>
                    <w:t>符合</w:t>
                  </w:r>
                </w:p>
              </w:tc>
            </w:tr>
            <w:tr w14:paraId="0AFF3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328" w:type="pct"/>
                  <w:shd w:val="clear" w:color="auto" w:fill="auto"/>
                  <w:noWrap/>
                  <w:vAlign w:val="center"/>
                </w:tcPr>
                <w:p w14:paraId="637ECAB6">
                  <w:pPr>
                    <w:widowControl/>
                    <w:jc w:val="center"/>
                    <w:rPr>
                      <w:rFonts w:eastAsiaTheme="majorEastAsia"/>
                      <w:kern w:val="0"/>
                      <w:szCs w:val="21"/>
                    </w:rPr>
                  </w:pPr>
                  <w:r>
                    <w:rPr>
                      <w:rFonts w:eastAsiaTheme="majorEastAsia"/>
                      <w:kern w:val="0"/>
                      <w:szCs w:val="21"/>
                    </w:rPr>
                    <w:t>7</w:t>
                  </w:r>
                </w:p>
              </w:tc>
              <w:tc>
                <w:tcPr>
                  <w:tcW w:w="3602" w:type="pct"/>
                  <w:shd w:val="clear" w:color="auto" w:fill="auto"/>
                  <w:vAlign w:val="center"/>
                </w:tcPr>
                <w:p w14:paraId="1233931E">
                  <w:pPr>
                    <w:widowControl/>
                    <w:jc w:val="center"/>
                    <w:rPr>
                      <w:rFonts w:eastAsiaTheme="majorEastAsia"/>
                      <w:kern w:val="0"/>
                      <w:szCs w:val="21"/>
                    </w:rPr>
                  </w:pPr>
                  <w:r>
                    <w:rPr>
                      <w:rFonts w:eastAsiaTheme="majorEastAsia"/>
                      <w:kern w:val="0"/>
                      <w:szCs w:val="21"/>
                    </w:rPr>
                    <w:t>卸油软管接头应采用自闭式快速接头</w:t>
                  </w:r>
                </w:p>
              </w:tc>
              <w:tc>
                <w:tcPr>
                  <w:tcW w:w="1070" w:type="pct"/>
                  <w:shd w:val="clear" w:color="auto" w:fill="auto"/>
                  <w:vAlign w:val="center"/>
                </w:tcPr>
                <w:p w14:paraId="5F9FA80F">
                  <w:pPr>
                    <w:widowControl/>
                    <w:jc w:val="center"/>
                    <w:rPr>
                      <w:rFonts w:eastAsiaTheme="majorEastAsia"/>
                      <w:kern w:val="0"/>
                      <w:szCs w:val="21"/>
                    </w:rPr>
                  </w:pPr>
                  <w:r>
                    <w:rPr>
                      <w:rFonts w:eastAsiaTheme="majorEastAsia"/>
                      <w:kern w:val="0"/>
                      <w:szCs w:val="21"/>
                    </w:rPr>
                    <w:t>符合</w:t>
                  </w:r>
                </w:p>
              </w:tc>
            </w:tr>
            <w:tr w14:paraId="264AAC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328" w:type="pct"/>
                  <w:shd w:val="clear" w:color="auto" w:fill="auto"/>
                  <w:noWrap/>
                  <w:vAlign w:val="center"/>
                </w:tcPr>
                <w:p w14:paraId="7AE8EBD1">
                  <w:pPr>
                    <w:widowControl/>
                    <w:jc w:val="center"/>
                    <w:rPr>
                      <w:rFonts w:eastAsiaTheme="majorEastAsia"/>
                      <w:kern w:val="0"/>
                      <w:szCs w:val="21"/>
                    </w:rPr>
                  </w:pPr>
                  <w:r>
                    <w:rPr>
                      <w:rFonts w:eastAsiaTheme="majorEastAsia"/>
                      <w:kern w:val="0"/>
                      <w:szCs w:val="21"/>
                    </w:rPr>
                    <w:t>8</w:t>
                  </w:r>
                </w:p>
              </w:tc>
              <w:tc>
                <w:tcPr>
                  <w:tcW w:w="3602" w:type="pct"/>
                  <w:shd w:val="clear" w:color="auto" w:fill="auto"/>
                  <w:vAlign w:val="center"/>
                </w:tcPr>
                <w:p w14:paraId="54ABA237">
                  <w:pPr>
                    <w:widowControl/>
                    <w:jc w:val="center"/>
                    <w:rPr>
                      <w:rFonts w:eastAsiaTheme="majorEastAsia"/>
                      <w:kern w:val="0"/>
                      <w:szCs w:val="21"/>
                    </w:rPr>
                  </w:pPr>
                  <w:r>
                    <w:rPr>
                      <w:rFonts w:eastAsiaTheme="majorEastAsia"/>
                      <w:kern w:val="0"/>
                      <w:szCs w:val="21"/>
                    </w:rPr>
                    <w:t>油罐出油管管口距罐底宜为 0.15m，油罐出油管的高点应高于油罐的最高液位。</w:t>
                  </w:r>
                </w:p>
              </w:tc>
              <w:tc>
                <w:tcPr>
                  <w:tcW w:w="1070" w:type="pct"/>
                  <w:shd w:val="clear" w:color="auto" w:fill="auto"/>
                  <w:vAlign w:val="center"/>
                </w:tcPr>
                <w:p w14:paraId="577B0A65">
                  <w:pPr>
                    <w:widowControl/>
                    <w:jc w:val="center"/>
                    <w:rPr>
                      <w:rFonts w:eastAsiaTheme="majorEastAsia"/>
                      <w:kern w:val="0"/>
                      <w:szCs w:val="21"/>
                    </w:rPr>
                  </w:pPr>
                  <w:r>
                    <w:rPr>
                      <w:rFonts w:eastAsiaTheme="majorEastAsia"/>
                      <w:kern w:val="0"/>
                      <w:szCs w:val="21"/>
                    </w:rPr>
                    <w:t>符合</w:t>
                  </w:r>
                </w:p>
              </w:tc>
            </w:tr>
            <w:tr w14:paraId="1585C5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328" w:type="pct"/>
                  <w:shd w:val="clear" w:color="auto" w:fill="auto"/>
                  <w:noWrap/>
                  <w:vAlign w:val="center"/>
                </w:tcPr>
                <w:p w14:paraId="19CA20E6">
                  <w:pPr>
                    <w:widowControl/>
                    <w:jc w:val="center"/>
                    <w:rPr>
                      <w:rFonts w:eastAsiaTheme="majorEastAsia"/>
                      <w:kern w:val="0"/>
                      <w:szCs w:val="21"/>
                    </w:rPr>
                  </w:pPr>
                  <w:r>
                    <w:rPr>
                      <w:rFonts w:eastAsiaTheme="majorEastAsia"/>
                      <w:kern w:val="0"/>
                      <w:szCs w:val="21"/>
                    </w:rPr>
                    <w:t>9</w:t>
                  </w:r>
                </w:p>
              </w:tc>
              <w:tc>
                <w:tcPr>
                  <w:tcW w:w="3602" w:type="pct"/>
                  <w:shd w:val="clear" w:color="auto" w:fill="auto"/>
                  <w:vAlign w:val="center"/>
                </w:tcPr>
                <w:p w14:paraId="7A5CC735">
                  <w:pPr>
                    <w:widowControl/>
                    <w:jc w:val="center"/>
                    <w:rPr>
                      <w:rFonts w:eastAsiaTheme="majorEastAsia"/>
                      <w:kern w:val="0"/>
                      <w:szCs w:val="21"/>
                    </w:rPr>
                  </w:pPr>
                  <w:r>
                    <w:rPr>
                      <w:rFonts w:eastAsiaTheme="majorEastAsia"/>
                      <w:kern w:val="0"/>
                      <w:szCs w:val="21"/>
                    </w:rPr>
                    <w:t>油罐的最高液位以下有连接法兰和快速接头的区域应设置收集漏油的容器。</w:t>
                  </w:r>
                </w:p>
              </w:tc>
              <w:tc>
                <w:tcPr>
                  <w:tcW w:w="1070" w:type="pct"/>
                  <w:shd w:val="clear" w:color="auto" w:fill="auto"/>
                  <w:vAlign w:val="center"/>
                </w:tcPr>
                <w:p w14:paraId="54532A2C">
                  <w:pPr>
                    <w:widowControl/>
                    <w:jc w:val="center"/>
                    <w:rPr>
                      <w:rFonts w:eastAsiaTheme="majorEastAsia"/>
                      <w:kern w:val="0"/>
                      <w:szCs w:val="21"/>
                    </w:rPr>
                  </w:pPr>
                  <w:r>
                    <w:rPr>
                      <w:rFonts w:eastAsiaTheme="majorEastAsia"/>
                      <w:kern w:val="0"/>
                      <w:szCs w:val="21"/>
                    </w:rPr>
                    <w:t>符合，并同时配套相应的防渗漏措施</w:t>
                  </w:r>
                </w:p>
              </w:tc>
            </w:tr>
            <w:tr w14:paraId="607FEB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328" w:type="pct"/>
                  <w:shd w:val="clear" w:color="auto" w:fill="auto"/>
                  <w:noWrap/>
                  <w:vAlign w:val="center"/>
                </w:tcPr>
                <w:p w14:paraId="48025849">
                  <w:pPr>
                    <w:widowControl/>
                    <w:jc w:val="center"/>
                    <w:rPr>
                      <w:rFonts w:eastAsiaTheme="majorEastAsia"/>
                      <w:kern w:val="0"/>
                      <w:szCs w:val="21"/>
                    </w:rPr>
                  </w:pPr>
                  <w:r>
                    <w:rPr>
                      <w:rFonts w:eastAsiaTheme="majorEastAsia"/>
                      <w:kern w:val="0"/>
                      <w:szCs w:val="21"/>
                    </w:rPr>
                    <w:t>10</w:t>
                  </w:r>
                </w:p>
              </w:tc>
              <w:tc>
                <w:tcPr>
                  <w:tcW w:w="3602" w:type="pct"/>
                  <w:shd w:val="clear" w:color="auto" w:fill="auto"/>
                  <w:vAlign w:val="center"/>
                </w:tcPr>
                <w:p w14:paraId="1D01CA4E">
                  <w:pPr>
                    <w:widowControl/>
                    <w:jc w:val="center"/>
                    <w:rPr>
                      <w:rFonts w:eastAsiaTheme="majorEastAsia"/>
                      <w:kern w:val="0"/>
                      <w:szCs w:val="21"/>
                    </w:rPr>
                  </w:pPr>
                  <w:r>
                    <w:rPr>
                      <w:rFonts w:eastAsiaTheme="majorEastAsia"/>
                      <w:kern w:val="0"/>
                      <w:szCs w:val="21"/>
                    </w:rPr>
                    <w:t>油罐的通气管管口应高于油罐周围地面 4m，且应高于罐顶1.5m，管口应设阻火器和呼吸阀，呼吸阀的工作正压宜为2kPa~3kPa。</w:t>
                  </w:r>
                </w:p>
              </w:tc>
              <w:tc>
                <w:tcPr>
                  <w:tcW w:w="1070" w:type="pct"/>
                  <w:shd w:val="clear" w:color="auto" w:fill="auto"/>
                  <w:vAlign w:val="center"/>
                </w:tcPr>
                <w:p w14:paraId="68BAC762">
                  <w:pPr>
                    <w:widowControl/>
                    <w:jc w:val="center"/>
                    <w:rPr>
                      <w:rFonts w:eastAsiaTheme="majorEastAsia"/>
                      <w:kern w:val="0"/>
                      <w:szCs w:val="21"/>
                    </w:rPr>
                  </w:pPr>
                  <w:r>
                    <w:rPr>
                      <w:rFonts w:eastAsiaTheme="majorEastAsia"/>
                      <w:kern w:val="0"/>
                      <w:szCs w:val="21"/>
                    </w:rPr>
                    <w:t>符合，并同时配套相应的防渗漏措施</w:t>
                  </w:r>
                </w:p>
              </w:tc>
            </w:tr>
            <w:tr w14:paraId="2F4D53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328" w:type="pct"/>
                  <w:shd w:val="clear" w:color="auto" w:fill="auto"/>
                  <w:noWrap/>
                  <w:vAlign w:val="center"/>
                </w:tcPr>
                <w:p w14:paraId="267B1CE4">
                  <w:pPr>
                    <w:widowControl/>
                    <w:jc w:val="center"/>
                    <w:rPr>
                      <w:rFonts w:eastAsiaTheme="majorEastAsia"/>
                      <w:kern w:val="0"/>
                      <w:szCs w:val="21"/>
                    </w:rPr>
                  </w:pPr>
                  <w:r>
                    <w:rPr>
                      <w:rFonts w:eastAsiaTheme="majorEastAsia"/>
                      <w:kern w:val="0"/>
                      <w:szCs w:val="21"/>
                    </w:rPr>
                    <w:t>11</w:t>
                  </w:r>
                </w:p>
              </w:tc>
              <w:tc>
                <w:tcPr>
                  <w:tcW w:w="3602" w:type="pct"/>
                  <w:shd w:val="clear" w:color="auto" w:fill="auto"/>
                  <w:vAlign w:val="center"/>
                </w:tcPr>
                <w:p w14:paraId="5C102CEB">
                  <w:pPr>
                    <w:widowControl/>
                    <w:jc w:val="center"/>
                    <w:rPr>
                      <w:rFonts w:eastAsiaTheme="majorEastAsia"/>
                      <w:kern w:val="0"/>
                      <w:szCs w:val="21"/>
                    </w:rPr>
                  </w:pPr>
                  <w:r>
                    <w:rPr>
                      <w:rFonts w:eastAsiaTheme="majorEastAsia"/>
                      <w:kern w:val="0"/>
                      <w:szCs w:val="21"/>
                    </w:rPr>
                    <w:t>油罐应设置防晒罩棚或采取隔热措施</w:t>
                  </w:r>
                </w:p>
              </w:tc>
              <w:tc>
                <w:tcPr>
                  <w:tcW w:w="1070" w:type="pct"/>
                  <w:shd w:val="clear" w:color="auto" w:fill="auto"/>
                  <w:vAlign w:val="center"/>
                </w:tcPr>
                <w:p w14:paraId="73982842">
                  <w:pPr>
                    <w:widowControl/>
                    <w:jc w:val="center"/>
                    <w:rPr>
                      <w:rFonts w:eastAsiaTheme="majorEastAsia"/>
                      <w:kern w:val="0"/>
                      <w:szCs w:val="21"/>
                    </w:rPr>
                  </w:pPr>
                  <w:r>
                    <w:rPr>
                      <w:rFonts w:eastAsiaTheme="majorEastAsia"/>
                      <w:kern w:val="0"/>
                      <w:szCs w:val="21"/>
                    </w:rPr>
                    <w:t>符合</w:t>
                  </w:r>
                </w:p>
              </w:tc>
            </w:tr>
            <w:tr w14:paraId="570881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328" w:type="pct"/>
                  <w:shd w:val="clear" w:color="auto" w:fill="auto"/>
                  <w:noWrap/>
                  <w:vAlign w:val="center"/>
                </w:tcPr>
                <w:p w14:paraId="448D1CE0">
                  <w:pPr>
                    <w:widowControl/>
                    <w:jc w:val="center"/>
                    <w:rPr>
                      <w:rFonts w:eastAsiaTheme="majorEastAsia"/>
                      <w:kern w:val="0"/>
                      <w:szCs w:val="21"/>
                    </w:rPr>
                  </w:pPr>
                  <w:r>
                    <w:rPr>
                      <w:rFonts w:eastAsiaTheme="majorEastAsia"/>
                      <w:kern w:val="0"/>
                      <w:szCs w:val="21"/>
                    </w:rPr>
                    <w:t>12</w:t>
                  </w:r>
                </w:p>
              </w:tc>
              <w:tc>
                <w:tcPr>
                  <w:tcW w:w="3602" w:type="pct"/>
                  <w:shd w:val="clear" w:color="auto" w:fill="auto"/>
                  <w:vAlign w:val="center"/>
                </w:tcPr>
                <w:p w14:paraId="7499A6B9">
                  <w:pPr>
                    <w:widowControl/>
                    <w:jc w:val="center"/>
                    <w:rPr>
                      <w:rFonts w:eastAsiaTheme="majorEastAsia"/>
                      <w:kern w:val="0"/>
                      <w:szCs w:val="21"/>
                    </w:rPr>
                  </w:pPr>
                  <w:r>
                    <w:rPr>
                      <w:rFonts w:eastAsiaTheme="majorEastAsia"/>
                      <w:kern w:val="0"/>
                      <w:szCs w:val="21"/>
                    </w:rPr>
                    <w:t>加油机安装在箱体内时，箱体应采取良好的通风措施</w:t>
                  </w:r>
                </w:p>
              </w:tc>
              <w:tc>
                <w:tcPr>
                  <w:tcW w:w="1070" w:type="pct"/>
                  <w:shd w:val="clear" w:color="auto" w:fill="auto"/>
                  <w:vAlign w:val="center"/>
                </w:tcPr>
                <w:p w14:paraId="459DEFE2">
                  <w:pPr>
                    <w:widowControl/>
                    <w:jc w:val="center"/>
                    <w:rPr>
                      <w:rFonts w:eastAsiaTheme="majorEastAsia"/>
                      <w:kern w:val="0"/>
                      <w:szCs w:val="21"/>
                    </w:rPr>
                  </w:pPr>
                  <w:r>
                    <w:rPr>
                      <w:rFonts w:eastAsiaTheme="majorEastAsia"/>
                      <w:kern w:val="0"/>
                      <w:szCs w:val="21"/>
                    </w:rPr>
                    <w:t>符合</w:t>
                  </w:r>
                </w:p>
              </w:tc>
            </w:tr>
            <w:tr w14:paraId="49AD93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328" w:type="pct"/>
                  <w:shd w:val="clear" w:color="auto" w:fill="auto"/>
                  <w:noWrap/>
                  <w:vAlign w:val="center"/>
                </w:tcPr>
                <w:p w14:paraId="7C5CE184">
                  <w:pPr>
                    <w:widowControl/>
                    <w:jc w:val="center"/>
                    <w:rPr>
                      <w:rFonts w:eastAsiaTheme="majorEastAsia"/>
                      <w:kern w:val="0"/>
                      <w:szCs w:val="21"/>
                    </w:rPr>
                  </w:pPr>
                  <w:r>
                    <w:rPr>
                      <w:rFonts w:eastAsiaTheme="majorEastAsia"/>
                      <w:kern w:val="0"/>
                      <w:szCs w:val="21"/>
                    </w:rPr>
                    <w:t>13</w:t>
                  </w:r>
                </w:p>
              </w:tc>
              <w:tc>
                <w:tcPr>
                  <w:tcW w:w="3602" w:type="pct"/>
                  <w:shd w:val="clear" w:color="auto" w:fill="auto"/>
                  <w:vAlign w:val="center"/>
                </w:tcPr>
                <w:p w14:paraId="124472E0">
                  <w:pPr>
                    <w:widowControl/>
                    <w:jc w:val="center"/>
                    <w:rPr>
                      <w:rFonts w:eastAsiaTheme="majorEastAsia"/>
                      <w:kern w:val="0"/>
                      <w:szCs w:val="21"/>
                    </w:rPr>
                  </w:pPr>
                  <w:r>
                    <w:rPr>
                      <w:rFonts w:eastAsiaTheme="majorEastAsia"/>
                      <w:kern w:val="0"/>
                      <w:szCs w:val="21"/>
                    </w:rPr>
                    <w:t>加油机上方应设自动灭火器，自动灭火器的启动温度不应高于95℃</w:t>
                  </w:r>
                </w:p>
              </w:tc>
              <w:tc>
                <w:tcPr>
                  <w:tcW w:w="1070" w:type="pct"/>
                  <w:shd w:val="clear" w:color="auto" w:fill="auto"/>
                  <w:vAlign w:val="center"/>
                </w:tcPr>
                <w:p w14:paraId="66F7C0D5">
                  <w:pPr>
                    <w:widowControl/>
                    <w:jc w:val="center"/>
                    <w:rPr>
                      <w:rFonts w:eastAsiaTheme="majorEastAsia"/>
                      <w:kern w:val="0"/>
                      <w:szCs w:val="21"/>
                    </w:rPr>
                  </w:pPr>
                  <w:r>
                    <w:rPr>
                      <w:rFonts w:eastAsiaTheme="majorEastAsia"/>
                      <w:kern w:val="0"/>
                      <w:szCs w:val="21"/>
                    </w:rPr>
                    <w:t>符合，并同时配套相应的防渗漏措施</w:t>
                  </w:r>
                </w:p>
              </w:tc>
            </w:tr>
            <w:tr w14:paraId="271BA6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328" w:type="pct"/>
                  <w:shd w:val="clear" w:color="auto" w:fill="auto"/>
                  <w:noWrap/>
                  <w:vAlign w:val="center"/>
                </w:tcPr>
                <w:p w14:paraId="230D0DCD">
                  <w:pPr>
                    <w:widowControl/>
                    <w:jc w:val="center"/>
                    <w:rPr>
                      <w:rFonts w:eastAsiaTheme="majorEastAsia"/>
                      <w:kern w:val="0"/>
                      <w:szCs w:val="21"/>
                    </w:rPr>
                  </w:pPr>
                  <w:r>
                    <w:rPr>
                      <w:rFonts w:eastAsiaTheme="majorEastAsia"/>
                      <w:kern w:val="0"/>
                      <w:szCs w:val="21"/>
                    </w:rPr>
                    <w:t>14</w:t>
                  </w:r>
                </w:p>
              </w:tc>
              <w:tc>
                <w:tcPr>
                  <w:tcW w:w="3602" w:type="pct"/>
                  <w:shd w:val="clear" w:color="auto" w:fill="auto"/>
                  <w:vAlign w:val="center"/>
                </w:tcPr>
                <w:p w14:paraId="46D72686">
                  <w:pPr>
                    <w:widowControl/>
                    <w:jc w:val="center"/>
                    <w:rPr>
                      <w:rFonts w:eastAsiaTheme="majorEastAsia"/>
                      <w:kern w:val="0"/>
                      <w:szCs w:val="21"/>
                    </w:rPr>
                  </w:pPr>
                  <w:r>
                    <w:rPr>
                      <w:rFonts w:eastAsiaTheme="majorEastAsia"/>
                      <w:kern w:val="0"/>
                      <w:szCs w:val="21"/>
                    </w:rPr>
                    <w:t>加油软管上应设安全拉断阀</w:t>
                  </w:r>
                </w:p>
              </w:tc>
              <w:tc>
                <w:tcPr>
                  <w:tcW w:w="1070" w:type="pct"/>
                  <w:shd w:val="clear" w:color="auto" w:fill="auto"/>
                  <w:vAlign w:val="center"/>
                </w:tcPr>
                <w:p w14:paraId="46EDAD3C">
                  <w:pPr>
                    <w:widowControl/>
                    <w:jc w:val="center"/>
                    <w:rPr>
                      <w:rFonts w:eastAsiaTheme="majorEastAsia"/>
                      <w:kern w:val="0"/>
                      <w:szCs w:val="21"/>
                    </w:rPr>
                  </w:pPr>
                  <w:r>
                    <w:rPr>
                      <w:rFonts w:eastAsiaTheme="majorEastAsia"/>
                      <w:kern w:val="0"/>
                      <w:szCs w:val="21"/>
                    </w:rPr>
                    <w:t>符合，并同时配套相应的防渗漏措施</w:t>
                  </w:r>
                </w:p>
              </w:tc>
            </w:tr>
            <w:tr w14:paraId="53CDD7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328" w:type="pct"/>
                  <w:shd w:val="clear" w:color="auto" w:fill="auto"/>
                  <w:noWrap/>
                  <w:vAlign w:val="center"/>
                </w:tcPr>
                <w:p w14:paraId="6ACA609A">
                  <w:pPr>
                    <w:widowControl/>
                    <w:jc w:val="center"/>
                    <w:rPr>
                      <w:rFonts w:eastAsiaTheme="majorEastAsia"/>
                      <w:kern w:val="0"/>
                      <w:szCs w:val="21"/>
                    </w:rPr>
                  </w:pPr>
                  <w:r>
                    <w:rPr>
                      <w:rFonts w:eastAsiaTheme="majorEastAsia"/>
                      <w:kern w:val="0"/>
                      <w:szCs w:val="21"/>
                    </w:rPr>
                    <w:t>15</w:t>
                  </w:r>
                </w:p>
              </w:tc>
              <w:tc>
                <w:tcPr>
                  <w:tcW w:w="3602" w:type="pct"/>
                  <w:shd w:val="clear" w:color="auto" w:fill="auto"/>
                  <w:vAlign w:val="center"/>
                </w:tcPr>
                <w:p w14:paraId="70E8E8D5">
                  <w:pPr>
                    <w:widowControl/>
                    <w:jc w:val="center"/>
                    <w:rPr>
                      <w:rFonts w:eastAsiaTheme="majorEastAsia"/>
                      <w:kern w:val="0"/>
                      <w:szCs w:val="21"/>
                    </w:rPr>
                  </w:pPr>
                  <w:r>
                    <w:rPr>
                      <w:rFonts w:eastAsiaTheme="majorEastAsia"/>
                      <w:kern w:val="0"/>
                      <w:szCs w:val="21"/>
                    </w:rPr>
                    <w:t>撬装式加油装置不得设在室内或其他有气相空间的封闭箱体内</w:t>
                  </w:r>
                </w:p>
              </w:tc>
              <w:tc>
                <w:tcPr>
                  <w:tcW w:w="1070" w:type="pct"/>
                  <w:shd w:val="clear" w:color="auto" w:fill="auto"/>
                  <w:vAlign w:val="center"/>
                </w:tcPr>
                <w:p w14:paraId="32391B02">
                  <w:pPr>
                    <w:widowControl/>
                    <w:jc w:val="center"/>
                    <w:rPr>
                      <w:rFonts w:eastAsiaTheme="majorEastAsia"/>
                      <w:kern w:val="0"/>
                      <w:szCs w:val="21"/>
                    </w:rPr>
                  </w:pPr>
                  <w:r>
                    <w:rPr>
                      <w:rFonts w:eastAsiaTheme="majorEastAsia"/>
                      <w:kern w:val="0"/>
                      <w:szCs w:val="21"/>
                    </w:rPr>
                    <w:t>符合</w:t>
                  </w:r>
                </w:p>
              </w:tc>
            </w:tr>
            <w:tr w14:paraId="06134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328" w:type="pct"/>
                  <w:shd w:val="clear" w:color="auto" w:fill="auto"/>
                  <w:noWrap/>
                  <w:vAlign w:val="center"/>
                </w:tcPr>
                <w:p w14:paraId="1AC94199">
                  <w:pPr>
                    <w:widowControl/>
                    <w:jc w:val="center"/>
                    <w:rPr>
                      <w:rFonts w:eastAsiaTheme="majorEastAsia"/>
                      <w:kern w:val="0"/>
                      <w:szCs w:val="21"/>
                    </w:rPr>
                  </w:pPr>
                  <w:r>
                    <w:rPr>
                      <w:rFonts w:eastAsiaTheme="majorEastAsia"/>
                      <w:kern w:val="0"/>
                      <w:szCs w:val="21"/>
                    </w:rPr>
                    <w:t>16</w:t>
                  </w:r>
                </w:p>
              </w:tc>
              <w:tc>
                <w:tcPr>
                  <w:tcW w:w="3602" w:type="pct"/>
                  <w:shd w:val="clear" w:color="auto" w:fill="auto"/>
                  <w:vAlign w:val="center"/>
                </w:tcPr>
                <w:p w14:paraId="35E64CE5">
                  <w:pPr>
                    <w:widowControl/>
                    <w:jc w:val="center"/>
                    <w:rPr>
                      <w:rFonts w:eastAsiaTheme="majorEastAsia"/>
                      <w:kern w:val="0"/>
                      <w:szCs w:val="21"/>
                    </w:rPr>
                  </w:pPr>
                  <w:r>
                    <w:rPr>
                      <w:rFonts w:eastAsiaTheme="majorEastAsia"/>
                      <w:kern w:val="0"/>
                      <w:szCs w:val="21"/>
                    </w:rPr>
                    <w:t>撬装式加油装置四周应设防护围堰或漏油收集池，防护围堰内后漏油收集池的有效容量不应小于储罐总容量的 50%。防护围堰内或漏油收集池应采用不燃烧实体材料建造，且不应渗漏</w:t>
                  </w:r>
                </w:p>
              </w:tc>
              <w:tc>
                <w:tcPr>
                  <w:tcW w:w="1070" w:type="pct"/>
                  <w:shd w:val="clear" w:color="auto" w:fill="auto"/>
                  <w:vAlign w:val="center"/>
                </w:tcPr>
                <w:p w14:paraId="5F20BD83">
                  <w:pPr>
                    <w:widowControl/>
                    <w:jc w:val="center"/>
                    <w:rPr>
                      <w:rFonts w:eastAsiaTheme="majorEastAsia"/>
                      <w:kern w:val="0"/>
                      <w:szCs w:val="21"/>
                    </w:rPr>
                  </w:pPr>
                  <w:r>
                    <w:rPr>
                      <w:rFonts w:eastAsiaTheme="majorEastAsia"/>
                      <w:kern w:val="0"/>
                      <w:szCs w:val="21"/>
                    </w:rPr>
                    <w:t>符合，并同时配套相应的防渗漏、风险防控措施</w:t>
                  </w:r>
                </w:p>
              </w:tc>
            </w:tr>
            <w:tr w14:paraId="6592E6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328" w:type="pct"/>
                  <w:shd w:val="clear" w:color="auto" w:fill="auto"/>
                  <w:noWrap/>
                  <w:vAlign w:val="center"/>
                </w:tcPr>
                <w:p w14:paraId="2B8B320B">
                  <w:pPr>
                    <w:widowControl/>
                    <w:jc w:val="center"/>
                    <w:rPr>
                      <w:rFonts w:eastAsiaTheme="majorEastAsia"/>
                      <w:kern w:val="0"/>
                      <w:szCs w:val="21"/>
                    </w:rPr>
                  </w:pPr>
                  <w:r>
                    <w:rPr>
                      <w:rFonts w:eastAsiaTheme="majorEastAsia"/>
                      <w:kern w:val="0"/>
                      <w:szCs w:val="21"/>
                    </w:rPr>
                    <w:t>17</w:t>
                  </w:r>
                </w:p>
              </w:tc>
              <w:tc>
                <w:tcPr>
                  <w:tcW w:w="3602" w:type="pct"/>
                  <w:shd w:val="clear" w:color="auto" w:fill="auto"/>
                  <w:vAlign w:val="center"/>
                </w:tcPr>
                <w:p w14:paraId="160B9502">
                  <w:pPr>
                    <w:widowControl/>
                    <w:jc w:val="center"/>
                    <w:rPr>
                      <w:rFonts w:eastAsiaTheme="majorEastAsia"/>
                      <w:kern w:val="0"/>
                      <w:szCs w:val="21"/>
                    </w:rPr>
                  </w:pPr>
                  <w:r>
                    <w:rPr>
                      <w:rFonts w:eastAsiaTheme="majorEastAsia"/>
                      <w:kern w:val="0"/>
                      <w:szCs w:val="21"/>
                    </w:rPr>
                    <w:t>撬装式加油装置邻近行车道一侧应设防撞设施。</w:t>
                  </w:r>
                </w:p>
              </w:tc>
              <w:tc>
                <w:tcPr>
                  <w:tcW w:w="1070" w:type="pct"/>
                  <w:shd w:val="clear" w:color="auto" w:fill="auto"/>
                  <w:vAlign w:val="center"/>
                </w:tcPr>
                <w:p w14:paraId="55602C5E">
                  <w:pPr>
                    <w:widowControl/>
                    <w:jc w:val="center"/>
                    <w:rPr>
                      <w:rFonts w:eastAsiaTheme="majorEastAsia"/>
                      <w:kern w:val="0"/>
                      <w:szCs w:val="21"/>
                    </w:rPr>
                  </w:pPr>
                  <w:r>
                    <w:rPr>
                      <w:rFonts w:eastAsiaTheme="majorEastAsia"/>
                      <w:kern w:val="0"/>
                      <w:szCs w:val="21"/>
                    </w:rPr>
                    <w:t>符合</w:t>
                  </w:r>
                </w:p>
              </w:tc>
            </w:tr>
            <w:tr w14:paraId="6899D3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328" w:type="pct"/>
                  <w:shd w:val="clear" w:color="auto" w:fill="auto"/>
                  <w:noWrap/>
                  <w:vAlign w:val="center"/>
                </w:tcPr>
                <w:p w14:paraId="4F99A469">
                  <w:pPr>
                    <w:widowControl/>
                    <w:jc w:val="center"/>
                    <w:rPr>
                      <w:rFonts w:eastAsiaTheme="majorEastAsia"/>
                      <w:kern w:val="0"/>
                      <w:szCs w:val="21"/>
                    </w:rPr>
                  </w:pPr>
                  <w:r>
                    <w:rPr>
                      <w:rFonts w:eastAsiaTheme="majorEastAsia"/>
                      <w:kern w:val="0"/>
                      <w:szCs w:val="21"/>
                    </w:rPr>
                    <w:t>18</w:t>
                  </w:r>
                </w:p>
              </w:tc>
              <w:tc>
                <w:tcPr>
                  <w:tcW w:w="3602" w:type="pct"/>
                  <w:shd w:val="clear" w:color="auto" w:fill="auto"/>
                  <w:vAlign w:val="center"/>
                </w:tcPr>
                <w:p w14:paraId="54452FD4">
                  <w:pPr>
                    <w:widowControl/>
                    <w:jc w:val="center"/>
                    <w:rPr>
                      <w:rFonts w:eastAsiaTheme="majorEastAsia"/>
                      <w:kern w:val="0"/>
                      <w:szCs w:val="21"/>
                    </w:rPr>
                  </w:pPr>
                  <w:r>
                    <w:rPr>
                      <w:rFonts w:eastAsiaTheme="majorEastAsia"/>
                      <w:kern w:val="0"/>
                      <w:szCs w:val="21"/>
                    </w:rPr>
                    <w:t>排水系统</w:t>
                  </w:r>
                </w:p>
              </w:tc>
              <w:tc>
                <w:tcPr>
                  <w:tcW w:w="1070" w:type="pct"/>
                  <w:shd w:val="clear" w:color="auto" w:fill="auto"/>
                  <w:vAlign w:val="center"/>
                </w:tcPr>
                <w:p w14:paraId="7D48B021">
                  <w:pPr>
                    <w:widowControl/>
                    <w:jc w:val="center"/>
                    <w:rPr>
                      <w:rFonts w:eastAsiaTheme="majorEastAsia"/>
                      <w:kern w:val="0"/>
                      <w:szCs w:val="21"/>
                    </w:rPr>
                  </w:pPr>
                  <w:r>
                    <w:rPr>
                      <w:rFonts w:eastAsiaTheme="majorEastAsia"/>
                      <w:kern w:val="0"/>
                      <w:szCs w:val="21"/>
                    </w:rPr>
                    <w:t>符合，依托厂区雨污分流系统</w:t>
                  </w:r>
                </w:p>
              </w:tc>
            </w:tr>
          </w:tbl>
          <w:p w14:paraId="5C537118">
            <w:pPr>
              <w:pStyle w:val="77"/>
              <w:ind w:firstLine="480" w:firstLineChars="200"/>
              <w:jc w:val="both"/>
              <w:rPr>
                <w:b w:val="0"/>
                <w:bCs w:val="0"/>
                <w:szCs w:val="24"/>
              </w:rPr>
            </w:pPr>
          </w:p>
          <w:p w14:paraId="7CCB2F31">
            <w:pPr>
              <w:pStyle w:val="77"/>
              <w:ind w:firstLine="480" w:firstLineChars="200"/>
              <w:jc w:val="both"/>
              <w:rPr>
                <w:b w:val="0"/>
                <w:bCs w:val="0"/>
              </w:rPr>
            </w:pPr>
            <w:r>
              <w:rPr>
                <w:b w:val="0"/>
                <w:bCs w:val="0"/>
                <w:szCs w:val="24"/>
              </w:rPr>
              <w:t>（4）</w:t>
            </w:r>
            <w:r>
              <w:rPr>
                <w:b w:val="0"/>
                <w:bCs w:val="0"/>
              </w:rPr>
              <w:t>本项目与《省生态环境厅关于印发&lt;江苏省固体废物全过程环境监管工作意见&gt;的通知》（苏环办</w:t>
            </w:r>
            <w:r>
              <w:rPr>
                <w:b w:val="0"/>
                <w:bCs w:val="0"/>
                <w:szCs w:val="24"/>
              </w:rPr>
              <w:t>〔</w:t>
            </w:r>
            <w:r>
              <w:rPr>
                <w:b w:val="0"/>
                <w:bCs w:val="0"/>
              </w:rPr>
              <w:t>2024</w:t>
            </w:r>
            <w:r>
              <w:rPr>
                <w:b w:val="0"/>
                <w:bCs w:val="0"/>
                <w:szCs w:val="24"/>
              </w:rPr>
              <w:t>〕</w:t>
            </w:r>
            <w:r>
              <w:rPr>
                <w:b w:val="0"/>
                <w:bCs w:val="0"/>
              </w:rPr>
              <w:t>16号）的相符性分析见下表。</w:t>
            </w:r>
          </w:p>
          <w:p w14:paraId="19DE6396">
            <w:pPr>
              <w:pStyle w:val="77"/>
              <w:spacing w:line="240" w:lineRule="auto"/>
              <w:rPr>
                <w:szCs w:val="24"/>
              </w:rPr>
            </w:pPr>
            <w:r>
              <w:rPr>
                <w:szCs w:val="24"/>
              </w:rPr>
              <w:t>表1-8 与</w:t>
            </w:r>
            <w:r>
              <w:t>苏环办</w:t>
            </w:r>
            <w:r>
              <w:rPr>
                <w:szCs w:val="24"/>
              </w:rPr>
              <w:t>〔</w:t>
            </w:r>
            <w:r>
              <w:t>2024</w:t>
            </w:r>
            <w:r>
              <w:rPr>
                <w:szCs w:val="24"/>
              </w:rPr>
              <w:t>〕</w:t>
            </w:r>
            <w:r>
              <w:t>16号文的</w:t>
            </w:r>
            <w:r>
              <w:rPr>
                <w:szCs w:val="24"/>
              </w:rPr>
              <w:t>相符性分析</w:t>
            </w:r>
          </w:p>
          <w:tbl>
            <w:tblPr>
              <w:tblStyle w:val="9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3715"/>
              <w:gridCol w:w="2572"/>
              <w:gridCol w:w="749"/>
            </w:tblGrid>
            <w:tr w14:paraId="22FBE1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vAlign w:val="center"/>
                </w:tcPr>
                <w:p w14:paraId="039F43D8">
                  <w:pPr>
                    <w:pStyle w:val="74"/>
                    <w:jc w:val="center"/>
                    <w:rPr>
                      <w:b/>
                      <w:bCs/>
                    </w:rPr>
                  </w:pPr>
                  <w:r>
                    <w:rPr>
                      <w:b/>
                    </w:rPr>
                    <w:t>序号</w:t>
                  </w:r>
                </w:p>
              </w:tc>
              <w:tc>
                <w:tcPr>
                  <w:tcW w:w="2483" w:type="pct"/>
                  <w:vAlign w:val="center"/>
                </w:tcPr>
                <w:p w14:paraId="0FFA5A7D">
                  <w:pPr>
                    <w:pStyle w:val="74"/>
                    <w:jc w:val="center"/>
                    <w:rPr>
                      <w:b/>
                      <w:bCs/>
                    </w:rPr>
                  </w:pPr>
                  <w:r>
                    <w:rPr>
                      <w:b/>
                    </w:rPr>
                    <w:t>相关要求</w:t>
                  </w:r>
                </w:p>
              </w:tc>
              <w:tc>
                <w:tcPr>
                  <w:tcW w:w="1719" w:type="pct"/>
                  <w:vAlign w:val="center"/>
                </w:tcPr>
                <w:p w14:paraId="126E168D">
                  <w:pPr>
                    <w:pStyle w:val="74"/>
                    <w:jc w:val="center"/>
                    <w:rPr>
                      <w:b/>
                      <w:bCs/>
                    </w:rPr>
                  </w:pPr>
                  <w:r>
                    <w:rPr>
                      <w:b/>
                    </w:rPr>
                    <w:t>符合性分析</w:t>
                  </w:r>
                </w:p>
              </w:tc>
              <w:tc>
                <w:tcPr>
                  <w:tcW w:w="501" w:type="pct"/>
                  <w:vAlign w:val="center"/>
                </w:tcPr>
                <w:p w14:paraId="2463C7FC">
                  <w:pPr>
                    <w:pStyle w:val="74"/>
                    <w:jc w:val="center"/>
                    <w:rPr>
                      <w:b/>
                      <w:bCs/>
                    </w:rPr>
                  </w:pPr>
                  <w:r>
                    <w:rPr>
                      <w:b/>
                    </w:rPr>
                    <w:t>符合情况</w:t>
                  </w:r>
                </w:p>
              </w:tc>
            </w:tr>
            <w:tr w14:paraId="2F2BB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vAlign w:val="center"/>
                </w:tcPr>
                <w:p w14:paraId="33FAFC0E">
                  <w:pPr>
                    <w:pStyle w:val="74"/>
                    <w:jc w:val="center"/>
                  </w:pPr>
                  <w:r>
                    <w:t>1</w:t>
                  </w:r>
                </w:p>
              </w:tc>
              <w:tc>
                <w:tcPr>
                  <w:tcW w:w="2483" w:type="pct"/>
                  <w:vAlign w:val="center"/>
                </w:tcPr>
                <w:p w14:paraId="3EA4641A">
                  <w:pPr>
                    <w:pStyle w:val="74"/>
                  </w:pPr>
                  <w:r>
                    <w:t>规范项目环评审批。建设项目环评要评价产生的固体废物种类、数量、来源和属性，论述贮存、转移和利用处置方式合规性、合理性，提出切实可行的污染防治对策措施。所有产物要按照以下五类属性给予明确并规范表述：目标产物（产品、副产品）、鉴别属于产品（符合国家、地方或行业标准）、可定向用于特定用途按产品管理（如符合团体标准）、一般固体废物和危险废物。不得将不符合GB34330、HJ1091等标准的产物认定为“再生产品”，不得出现“中间产物”“再生产物”等不规范表述，严禁以“副产品”名义逃避监管。</w:t>
                  </w:r>
                </w:p>
              </w:tc>
              <w:tc>
                <w:tcPr>
                  <w:tcW w:w="1719" w:type="pct"/>
                  <w:vAlign w:val="center"/>
                </w:tcPr>
                <w:p w14:paraId="43A10A11">
                  <w:pPr>
                    <w:pStyle w:val="74"/>
                  </w:pPr>
                  <w:r>
                    <w:t>本次环评对项目产生的固废种类、数量、来源和属性进行了评价，论述了贮存、转移和利用处置措施的合规性、合理性，提出了切实的污染防治对策。本次环评按照五类属性要求对项目产生的各类产物进行了定性。</w:t>
                  </w:r>
                </w:p>
              </w:tc>
              <w:tc>
                <w:tcPr>
                  <w:tcW w:w="501" w:type="pct"/>
                  <w:vAlign w:val="center"/>
                </w:tcPr>
                <w:p w14:paraId="140C191A">
                  <w:pPr>
                    <w:pStyle w:val="74"/>
                    <w:jc w:val="center"/>
                  </w:pPr>
                  <w:r>
                    <w:t>相符</w:t>
                  </w:r>
                </w:p>
              </w:tc>
            </w:tr>
            <w:tr w14:paraId="601233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97" w:type="pct"/>
                  <w:vAlign w:val="center"/>
                </w:tcPr>
                <w:p w14:paraId="3AE41B16">
                  <w:pPr>
                    <w:pStyle w:val="74"/>
                    <w:jc w:val="center"/>
                  </w:pPr>
                  <w:r>
                    <w:t>2</w:t>
                  </w:r>
                </w:p>
              </w:tc>
              <w:tc>
                <w:tcPr>
                  <w:tcW w:w="2483" w:type="pct"/>
                  <w:vAlign w:val="center"/>
                </w:tcPr>
                <w:p w14:paraId="5BEFF1E8">
                  <w:pPr>
                    <w:pStyle w:val="74"/>
                  </w:pPr>
                  <w:r>
                    <w:t>规范贮存管理要求。根据《危险废物贮存污染控制标准》（GB 18597—2023），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2021〕290号）中关于贮存周期和贮存量的要求，I级、II级、III级危险废物贮存时间分别不得超过30天、60天、90天，最大贮存量不得超过1吨。</w:t>
                  </w:r>
                </w:p>
              </w:tc>
              <w:tc>
                <w:tcPr>
                  <w:tcW w:w="1719" w:type="pct"/>
                  <w:vAlign w:val="center"/>
                </w:tcPr>
                <w:p w14:paraId="1F204619">
                  <w:pPr>
                    <w:pStyle w:val="74"/>
                  </w:pPr>
                  <w:r>
                    <w:t>本项目依托现有危废库，其符合《危险废物贮存污染控制标准》（GB18597—2023）建设要求。本项目建成后将按照《江苏省危险废物集中收集体系建设工作方案（试行）》（苏环办〔2021〕290号）中的贮存周期和贮存量要求进行危废贮存和周转。</w:t>
                  </w:r>
                </w:p>
              </w:tc>
              <w:tc>
                <w:tcPr>
                  <w:tcW w:w="501" w:type="pct"/>
                  <w:vAlign w:val="center"/>
                </w:tcPr>
                <w:p w14:paraId="342DE761">
                  <w:pPr>
                    <w:pStyle w:val="74"/>
                    <w:jc w:val="center"/>
                  </w:pPr>
                  <w:r>
                    <w:t>符合</w:t>
                  </w:r>
                </w:p>
              </w:tc>
            </w:tr>
            <w:tr w14:paraId="696D74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vAlign w:val="center"/>
                </w:tcPr>
                <w:p w14:paraId="355C1434">
                  <w:pPr>
                    <w:pStyle w:val="74"/>
                    <w:jc w:val="center"/>
                  </w:pPr>
                  <w:r>
                    <w:t>3</w:t>
                  </w:r>
                </w:p>
              </w:tc>
              <w:tc>
                <w:tcPr>
                  <w:tcW w:w="2483" w:type="pct"/>
                  <w:vAlign w:val="center"/>
                </w:tcPr>
                <w:p w14:paraId="287FD8D9">
                  <w:pPr>
                    <w:pStyle w:val="74"/>
                  </w:pPr>
                  <w:r>
                    <w:t>规范一般工业固废管理。企业需按照《一般工业固体废物管理台账制定指南（试行）》（生态环境部2021年第82号公告）要求，建立一般工业固废台账，污泥、矿渣等同时还需在固废管理信息系统申报，电子台账已有内容，不再另外制作纸质台账。各地要对辖区内一般工业固废利用处置需求和能力进行摸排，建立收运处体系。</w:t>
                  </w:r>
                </w:p>
              </w:tc>
              <w:tc>
                <w:tcPr>
                  <w:tcW w:w="1719" w:type="pct"/>
                  <w:vAlign w:val="center"/>
                </w:tcPr>
                <w:p w14:paraId="4BAEBB06">
                  <w:pPr>
                    <w:pStyle w:val="74"/>
                  </w:pPr>
                  <w:r>
                    <w:t>本项目按照《一般工业固体废物管理台账制定指南（试行）》（生态环境部2021年第82号公告）要求建立一般工业固废台账制度。</w:t>
                  </w:r>
                </w:p>
              </w:tc>
              <w:tc>
                <w:tcPr>
                  <w:tcW w:w="501" w:type="pct"/>
                  <w:vAlign w:val="center"/>
                </w:tcPr>
                <w:p w14:paraId="0949A5E2">
                  <w:pPr>
                    <w:pStyle w:val="74"/>
                    <w:jc w:val="center"/>
                  </w:pPr>
                  <w:r>
                    <w:t>符合</w:t>
                  </w:r>
                </w:p>
              </w:tc>
            </w:tr>
          </w:tbl>
          <w:p w14:paraId="27123224">
            <w:pPr>
              <w:pStyle w:val="77"/>
              <w:ind w:firstLine="480" w:firstLineChars="200"/>
              <w:jc w:val="both"/>
              <w:rPr>
                <w:b w:val="0"/>
                <w:bCs w:val="0"/>
              </w:rPr>
            </w:pPr>
            <w:r>
              <w:rPr>
                <w:b w:val="0"/>
                <w:bCs w:val="0"/>
                <w:szCs w:val="24"/>
              </w:rPr>
              <w:t>由以上分析可知，本项目符合</w:t>
            </w:r>
            <w:r>
              <w:rPr>
                <w:b w:val="0"/>
                <w:bCs w:val="0"/>
              </w:rPr>
              <w:t>《省生态环境厅关于印发&lt;江苏省固体废物全过程环境监管工作意见&gt;的通知》（苏环办</w:t>
            </w:r>
            <w:r>
              <w:rPr>
                <w:b w:val="0"/>
                <w:bCs w:val="0"/>
                <w:szCs w:val="24"/>
              </w:rPr>
              <w:t>〔</w:t>
            </w:r>
            <w:r>
              <w:rPr>
                <w:b w:val="0"/>
                <w:bCs w:val="0"/>
              </w:rPr>
              <w:t>2024</w:t>
            </w:r>
            <w:r>
              <w:rPr>
                <w:b w:val="0"/>
                <w:bCs w:val="0"/>
                <w:szCs w:val="24"/>
              </w:rPr>
              <w:t>〕</w:t>
            </w:r>
            <w:r>
              <w:rPr>
                <w:b w:val="0"/>
                <w:bCs w:val="0"/>
              </w:rPr>
              <w:t>16号）相关要求。</w:t>
            </w:r>
          </w:p>
          <w:p w14:paraId="001A55F7">
            <w:pPr>
              <w:pStyle w:val="77"/>
              <w:ind w:firstLine="480" w:firstLineChars="200"/>
              <w:jc w:val="both"/>
              <w:rPr>
                <w:b w:val="0"/>
                <w:bCs w:val="0"/>
              </w:rPr>
            </w:pPr>
            <w:r>
              <w:rPr>
                <w:b w:val="0"/>
                <w:bCs w:val="0"/>
              </w:rPr>
              <w:t>（4）本项目与《省生态环境厅关于进一步做好建设项目环评审批工作的通知》（苏环办〔2019〕36号）相符性分析见下表。</w:t>
            </w:r>
          </w:p>
          <w:p w14:paraId="0D6091C4">
            <w:pPr>
              <w:pStyle w:val="77"/>
              <w:spacing w:line="240" w:lineRule="auto"/>
              <w:rPr>
                <w:szCs w:val="24"/>
              </w:rPr>
            </w:pPr>
            <w:r>
              <w:rPr>
                <w:szCs w:val="24"/>
              </w:rPr>
              <w:t>表1-9 与（苏环办〔2019〕36号）相符性分析</w:t>
            </w:r>
          </w:p>
          <w:tbl>
            <w:tblPr>
              <w:tblStyle w:val="4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4015"/>
              <w:gridCol w:w="2269"/>
              <w:gridCol w:w="752"/>
            </w:tblGrid>
            <w:tr w14:paraId="3A35FD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tcBorders>
                    <w:tl2br w:val="nil"/>
                    <w:tr2bl w:val="nil"/>
                  </w:tcBorders>
                  <w:vAlign w:val="center"/>
                </w:tcPr>
                <w:p w14:paraId="4CC4C60C">
                  <w:pPr>
                    <w:pStyle w:val="74"/>
                    <w:jc w:val="center"/>
                    <w:rPr>
                      <w:b/>
                      <w:bCs/>
                      <w:szCs w:val="21"/>
                    </w:rPr>
                  </w:pPr>
                  <w:r>
                    <w:rPr>
                      <w:b/>
                      <w:bCs/>
                      <w:szCs w:val="21"/>
                    </w:rPr>
                    <w:t>序号</w:t>
                  </w:r>
                </w:p>
              </w:tc>
              <w:tc>
                <w:tcPr>
                  <w:tcW w:w="2684" w:type="pct"/>
                  <w:tcBorders>
                    <w:tl2br w:val="nil"/>
                    <w:tr2bl w:val="nil"/>
                  </w:tcBorders>
                  <w:vAlign w:val="center"/>
                </w:tcPr>
                <w:p w14:paraId="33EEAB42">
                  <w:pPr>
                    <w:pStyle w:val="74"/>
                    <w:jc w:val="center"/>
                    <w:rPr>
                      <w:b/>
                      <w:bCs/>
                      <w:szCs w:val="21"/>
                    </w:rPr>
                  </w:pPr>
                  <w:r>
                    <w:rPr>
                      <w:b/>
                      <w:bCs/>
                      <w:szCs w:val="21"/>
                    </w:rPr>
                    <w:t>文件相关内容分析</w:t>
                  </w:r>
                </w:p>
              </w:tc>
              <w:tc>
                <w:tcPr>
                  <w:tcW w:w="1517" w:type="pct"/>
                  <w:tcBorders>
                    <w:tl2br w:val="nil"/>
                    <w:tr2bl w:val="nil"/>
                  </w:tcBorders>
                  <w:vAlign w:val="center"/>
                </w:tcPr>
                <w:p w14:paraId="662CDA6A">
                  <w:pPr>
                    <w:pStyle w:val="74"/>
                    <w:jc w:val="center"/>
                    <w:rPr>
                      <w:b/>
                      <w:bCs/>
                      <w:szCs w:val="21"/>
                    </w:rPr>
                  </w:pPr>
                  <w:r>
                    <w:rPr>
                      <w:b/>
                      <w:bCs/>
                      <w:szCs w:val="21"/>
                    </w:rPr>
                    <w:t>本项目情况</w:t>
                  </w:r>
                </w:p>
              </w:tc>
              <w:tc>
                <w:tcPr>
                  <w:tcW w:w="502" w:type="pct"/>
                  <w:tcBorders>
                    <w:tl2br w:val="nil"/>
                    <w:tr2bl w:val="nil"/>
                  </w:tcBorders>
                  <w:vAlign w:val="center"/>
                </w:tcPr>
                <w:p w14:paraId="61C413BC">
                  <w:pPr>
                    <w:pStyle w:val="74"/>
                    <w:jc w:val="center"/>
                    <w:rPr>
                      <w:b/>
                      <w:bCs/>
                      <w:szCs w:val="21"/>
                    </w:rPr>
                  </w:pPr>
                  <w:r>
                    <w:rPr>
                      <w:b/>
                      <w:bCs/>
                      <w:szCs w:val="21"/>
                    </w:rPr>
                    <w:t>相符性</w:t>
                  </w:r>
                </w:p>
              </w:tc>
            </w:tr>
            <w:tr w14:paraId="134D2C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tcBorders>
                    <w:tl2br w:val="nil"/>
                    <w:tr2bl w:val="nil"/>
                  </w:tcBorders>
                  <w:vAlign w:val="center"/>
                </w:tcPr>
                <w:p w14:paraId="4449CD32">
                  <w:pPr>
                    <w:pStyle w:val="74"/>
                    <w:jc w:val="center"/>
                    <w:rPr>
                      <w:szCs w:val="21"/>
                    </w:rPr>
                  </w:pPr>
                  <w:r>
                    <w:rPr>
                      <w:szCs w:val="21"/>
                    </w:rPr>
                    <w:t>1</w:t>
                  </w:r>
                </w:p>
              </w:tc>
              <w:tc>
                <w:tcPr>
                  <w:tcW w:w="2684" w:type="pct"/>
                  <w:tcBorders>
                    <w:tl2br w:val="nil"/>
                    <w:tr2bl w:val="nil"/>
                  </w:tcBorders>
                  <w:vAlign w:val="center"/>
                </w:tcPr>
                <w:p w14:paraId="5E51C084">
                  <w:pPr>
                    <w:pStyle w:val="74"/>
                    <w:rPr>
                      <w:szCs w:val="21"/>
                    </w:rPr>
                  </w:pPr>
                  <w:r>
                    <w:rPr>
                      <w:szCs w:val="21"/>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止措施；（5）建设项目的环境影响报告书、环境影响报告表的基础资料数据明显不实，内容存在重大缺陷、遗漏，或者环境影响评价结论不明确、不合理。</w:t>
                  </w:r>
                </w:p>
              </w:tc>
              <w:tc>
                <w:tcPr>
                  <w:tcW w:w="1517" w:type="pct"/>
                  <w:tcBorders>
                    <w:tl2br w:val="nil"/>
                    <w:tr2bl w:val="nil"/>
                  </w:tcBorders>
                  <w:vAlign w:val="center"/>
                </w:tcPr>
                <w:p w14:paraId="0153817E">
                  <w:pPr>
                    <w:pStyle w:val="74"/>
                    <w:rPr>
                      <w:szCs w:val="21"/>
                    </w:rPr>
                  </w:pPr>
                  <w:r>
                    <w:rPr>
                      <w:szCs w:val="21"/>
                    </w:rPr>
                    <w:t>（1）本项目类型及其选址、布局、规模等符合环境保护法律法规和相关法定规划；（2）本项目所采取的污染防治措施满足区域环境质量改善目标管理要求，各类污染物能稳定达标排放；（3）本项目采取的污染防治措施能够满足国家和地方排放标准；（4）本项目为扩建项目，现有污染防治措施能够满足国家和地方排放标准，较为完善；（5）本项目的报告表基础资料数据属实。</w:t>
                  </w:r>
                </w:p>
              </w:tc>
              <w:tc>
                <w:tcPr>
                  <w:tcW w:w="502" w:type="pct"/>
                  <w:tcBorders>
                    <w:tl2br w:val="nil"/>
                    <w:tr2bl w:val="nil"/>
                  </w:tcBorders>
                  <w:vAlign w:val="center"/>
                </w:tcPr>
                <w:p w14:paraId="7B9B63B6">
                  <w:pPr>
                    <w:pStyle w:val="74"/>
                    <w:jc w:val="center"/>
                    <w:rPr>
                      <w:szCs w:val="21"/>
                    </w:rPr>
                  </w:pPr>
                  <w:r>
                    <w:rPr>
                      <w:szCs w:val="21"/>
                    </w:rPr>
                    <w:t>相符</w:t>
                  </w:r>
                </w:p>
              </w:tc>
            </w:tr>
            <w:tr w14:paraId="1D1D21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tcBorders>
                    <w:tl2br w:val="nil"/>
                    <w:tr2bl w:val="nil"/>
                  </w:tcBorders>
                  <w:vAlign w:val="center"/>
                </w:tcPr>
                <w:p w14:paraId="129E4DE1">
                  <w:pPr>
                    <w:pStyle w:val="74"/>
                    <w:jc w:val="center"/>
                    <w:rPr>
                      <w:szCs w:val="21"/>
                    </w:rPr>
                  </w:pPr>
                  <w:r>
                    <w:rPr>
                      <w:szCs w:val="21"/>
                    </w:rPr>
                    <w:t>2</w:t>
                  </w:r>
                </w:p>
              </w:tc>
              <w:tc>
                <w:tcPr>
                  <w:tcW w:w="2684" w:type="pct"/>
                  <w:tcBorders>
                    <w:tl2br w:val="nil"/>
                    <w:tr2bl w:val="nil"/>
                  </w:tcBorders>
                  <w:vAlign w:val="center"/>
                </w:tcPr>
                <w:p w14:paraId="5E1E5B99">
                  <w:pPr>
                    <w:pStyle w:val="74"/>
                    <w:rPr>
                      <w:szCs w:val="21"/>
                    </w:rPr>
                  </w:pPr>
                  <w:r>
                    <w:rPr>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517" w:type="pct"/>
                  <w:tcBorders>
                    <w:tl2br w:val="nil"/>
                    <w:tr2bl w:val="nil"/>
                  </w:tcBorders>
                  <w:vAlign w:val="center"/>
                </w:tcPr>
                <w:p w14:paraId="4DACD286">
                  <w:pPr>
                    <w:pStyle w:val="74"/>
                    <w:rPr>
                      <w:szCs w:val="21"/>
                    </w:rPr>
                  </w:pPr>
                  <w:r>
                    <w:rPr>
                      <w:szCs w:val="21"/>
                    </w:rPr>
                    <w:t>本项目属于C2822 涤纶纤维制造、</w:t>
                  </w:r>
                  <w:r>
                    <w:rPr>
                      <w:bCs/>
                      <w:szCs w:val="21"/>
                    </w:rPr>
                    <w:t>N7723固体废物治理</w:t>
                  </w:r>
                  <w:r>
                    <w:rPr>
                      <w:szCs w:val="21"/>
                    </w:rPr>
                    <w:t>项目，在现有</w:t>
                  </w:r>
                  <w:r>
                    <w:rPr>
                      <w:rFonts w:hint="eastAsia"/>
                      <w:szCs w:val="21"/>
                    </w:rPr>
                    <w:t>厂区内</w:t>
                  </w:r>
                  <w:r>
                    <w:rPr>
                      <w:szCs w:val="21"/>
                    </w:rPr>
                    <w:t>建设，不新增用地。</w:t>
                  </w:r>
                </w:p>
              </w:tc>
              <w:tc>
                <w:tcPr>
                  <w:tcW w:w="502" w:type="pct"/>
                  <w:tcBorders>
                    <w:tl2br w:val="nil"/>
                    <w:tr2bl w:val="nil"/>
                  </w:tcBorders>
                  <w:vAlign w:val="center"/>
                </w:tcPr>
                <w:p w14:paraId="7A1545A1">
                  <w:pPr>
                    <w:pStyle w:val="74"/>
                    <w:jc w:val="center"/>
                    <w:rPr>
                      <w:szCs w:val="21"/>
                    </w:rPr>
                  </w:pPr>
                  <w:r>
                    <w:rPr>
                      <w:szCs w:val="21"/>
                    </w:rPr>
                    <w:t>相符</w:t>
                  </w:r>
                </w:p>
              </w:tc>
            </w:tr>
            <w:tr w14:paraId="5A729B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tcBorders>
                    <w:tl2br w:val="nil"/>
                    <w:tr2bl w:val="nil"/>
                  </w:tcBorders>
                  <w:vAlign w:val="center"/>
                </w:tcPr>
                <w:p w14:paraId="0195813F">
                  <w:pPr>
                    <w:pStyle w:val="74"/>
                    <w:jc w:val="center"/>
                    <w:rPr>
                      <w:szCs w:val="21"/>
                    </w:rPr>
                  </w:pPr>
                  <w:r>
                    <w:rPr>
                      <w:szCs w:val="21"/>
                    </w:rPr>
                    <w:t>3</w:t>
                  </w:r>
                </w:p>
              </w:tc>
              <w:tc>
                <w:tcPr>
                  <w:tcW w:w="2684" w:type="pct"/>
                  <w:tcBorders>
                    <w:tl2br w:val="nil"/>
                    <w:tr2bl w:val="nil"/>
                  </w:tcBorders>
                  <w:vAlign w:val="center"/>
                </w:tcPr>
                <w:p w14:paraId="5F8BF18D">
                  <w:pPr>
                    <w:pStyle w:val="74"/>
                    <w:rPr>
                      <w:szCs w:val="21"/>
                    </w:rPr>
                  </w:pPr>
                  <w:r>
                    <w:rPr>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517" w:type="pct"/>
                  <w:tcBorders>
                    <w:tl2br w:val="nil"/>
                    <w:tr2bl w:val="nil"/>
                  </w:tcBorders>
                  <w:vAlign w:val="center"/>
                </w:tcPr>
                <w:p w14:paraId="16BE99C0">
                  <w:pPr>
                    <w:pStyle w:val="74"/>
                    <w:rPr>
                      <w:szCs w:val="21"/>
                    </w:rPr>
                  </w:pPr>
                  <w:r>
                    <w:rPr>
                      <w:szCs w:val="21"/>
                    </w:rPr>
                    <w:t>本项目废气、废水污染物排放在厂区或区域内平衡。</w:t>
                  </w:r>
                </w:p>
              </w:tc>
              <w:tc>
                <w:tcPr>
                  <w:tcW w:w="502" w:type="pct"/>
                  <w:tcBorders>
                    <w:tl2br w:val="nil"/>
                    <w:tr2bl w:val="nil"/>
                  </w:tcBorders>
                  <w:vAlign w:val="center"/>
                </w:tcPr>
                <w:p w14:paraId="291D0C6E">
                  <w:pPr>
                    <w:pStyle w:val="74"/>
                    <w:jc w:val="center"/>
                    <w:rPr>
                      <w:szCs w:val="21"/>
                    </w:rPr>
                  </w:pPr>
                  <w:r>
                    <w:rPr>
                      <w:szCs w:val="21"/>
                    </w:rPr>
                    <w:t>相符</w:t>
                  </w:r>
                </w:p>
              </w:tc>
            </w:tr>
            <w:tr w14:paraId="5D6B68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tcBorders>
                    <w:tl2br w:val="nil"/>
                    <w:tr2bl w:val="nil"/>
                  </w:tcBorders>
                  <w:vAlign w:val="center"/>
                </w:tcPr>
                <w:p w14:paraId="79D19D09">
                  <w:pPr>
                    <w:pStyle w:val="74"/>
                    <w:jc w:val="center"/>
                    <w:rPr>
                      <w:szCs w:val="21"/>
                    </w:rPr>
                  </w:pPr>
                  <w:r>
                    <w:rPr>
                      <w:szCs w:val="21"/>
                    </w:rPr>
                    <w:t>4</w:t>
                  </w:r>
                </w:p>
              </w:tc>
              <w:tc>
                <w:tcPr>
                  <w:tcW w:w="2684" w:type="pct"/>
                  <w:tcBorders>
                    <w:tl2br w:val="nil"/>
                    <w:tr2bl w:val="nil"/>
                  </w:tcBorders>
                  <w:vAlign w:val="center"/>
                </w:tcPr>
                <w:p w14:paraId="79824DDD">
                  <w:pPr>
                    <w:pStyle w:val="74"/>
                    <w:rPr>
                      <w:szCs w:val="21"/>
                    </w:rPr>
                  </w:pPr>
                  <w:r>
                    <w:rPr>
                      <w:szCs w:val="21"/>
                    </w:rPr>
                    <w:t>（1）规划环评要作为规划所包含项目环评的重要依据，对于不符合规划环评结论及审查意见的项目环评，依法不予审批。（2）对于现有同类型项目环境污染或生态破坏严重、环境违法违规现象多发，致使环境容量接近或超过承载能力的地区，在现有问题整改到位前，依法暂停审批该地区同类行业的项目环评文件。（3）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w:t>
                  </w:r>
                </w:p>
              </w:tc>
              <w:tc>
                <w:tcPr>
                  <w:tcW w:w="1517" w:type="pct"/>
                  <w:tcBorders>
                    <w:tl2br w:val="nil"/>
                    <w:tr2bl w:val="nil"/>
                  </w:tcBorders>
                  <w:vAlign w:val="center"/>
                </w:tcPr>
                <w:p w14:paraId="16F21132">
                  <w:pPr>
                    <w:pStyle w:val="74"/>
                    <w:rPr>
                      <w:szCs w:val="21"/>
                    </w:rPr>
                  </w:pPr>
                  <w:r>
                    <w:rPr>
                      <w:szCs w:val="21"/>
                    </w:rPr>
                    <w:t>（1）本项目符合泗阳高新技术产业开发区产业定位。（2）本项目不涉及。（3）本项目拟采取的污染防治措施符合区域环境质量改善目标管理要求，各类污染物能够稳定达标排放。</w:t>
                  </w:r>
                </w:p>
              </w:tc>
              <w:tc>
                <w:tcPr>
                  <w:tcW w:w="502" w:type="pct"/>
                  <w:tcBorders>
                    <w:tl2br w:val="nil"/>
                    <w:tr2bl w:val="nil"/>
                  </w:tcBorders>
                  <w:vAlign w:val="center"/>
                </w:tcPr>
                <w:p w14:paraId="5F8A7305">
                  <w:pPr>
                    <w:pStyle w:val="74"/>
                    <w:jc w:val="center"/>
                    <w:rPr>
                      <w:szCs w:val="21"/>
                    </w:rPr>
                  </w:pPr>
                  <w:r>
                    <w:rPr>
                      <w:szCs w:val="21"/>
                    </w:rPr>
                    <w:t>相符</w:t>
                  </w:r>
                </w:p>
              </w:tc>
            </w:tr>
            <w:tr w14:paraId="0E7BBD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tcBorders>
                    <w:tl2br w:val="nil"/>
                    <w:tr2bl w:val="nil"/>
                  </w:tcBorders>
                  <w:vAlign w:val="center"/>
                </w:tcPr>
                <w:p w14:paraId="7C8471E5">
                  <w:pPr>
                    <w:pStyle w:val="74"/>
                    <w:jc w:val="center"/>
                    <w:rPr>
                      <w:szCs w:val="21"/>
                    </w:rPr>
                  </w:pPr>
                  <w:r>
                    <w:rPr>
                      <w:szCs w:val="21"/>
                    </w:rPr>
                    <w:t>5</w:t>
                  </w:r>
                </w:p>
              </w:tc>
              <w:tc>
                <w:tcPr>
                  <w:tcW w:w="2684" w:type="pct"/>
                  <w:tcBorders>
                    <w:tl2br w:val="nil"/>
                    <w:tr2bl w:val="nil"/>
                  </w:tcBorders>
                  <w:vAlign w:val="center"/>
                </w:tcPr>
                <w:p w14:paraId="00126BF6">
                  <w:pPr>
                    <w:pStyle w:val="74"/>
                    <w:rPr>
                      <w:szCs w:val="21"/>
                    </w:rPr>
                  </w:pPr>
                  <w:r>
                    <w:rPr>
                      <w:szCs w:val="21"/>
                    </w:rP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1517" w:type="pct"/>
                  <w:tcBorders>
                    <w:tl2br w:val="nil"/>
                    <w:tr2bl w:val="nil"/>
                  </w:tcBorders>
                  <w:vAlign w:val="center"/>
                </w:tcPr>
                <w:p w14:paraId="5DC462F4">
                  <w:pPr>
                    <w:pStyle w:val="74"/>
                    <w:jc w:val="center"/>
                    <w:rPr>
                      <w:szCs w:val="21"/>
                    </w:rPr>
                  </w:pPr>
                  <w:r>
                    <w:rPr>
                      <w:szCs w:val="21"/>
                    </w:rPr>
                    <w:t>本项目不涉及。</w:t>
                  </w:r>
                </w:p>
              </w:tc>
              <w:tc>
                <w:tcPr>
                  <w:tcW w:w="502" w:type="pct"/>
                  <w:tcBorders>
                    <w:tl2br w:val="nil"/>
                    <w:tr2bl w:val="nil"/>
                  </w:tcBorders>
                  <w:vAlign w:val="center"/>
                </w:tcPr>
                <w:p w14:paraId="52151963">
                  <w:pPr>
                    <w:pStyle w:val="74"/>
                    <w:jc w:val="center"/>
                    <w:rPr>
                      <w:szCs w:val="21"/>
                    </w:rPr>
                  </w:pPr>
                  <w:r>
                    <w:rPr>
                      <w:szCs w:val="21"/>
                    </w:rPr>
                    <w:t>相符</w:t>
                  </w:r>
                </w:p>
              </w:tc>
            </w:tr>
            <w:tr w14:paraId="37BC64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tcBorders>
                    <w:tl2br w:val="nil"/>
                    <w:tr2bl w:val="nil"/>
                  </w:tcBorders>
                  <w:vAlign w:val="center"/>
                </w:tcPr>
                <w:p w14:paraId="3C317068">
                  <w:pPr>
                    <w:pStyle w:val="74"/>
                    <w:jc w:val="center"/>
                    <w:rPr>
                      <w:szCs w:val="21"/>
                    </w:rPr>
                  </w:pPr>
                  <w:r>
                    <w:rPr>
                      <w:szCs w:val="21"/>
                    </w:rPr>
                    <w:t>6</w:t>
                  </w:r>
                </w:p>
              </w:tc>
              <w:tc>
                <w:tcPr>
                  <w:tcW w:w="2684" w:type="pct"/>
                  <w:tcBorders>
                    <w:tl2br w:val="nil"/>
                    <w:tr2bl w:val="nil"/>
                  </w:tcBorders>
                  <w:vAlign w:val="center"/>
                </w:tcPr>
                <w:p w14:paraId="4FB21AAD">
                  <w:pPr>
                    <w:pStyle w:val="74"/>
                    <w:rPr>
                      <w:szCs w:val="21"/>
                    </w:rPr>
                  </w:pPr>
                  <w:r>
                    <w:rPr>
                      <w:szCs w:val="21"/>
                    </w:rPr>
                    <w:t>禁止新建燃煤自备电厂。在重点地区执行《江苏省化工钢铁煤电行业环境准入和排放标准》。燃煤电厂2019年底前全部实行超低排放。</w:t>
                  </w:r>
                </w:p>
              </w:tc>
              <w:tc>
                <w:tcPr>
                  <w:tcW w:w="1517" w:type="pct"/>
                  <w:tcBorders>
                    <w:tl2br w:val="nil"/>
                    <w:tr2bl w:val="nil"/>
                  </w:tcBorders>
                  <w:vAlign w:val="center"/>
                </w:tcPr>
                <w:p w14:paraId="7EB630F7">
                  <w:pPr>
                    <w:pStyle w:val="74"/>
                    <w:jc w:val="center"/>
                    <w:rPr>
                      <w:szCs w:val="21"/>
                    </w:rPr>
                  </w:pPr>
                  <w:r>
                    <w:rPr>
                      <w:szCs w:val="21"/>
                    </w:rPr>
                    <w:t>本项目不涉及。</w:t>
                  </w:r>
                </w:p>
              </w:tc>
              <w:tc>
                <w:tcPr>
                  <w:tcW w:w="502" w:type="pct"/>
                  <w:tcBorders>
                    <w:tl2br w:val="nil"/>
                    <w:tr2bl w:val="nil"/>
                  </w:tcBorders>
                  <w:vAlign w:val="center"/>
                </w:tcPr>
                <w:p w14:paraId="2E8176EE">
                  <w:pPr>
                    <w:pStyle w:val="74"/>
                    <w:jc w:val="center"/>
                    <w:rPr>
                      <w:szCs w:val="21"/>
                    </w:rPr>
                  </w:pPr>
                  <w:r>
                    <w:rPr>
                      <w:szCs w:val="21"/>
                    </w:rPr>
                    <w:t>相符</w:t>
                  </w:r>
                </w:p>
              </w:tc>
            </w:tr>
            <w:tr w14:paraId="1778D3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tcBorders>
                    <w:tl2br w:val="nil"/>
                    <w:tr2bl w:val="nil"/>
                  </w:tcBorders>
                  <w:vAlign w:val="center"/>
                </w:tcPr>
                <w:p w14:paraId="51647206">
                  <w:pPr>
                    <w:pStyle w:val="74"/>
                    <w:jc w:val="center"/>
                    <w:rPr>
                      <w:szCs w:val="21"/>
                    </w:rPr>
                  </w:pPr>
                  <w:r>
                    <w:rPr>
                      <w:szCs w:val="21"/>
                    </w:rPr>
                    <w:t>7</w:t>
                  </w:r>
                </w:p>
              </w:tc>
              <w:tc>
                <w:tcPr>
                  <w:tcW w:w="2684" w:type="pct"/>
                  <w:tcBorders>
                    <w:tl2br w:val="nil"/>
                    <w:tr2bl w:val="nil"/>
                  </w:tcBorders>
                  <w:vAlign w:val="center"/>
                </w:tcPr>
                <w:p w14:paraId="15772946">
                  <w:pPr>
                    <w:pStyle w:val="74"/>
                    <w:rPr>
                      <w:szCs w:val="21"/>
                    </w:rPr>
                  </w:pPr>
                  <w:r>
                    <w:rPr>
                      <w:szCs w:val="21"/>
                    </w:rPr>
                    <w:t>禁止建设生产和使用高VOCs含量的溶剂型涂料、油墨、胶粘剂等项目。</w:t>
                  </w:r>
                </w:p>
              </w:tc>
              <w:tc>
                <w:tcPr>
                  <w:tcW w:w="1517" w:type="pct"/>
                  <w:tcBorders>
                    <w:tl2br w:val="nil"/>
                    <w:tr2bl w:val="nil"/>
                  </w:tcBorders>
                  <w:vAlign w:val="center"/>
                </w:tcPr>
                <w:p w14:paraId="177714C9">
                  <w:pPr>
                    <w:pStyle w:val="74"/>
                    <w:jc w:val="center"/>
                    <w:rPr>
                      <w:szCs w:val="21"/>
                    </w:rPr>
                  </w:pPr>
                  <w:r>
                    <w:rPr>
                      <w:szCs w:val="21"/>
                    </w:rPr>
                    <w:t>本项目不涉及。</w:t>
                  </w:r>
                </w:p>
              </w:tc>
              <w:tc>
                <w:tcPr>
                  <w:tcW w:w="502" w:type="pct"/>
                  <w:tcBorders>
                    <w:tl2br w:val="nil"/>
                    <w:tr2bl w:val="nil"/>
                  </w:tcBorders>
                  <w:vAlign w:val="center"/>
                </w:tcPr>
                <w:p w14:paraId="4E6518E4">
                  <w:pPr>
                    <w:pStyle w:val="74"/>
                    <w:jc w:val="center"/>
                    <w:rPr>
                      <w:szCs w:val="21"/>
                    </w:rPr>
                  </w:pPr>
                  <w:r>
                    <w:rPr>
                      <w:szCs w:val="21"/>
                    </w:rPr>
                    <w:t>相符</w:t>
                  </w:r>
                </w:p>
              </w:tc>
            </w:tr>
            <w:tr w14:paraId="3C8C6F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tcBorders>
                    <w:tl2br w:val="nil"/>
                    <w:tr2bl w:val="nil"/>
                  </w:tcBorders>
                  <w:vAlign w:val="center"/>
                </w:tcPr>
                <w:p w14:paraId="115D3618">
                  <w:pPr>
                    <w:pStyle w:val="74"/>
                    <w:jc w:val="center"/>
                    <w:rPr>
                      <w:szCs w:val="21"/>
                    </w:rPr>
                  </w:pPr>
                  <w:r>
                    <w:rPr>
                      <w:szCs w:val="21"/>
                    </w:rPr>
                    <w:t>8</w:t>
                  </w:r>
                </w:p>
              </w:tc>
              <w:tc>
                <w:tcPr>
                  <w:tcW w:w="2684" w:type="pct"/>
                  <w:tcBorders>
                    <w:tl2br w:val="nil"/>
                    <w:tr2bl w:val="nil"/>
                  </w:tcBorders>
                  <w:vAlign w:val="center"/>
                </w:tcPr>
                <w:p w14:paraId="3FF0EA92">
                  <w:pPr>
                    <w:pStyle w:val="74"/>
                    <w:rPr>
                      <w:szCs w:val="21"/>
                    </w:rPr>
                  </w:pPr>
                  <w:r>
                    <w:rPr>
                      <w:szCs w:val="21"/>
                    </w:rPr>
                    <w:t>化工园区外化工企业（除化工重点监测点和提升安全、环保、节能水平及油品质量升级、结构调整以外的改扩建项目），一律不批化工园区内环境基础设施不完善或长期不能稳定运行企业的新改扩建化工项目。新建（含搬迁）化工项目必须进入已经依法完成规划环评审查的化工园区。</w:t>
                  </w:r>
                </w:p>
              </w:tc>
              <w:tc>
                <w:tcPr>
                  <w:tcW w:w="1517" w:type="pct"/>
                  <w:tcBorders>
                    <w:tl2br w:val="nil"/>
                    <w:tr2bl w:val="nil"/>
                  </w:tcBorders>
                  <w:vAlign w:val="center"/>
                </w:tcPr>
                <w:p w14:paraId="1863B131">
                  <w:pPr>
                    <w:pStyle w:val="74"/>
                    <w:jc w:val="center"/>
                    <w:rPr>
                      <w:szCs w:val="21"/>
                    </w:rPr>
                  </w:pPr>
                  <w:r>
                    <w:rPr>
                      <w:szCs w:val="21"/>
                    </w:rPr>
                    <w:t>本项目不涉及。</w:t>
                  </w:r>
                </w:p>
              </w:tc>
              <w:tc>
                <w:tcPr>
                  <w:tcW w:w="502" w:type="pct"/>
                  <w:tcBorders>
                    <w:tl2br w:val="nil"/>
                    <w:tr2bl w:val="nil"/>
                  </w:tcBorders>
                  <w:vAlign w:val="center"/>
                </w:tcPr>
                <w:p w14:paraId="43916996">
                  <w:pPr>
                    <w:pStyle w:val="74"/>
                    <w:jc w:val="center"/>
                    <w:rPr>
                      <w:szCs w:val="21"/>
                    </w:rPr>
                  </w:pPr>
                  <w:r>
                    <w:rPr>
                      <w:szCs w:val="21"/>
                    </w:rPr>
                    <w:t>相符</w:t>
                  </w:r>
                </w:p>
              </w:tc>
            </w:tr>
            <w:tr w14:paraId="4BA124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tcBorders>
                    <w:tl2br w:val="nil"/>
                    <w:tr2bl w:val="nil"/>
                  </w:tcBorders>
                  <w:vAlign w:val="center"/>
                </w:tcPr>
                <w:p w14:paraId="72A1D45C">
                  <w:pPr>
                    <w:pStyle w:val="74"/>
                    <w:jc w:val="center"/>
                    <w:rPr>
                      <w:szCs w:val="21"/>
                    </w:rPr>
                  </w:pPr>
                  <w:r>
                    <w:rPr>
                      <w:szCs w:val="21"/>
                    </w:rPr>
                    <w:t>9</w:t>
                  </w:r>
                </w:p>
              </w:tc>
              <w:tc>
                <w:tcPr>
                  <w:tcW w:w="2684" w:type="pct"/>
                  <w:tcBorders>
                    <w:tl2br w:val="nil"/>
                    <w:tr2bl w:val="nil"/>
                  </w:tcBorders>
                  <w:vAlign w:val="center"/>
                </w:tcPr>
                <w:p w14:paraId="455CCBD3">
                  <w:pPr>
                    <w:pStyle w:val="74"/>
                    <w:rPr>
                      <w:szCs w:val="21"/>
                    </w:rPr>
                  </w:pPr>
                  <w:r>
                    <w:rPr>
                      <w:szCs w:val="21"/>
                    </w:rPr>
                    <w:t>生态保护红线原则上按禁止开发区域的要求进行管理，严禁不符合主体功能定位的各类开发活动，严禁任意改变用途。</w:t>
                  </w:r>
                </w:p>
              </w:tc>
              <w:tc>
                <w:tcPr>
                  <w:tcW w:w="1517" w:type="pct"/>
                  <w:tcBorders>
                    <w:tl2br w:val="nil"/>
                    <w:tr2bl w:val="nil"/>
                  </w:tcBorders>
                  <w:vAlign w:val="center"/>
                </w:tcPr>
                <w:p w14:paraId="140447FB">
                  <w:pPr>
                    <w:pStyle w:val="74"/>
                    <w:rPr>
                      <w:szCs w:val="21"/>
                    </w:rPr>
                  </w:pPr>
                  <w:r>
                    <w:rPr>
                      <w:szCs w:val="21"/>
                    </w:rPr>
                    <w:t>本项目不占用生态</w:t>
                  </w:r>
                  <w:r>
                    <w:rPr>
                      <w:rFonts w:hint="eastAsia"/>
                      <w:szCs w:val="21"/>
                    </w:rPr>
                    <w:t>保护</w:t>
                  </w:r>
                  <w:r>
                    <w:rPr>
                      <w:szCs w:val="21"/>
                    </w:rPr>
                    <w:t>红线。</w:t>
                  </w:r>
                </w:p>
              </w:tc>
              <w:tc>
                <w:tcPr>
                  <w:tcW w:w="502" w:type="pct"/>
                  <w:tcBorders>
                    <w:tl2br w:val="nil"/>
                    <w:tr2bl w:val="nil"/>
                  </w:tcBorders>
                  <w:vAlign w:val="center"/>
                </w:tcPr>
                <w:p w14:paraId="034A11FF">
                  <w:pPr>
                    <w:pStyle w:val="74"/>
                    <w:jc w:val="center"/>
                    <w:rPr>
                      <w:szCs w:val="21"/>
                    </w:rPr>
                  </w:pPr>
                  <w:r>
                    <w:rPr>
                      <w:szCs w:val="21"/>
                    </w:rPr>
                    <w:t>相符</w:t>
                  </w:r>
                </w:p>
              </w:tc>
            </w:tr>
            <w:tr w14:paraId="30708E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tcBorders>
                    <w:tl2br w:val="nil"/>
                    <w:tr2bl w:val="nil"/>
                  </w:tcBorders>
                  <w:vAlign w:val="center"/>
                </w:tcPr>
                <w:p w14:paraId="000BADAD">
                  <w:pPr>
                    <w:pStyle w:val="74"/>
                    <w:jc w:val="center"/>
                    <w:rPr>
                      <w:szCs w:val="21"/>
                    </w:rPr>
                  </w:pPr>
                  <w:r>
                    <w:rPr>
                      <w:szCs w:val="21"/>
                    </w:rPr>
                    <w:t>10</w:t>
                  </w:r>
                </w:p>
              </w:tc>
              <w:tc>
                <w:tcPr>
                  <w:tcW w:w="2684" w:type="pct"/>
                  <w:tcBorders>
                    <w:tl2br w:val="nil"/>
                    <w:tr2bl w:val="nil"/>
                  </w:tcBorders>
                  <w:vAlign w:val="center"/>
                </w:tcPr>
                <w:p w14:paraId="5B127ABF">
                  <w:pPr>
                    <w:pStyle w:val="74"/>
                    <w:rPr>
                      <w:szCs w:val="21"/>
                    </w:rPr>
                  </w:pPr>
                  <w:r>
                    <w:rPr>
                      <w:szCs w:val="21"/>
                    </w:rPr>
                    <w:t>禁止审批无法落实危险废物利用、处置途径的项目，从严审批危险废物产生量大、本地无配套利用处置能力、且需设区市统筹解决的项目。</w:t>
                  </w:r>
                </w:p>
              </w:tc>
              <w:tc>
                <w:tcPr>
                  <w:tcW w:w="1517" w:type="pct"/>
                  <w:tcBorders>
                    <w:tl2br w:val="nil"/>
                    <w:tr2bl w:val="nil"/>
                  </w:tcBorders>
                  <w:vAlign w:val="center"/>
                </w:tcPr>
                <w:p w14:paraId="6EFBD45E">
                  <w:pPr>
                    <w:pStyle w:val="74"/>
                    <w:rPr>
                      <w:szCs w:val="21"/>
                    </w:rPr>
                  </w:pPr>
                  <w:r>
                    <w:rPr>
                      <w:szCs w:val="21"/>
                    </w:rPr>
                    <w:t>本项目危险废物均可落实有资质单位委托利用、处置。</w:t>
                  </w:r>
                </w:p>
              </w:tc>
              <w:tc>
                <w:tcPr>
                  <w:tcW w:w="502" w:type="pct"/>
                  <w:tcBorders>
                    <w:tl2br w:val="nil"/>
                    <w:tr2bl w:val="nil"/>
                  </w:tcBorders>
                  <w:vAlign w:val="center"/>
                </w:tcPr>
                <w:p w14:paraId="4E0EFF9A">
                  <w:pPr>
                    <w:pStyle w:val="74"/>
                    <w:jc w:val="center"/>
                    <w:rPr>
                      <w:szCs w:val="21"/>
                    </w:rPr>
                  </w:pPr>
                  <w:r>
                    <w:rPr>
                      <w:szCs w:val="21"/>
                    </w:rPr>
                    <w:t>相符</w:t>
                  </w:r>
                </w:p>
              </w:tc>
            </w:tr>
            <w:tr w14:paraId="665449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tcBorders>
                    <w:tl2br w:val="nil"/>
                    <w:tr2bl w:val="nil"/>
                  </w:tcBorders>
                  <w:vAlign w:val="center"/>
                </w:tcPr>
                <w:p w14:paraId="691EC44F">
                  <w:pPr>
                    <w:pStyle w:val="74"/>
                    <w:jc w:val="center"/>
                    <w:rPr>
                      <w:szCs w:val="21"/>
                    </w:rPr>
                  </w:pPr>
                  <w:r>
                    <w:rPr>
                      <w:szCs w:val="21"/>
                    </w:rPr>
                    <w:t>11</w:t>
                  </w:r>
                </w:p>
              </w:tc>
              <w:tc>
                <w:tcPr>
                  <w:tcW w:w="2684" w:type="pct"/>
                  <w:tcBorders>
                    <w:tl2br w:val="nil"/>
                    <w:tr2bl w:val="nil"/>
                  </w:tcBorders>
                  <w:vAlign w:val="center"/>
                </w:tcPr>
                <w:p w14:paraId="5C5E0AC0">
                  <w:pPr>
                    <w:pStyle w:val="74"/>
                    <w:rPr>
                      <w:szCs w:val="21"/>
                    </w:rPr>
                  </w:pPr>
                  <w:r>
                    <w:rPr>
                      <w:szCs w:val="21"/>
                    </w:rPr>
                    <w:t>（1）禁止建设不符合全国和省级港口布局规划以及港口总体规划的码头项目，禁止建设不符合《长江干线过江通道布局规划》的过长江通道项目。（2）禁止在自然保护区核心区、缓冲区的岸线和河段范围内投资建设旅游和生产经营项目。禁止在风景名胜区核心景区的岸线和河段范围内投资建设与风景名胜资源保护无关的项目。（3）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4）禁止在水产种质资源保护区的岸线和河段范围内新建排污口，以及围湖造田、围海造地或围填海等投资建设项目。禁止在国家湿地公园的岸线和河段范围内挖沙、采矿，以及任何不符合主体功能定位的投资建设项目。（5）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6）禁止在生态保护红线和永久基本农田范围内投资建设除国家重大战略资源勘查项目、生态保护修复和环境治理项目、重大基础设施项目、军事国防项目以及农牧民基本生产生活等必要的民生项目以外的项目。（7）禁止在长江干支流1公里范围内新建、扩建化工园区和化工项目。禁止在合规园区外新建、扩建钢铁、石化、化工、焦化、建材、有色等高污染项目。（8）禁止新建、扩建不符合国家石化、现代煤化工等产业布局规划的项目。（9）禁止新建、扩建法律法规和相关政策明令禁止的落后产能项目。（10）禁止新建、扩建不符合国家产能置换要求的严重过剩产能行业的项目。</w:t>
                  </w:r>
                </w:p>
              </w:tc>
              <w:tc>
                <w:tcPr>
                  <w:tcW w:w="1517" w:type="pct"/>
                  <w:tcBorders>
                    <w:tl2br w:val="nil"/>
                    <w:tr2bl w:val="nil"/>
                  </w:tcBorders>
                  <w:vAlign w:val="center"/>
                </w:tcPr>
                <w:p w14:paraId="1ECF51DA">
                  <w:pPr>
                    <w:pStyle w:val="74"/>
                    <w:rPr>
                      <w:szCs w:val="21"/>
                    </w:rPr>
                  </w:pPr>
                  <w:r>
                    <w:rPr>
                      <w:szCs w:val="21"/>
                    </w:rPr>
                    <w:t>本项目不属于落后产能项目，不占用生态</w:t>
                  </w:r>
                  <w:r>
                    <w:rPr>
                      <w:rFonts w:hint="eastAsia"/>
                      <w:szCs w:val="21"/>
                    </w:rPr>
                    <w:t>保护</w:t>
                  </w:r>
                  <w:r>
                    <w:rPr>
                      <w:szCs w:val="21"/>
                    </w:rPr>
                    <w:t>红线，不占用自然保护区核心区、缓冲区，不占用饮用水水源一、二级保护区。</w:t>
                  </w:r>
                </w:p>
              </w:tc>
              <w:tc>
                <w:tcPr>
                  <w:tcW w:w="502" w:type="pct"/>
                  <w:tcBorders>
                    <w:tl2br w:val="nil"/>
                    <w:tr2bl w:val="nil"/>
                  </w:tcBorders>
                  <w:vAlign w:val="center"/>
                </w:tcPr>
                <w:p w14:paraId="1283D377">
                  <w:pPr>
                    <w:pStyle w:val="74"/>
                    <w:jc w:val="center"/>
                    <w:rPr>
                      <w:szCs w:val="21"/>
                    </w:rPr>
                  </w:pPr>
                  <w:r>
                    <w:rPr>
                      <w:szCs w:val="21"/>
                    </w:rPr>
                    <w:t>相符</w:t>
                  </w:r>
                </w:p>
              </w:tc>
            </w:tr>
          </w:tbl>
          <w:p w14:paraId="4A9C778D">
            <w:pPr>
              <w:pStyle w:val="78"/>
              <w:rPr>
                <w:rFonts w:cs="Times New Roman"/>
                <w:sz w:val="21"/>
              </w:rPr>
            </w:pPr>
          </w:p>
        </w:tc>
      </w:tr>
    </w:tbl>
    <w:p w14:paraId="61B7487E">
      <w:pPr>
        <w:spacing w:line="360" w:lineRule="auto"/>
        <w:outlineLvl w:val="0"/>
        <w:rPr>
          <w:rFonts w:eastAsia="黑体"/>
          <w:sz w:val="30"/>
        </w:rPr>
        <w:sectPr>
          <w:footerReference r:id="rId7" w:type="default"/>
          <w:pgSz w:w="11906" w:h="16838"/>
          <w:pgMar w:top="1440" w:right="1800" w:bottom="1440" w:left="1800" w:header="851" w:footer="964" w:gutter="0"/>
          <w:pgNumType w:start="1"/>
          <w:cols w:space="720" w:num="1"/>
          <w:docGrid w:linePitch="312" w:charSpace="0"/>
        </w:sectPr>
      </w:pPr>
    </w:p>
    <w:p w14:paraId="44269F43">
      <w:pPr>
        <w:pStyle w:val="42"/>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二、建设项目工程分析</w:t>
      </w:r>
    </w:p>
    <w:tbl>
      <w:tblPr>
        <w:tblStyle w:val="4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38"/>
        <w:gridCol w:w="8084"/>
      </w:tblGrid>
      <w:tr w14:paraId="7E88FE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13" w:hRule="atLeast"/>
          <w:jc w:val="center"/>
        </w:trPr>
        <w:tc>
          <w:tcPr>
            <w:tcW w:w="257" w:type="pct"/>
            <w:tcBorders>
              <w:top w:val="single" w:color="auto" w:sz="8" w:space="0"/>
            </w:tcBorders>
            <w:vAlign w:val="center"/>
          </w:tcPr>
          <w:p w14:paraId="5D02A642">
            <w:pPr>
              <w:pStyle w:val="42"/>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建设内容</w:t>
            </w:r>
          </w:p>
        </w:tc>
        <w:tc>
          <w:tcPr>
            <w:tcW w:w="4743" w:type="pct"/>
            <w:tcBorders>
              <w:top w:val="single" w:color="auto" w:sz="8" w:space="0"/>
              <w:bottom w:val="single" w:color="auto" w:sz="4" w:space="0"/>
            </w:tcBorders>
          </w:tcPr>
          <w:p w14:paraId="49B12537">
            <w:pPr>
              <w:pStyle w:val="78"/>
              <w:numPr>
                <w:ilvl w:val="0"/>
                <w:numId w:val="4"/>
              </w:numPr>
              <w:spacing w:before="0" w:after="0" w:line="500" w:lineRule="exact"/>
              <w:rPr>
                <w:rFonts w:cs="Times New Roman"/>
              </w:rPr>
            </w:pPr>
            <w:r>
              <w:rPr>
                <w:rFonts w:cs="Times New Roman"/>
              </w:rPr>
              <w:t>建设内容</w:t>
            </w:r>
          </w:p>
          <w:p w14:paraId="2BED96C2">
            <w:pPr>
              <w:pStyle w:val="76"/>
              <w:spacing w:line="500" w:lineRule="exact"/>
              <w:ind w:firstLine="480"/>
            </w:pPr>
            <w:bookmarkStart w:id="21" w:name="_Hlk70517139"/>
            <w:bookmarkStart w:id="22" w:name="OLE_LINK23"/>
            <w:r>
              <w:t>国望高科纤维(宿迁)有限公司成立于2019年11月15日，由江苏东方盛虹股份有限公司出资成立，</w:t>
            </w:r>
            <w:bookmarkEnd w:id="21"/>
            <w:r>
              <w:t>注册地位于宿迁市泗阳县经济开发区343省道东侧、意杨大道南侧，法人代表为孔文龙。公司专业从事民用涤纶长丝产品的研发、生产和销售，公司结合区域纺织产业聚集优势，立足化纤产业，坚持“生产规模化、产品差异化、品牌国际化”的发展战略，确立“科技发展、绿色发展、品牌发展”的发展理念，依托科技创新与产融结合，以研发优势为桨，以创新发展做帆，积极打造国际国内差异化民用化涤纶产业龙头企业。</w:t>
            </w:r>
          </w:p>
          <w:p w14:paraId="54BD59E8">
            <w:pPr>
              <w:pStyle w:val="76"/>
              <w:spacing w:line="500" w:lineRule="exact"/>
              <w:ind w:firstLine="480"/>
            </w:pPr>
            <w:r>
              <w:t>2021年国望高科纤维（宿迁）有限公司开始建设“年产300万吨智能化、超仿真功能性纤维项目”（后简称“一期项目”，批复文号：宿环建管〔2021〕2005号），该项目共包括7个聚酯车间，分别是聚酯1-聚酯7（其中聚酯车间1、2位于成子河西侧厂区，聚酯车间3~7位于成子河东侧厂区）。设计总产能300万吨/年：聚酯1-5分别配套1套聚酯生产线（设计产能50万吨/年）。熔体直纺配套建设6个纺丝车间，分别是纺丝1-纺丝6（其中聚酯纺丝1、2位于成子河西侧厂区，聚酯车间3~6位于成子河东侧厂区），每个纺丝车间对应的熔体设计产能均为50万吨/年，完全配套300万吨/年的熔体设计产能；纺丝配套建设7个加弹车间，分别是加弹1-加弹7（其中加弹车间1、2位于成子河西侧厂区，加弹车间3~7位于成子河东侧厂区）。2024年3月一期项目成子河西侧一阶段50万吨产能工程（后简称“一期一阶段”）完成竣工验收，一期一阶段工程内容包括聚酯车间1（聚酯设备CP1、CP2，共计50万吨/年熔体产能）、纺丝车间1（18条POY生产线、4条FDY生产线，50万吨涤纶长丝产能）生产设施主体及配套工程。</w:t>
            </w:r>
          </w:p>
          <w:p w14:paraId="2BEA7544">
            <w:pPr>
              <w:pStyle w:val="76"/>
              <w:spacing w:line="500" w:lineRule="exact"/>
              <w:ind w:firstLine="480"/>
            </w:pPr>
            <w:r>
              <w:t>由于市场上复合丝（BEY、涤锦）产品需求日盛，原有一期项目成子河西侧地块剩余未验收工程部分建设内容（纺丝车间2及</w:t>
            </w:r>
            <w:r>
              <w:rPr>
                <w:rFonts w:hint="eastAsia"/>
              </w:rPr>
              <w:t>其</w:t>
            </w:r>
            <w:r>
              <w:t>配套公辅设施）已不符合国望高科纤维(宿迁)有限公司自身发展需要及市场需求，因此</w:t>
            </w:r>
            <w:r>
              <w:rPr>
                <w:rFonts w:hint="eastAsia"/>
              </w:rPr>
              <w:t>，</w:t>
            </w:r>
            <w:r>
              <w:t>拟分别投资198648.1万元、151704万元建设“二期年产25万吨超仿真差别化功能性纤维项目”（后简称“二期项目”）、“三期年产30万吨超仿真功能性低碳纤维项目”（三期项目），利用原有已批复一期项目成子河西侧尚未建设的50万吨/年聚酯熔体产能，</w:t>
            </w:r>
            <w:r>
              <w:rPr>
                <w:rFonts w:hint="eastAsia"/>
              </w:rPr>
              <w:t>并</w:t>
            </w:r>
            <w:r>
              <w:t>增加10万吨/年复合涤纶长丝（通过切片纺+熔体直纺）产能及</w:t>
            </w:r>
            <w:r>
              <w:rPr>
                <w:rFonts w:hint="eastAsia"/>
              </w:rPr>
              <w:t>2.4万吨/年</w:t>
            </w:r>
            <w:r>
              <w:t>废丝回收生产线，形成POY</w:t>
            </w:r>
            <w:r>
              <w:rPr>
                <w:lang w:val="zh-CN"/>
              </w:rPr>
              <w:t xml:space="preserve"> 24.89万吨/年、</w:t>
            </w:r>
            <w:r>
              <w:t>FDY</w:t>
            </w:r>
            <w:r>
              <w:rPr>
                <w:lang w:val="zh-CN"/>
              </w:rPr>
              <w:t xml:space="preserve"> 20.11万吨/年、BEY 6万吨/年、涤锦4万吨/年，共计55万吨/年</w:t>
            </w:r>
            <w:r>
              <w:t>涤纶长丝及年回收2.4万吨废丝的生产能力。</w:t>
            </w:r>
            <w:r>
              <w:rPr>
                <w:rFonts w:hint="eastAsia"/>
              </w:rPr>
              <w:t>同时，</w:t>
            </w:r>
            <w:r>
              <w:t>取消原有“一期项目”中“纺丝车间2”（共计50万吨/年的纺丝产能）及其配套工程的建设。二期、三期项目已分别取得泗阳经济开发区管理委员会出具的江苏省投资项目备案证（泗经开备〔2024〕156号、泗经开备〔2025〕24号，见附件2~3）。二期、三期项目纺丝生产线均位于纺丝车间2，同期开展建设，</w:t>
            </w:r>
            <w:r>
              <w:rPr>
                <w:rFonts w:hint="eastAsia"/>
              </w:rPr>
              <w:t>按照同时建设</w:t>
            </w:r>
            <w:r>
              <w:t>开展评价工作。</w:t>
            </w:r>
            <w:r>
              <w:rPr>
                <w:b/>
                <w:bCs/>
              </w:rPr>
              <w:t>本次评价范围为：二期项目和三期项目纺丝部分及废丝回收及其配套的公辅工程，聚酯部分</w:t>
            </w:r>
            <w:r>
              <w:rPr>
                <w:rFonts w:hint="eastAsia"/>
                <w:b/>
                <w:bCs/>
              </w:rPr>
              <w:t>不在本次评价范围内，</w:t>
            </w:r>
            <w:r>
              <w:rPr>
                <w:b/>
                <w:bCs/>
              </w:rPr>
              <w:t>按照现有《年产300万吨智能化、超仿真功能性纤维项目环境影响报告书》批复内容继续建设。</w:t>
            </w:r>
            <w:r>
              <w:rPr>
                <w:rFonts w:hint="eastAsia"/>
              </w:rPr>
              <w:t>本项目建设内容对照</w:t>
            </w:r>
            <w:bookmarkStart w:id="23" w:name="_Toc92441625"/>
            <w:r>
              <w:rPr>
                <w:rFonts w:hint="eastAsia"/>
              </w:rPr>
              <w:t>《建设项目环境影响评价分类管理名录</w:t>
            </w:r>
            <w:bookmarkEnd w:id="23"/>
            <w:r>
              <w:rPr>
                <w:rFonts w:hint="eastAsia"/>
              </w:rPr>
              <w:t>》（2021年版）相关规定，应编制报告表，具体适用性分析见表2-1。</w:t>
            </w:r>
          </w:p>
          <w:bookmarkEnd w:id="22"/>
          <w:p w14:paraId="61C2E149">
            <w:pPr>
              <w:pStyle w:val="76"/>
              <w:spacing w:line="500" w:lineRule="exact"/>
              <w:ind w:firstLine="482"/>
              <w:rPr>
                <w:b/>
                <w:bCs/>
              </w:rPr>
            </w:pPr>
            <w:r>
              <w:rPr>
                <w:rFonts w:hint="eastAsia"/>
                <w:b/>
                <w:bCs/>
              </w:rPr>
              <w:t>表2-1 本项目建设内容与环评分类管理名录适用性分析表</w:t>
            </w:r>
          </w:p>
          <w:tbl>
            <w:tblPr>
              <w:tblStyle w:val="9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2917"/>
              <w:gridCol w:w="2331"/>
              <w:gridCol w:w="987"/>
            </w:tblGrid>
            <w:tr w14:paraId="6C9032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8" w:type="pct"/>
                  <w:vMerge w:val="restart"/>
                  <w:vAlign w:val="center"/>
                </w:tcPr>
                <w:p w14:paraId="3368679B">
                  <w:pPr>
                    <w:pStyle w:val="196"/>
                    <w:rPr>
                      <w:b/>
                      <w:bCs/>
                    </w:rPr>
                  </w:pPr>
                  <w:r>
                    <w:rPr>
                      <w:rFonts w:hint="eastAsia"/>
                      <w:b/>
                      <w:bCs/>
                    </w:rPr>
                    <w:t>建设内容</w:t>
                  </w:r>
                </w:p>
              </w:tc>
              <w:tc>
                <w:tcPr>
                  <w:tcW w:w="3335" w:type="pct"/>
                  <w:gridSpan w:val="2"/>
                  <w:vAlign w:val="center"/>
                </w:tcPr>
                <w:p w14:paraId="2DAFF5E1">
                  <w:pPr>
                    <w:pStyle w:val="196"/>
                    <w:rPr>
                      <w:b/>
                      <w:bCs/>
                    </w:rPr>
                  </w:pPr>
                  <w:r>
                    <w:rPr>
                      <w:rFonts w:hint="eastAsia"/>
                      <w:b/>
                      <w:bCs/>
                    </w:rPr>
                    <w:t>分类名录项目类别</w:t>
                  </w:r>
                </w:p>
              </w:tc>
              <w:tc>
                <w:tcPr>
                  <w:tcW w:w="627" w:type="pct"/>
                  <w:vMerge w:val="restart"/>
                  <w:vAlign w:val="center"/>
                </w:tcPr>
                <w:p w14:paraId="7DA636C6">
                  <w:pPr>
                    <w:pStyle w:val="196"/>
                    <w:rPr>
                      <w:b/>
                      <w:bCs/>
                    </w:rPr>
                  </w:pPr>
                  <w:r>
                    <w:rPr>
                      <w:rFonts w:hint="eastAsia"/>
                      <w:b/>
                      <w:bCs/>
                    </w:rPr>
                    <w:t>环评类别</w:t>
                  </w:r>
                </w:p>
              </w:tc>
            </w:tr>
            <w:tr w14:paraId="1E5D83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8" w:type="pct"/>
                  <w:vMerge w:val="continue"/>
                  <w:vAlign w:val="center"/>
                </w:tcPr>
                <w:p w14:paraId="47AA2B1C">
                  <w:pPr>
                    <w:pStyle w:val="196"/>
                    <w:rPr>
                      <w:b/>
                      <w:bCs/>
                    </w:rPr>
                  </w:pPr>
                </w:p>
              </w:tc>
              <w:tc>
                <w:tcPr>
                  <w:tcW w:w="1854" w:type="pct"/>
                  <w:vAlign w:val="center"/>
                </w:tcPr>
                <w:p w14:paraId="6644B400">
                  <w:pPr>
                    <w:pStyle w:val="196"/>
                    <w:rPr>
                      <w:b/>
                      <w:bCs/>
                    </w:rPr>
                  </w:pPr>
                  <w:r>
                    <w:rPr>
                      <w:rFonts w:hint="eastAsia"/>
                      <w:b/>
                      <w:bCs/>
                    </w:rPr>
                    <w:t>大类</w:t>
                  </w:r>
                </w:p>
              </w:tc>
              <w:tc>
                <w:tcPr>
                  <w:tcW w:w="1480" w:type="pct"/>
                  <w:vAlign w:val="center"/>
                </w:tcPr>
                <w:p w14:paraId="74BA543D">
                  <w:pPr>
                    <w:pStyle w:val="196"/>
                    <w:rPr>
                      <w:b/>
                      <w:bCs/>
                    </w:rPr>
                  </w:pPr>
                  <w:r>
                    <w:rPr>
                      <w:rFonts w:hint="eastAsia"/>
                      <w:b/>
                      <w:bCs/>
                    </w:rPr>
                    <w:t>子类</w:t>
                  </w:r>
                </w:p>
              </w:tc>
              <w:tc>
                <w:tcPr>
                  <w:tcW w:w="627" w:type="pct"/>
                  <w:vMerge w:val="continue"/>
                  <w:vAlign w:val="center"/>
                </w:tcPr>
                <w:p w14:paraId="2B3EAC1C">
                  <w:pPr>
                    <w:pStyle w:val="196"/>
                    <w:rPr>
                      <w:b/>
                      <w:bCs/>
                    </w:rPr>
                  </w:pPr>
                </w:p>
              </w:tc>
            </w:tr>
            <w:tr w14:paraId="05430F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8" w:type="pct"/>
                  <w:vAlign w:val="center"/>
                </w:tcPr>
                <w:p w14:paraId="72F234B4">
                  <w:pPr>
                    <w:pStyle w:val="196"/>
                  </w:pPr>
                  <w:r>
                    <w:rPr>
                      <w:rFonts w:hint="eastAsia"/>
                    </w:rPr>
                    <w:t>新增纺丝车间及纺丝生产线</w:t>
                  </w:r>
                </w:p>
              </w:tc>
              <w:tc>
                <w:tcPr>
                  <w:tcW w:w="1854" w:type="pct"/>
                  <w:vAlign w:val="center"/>
                </w:tcPr>
                <w:p w14:paraId="50DCD9D9">
                  <w:pPr>
                    <w:pStyle w:val="196"/>
                  </w:pPr>
                  <w:r>
                    <w:rPr>
                      <w:rFonts w:hint="eastAsia"/>
                      <w:bCs/>
                    </w:rPr>
                    <w:t>合成纤维制造282</w:t>
                  </w:r>
                </w:p>
              </w:tc>
              <w:tc>
                <w:tcPr>
                  <w:tcW w:w="1480" w:type="pct"/>
                  <w:vAlign w:val="center"/>
                </w:tcPr>
                <w:p w14:paraId="73744DC6">
                  <w:pPr>
                    <w:pStyle w:val="196"/>
                  </w:pPr>
                  <w:r>
                    <w:rPr>
                      <w:rFonts w:hint="eastAsia"/>
                      <w:bCs/>
                    </w:rPr>
                    <w:t>单纯纺丝制造</w:t>
                  </w:r>
                </w:p>
              </w:tc>
              <w:tc>
                <w:tcPr>
                  <w:tcW w:w="627" w:type="pct"/>
                  <w:vAlign w:val="center"/>
                </w:tcPr>
                <w:p w14:paraId="2581F28F">
                  <w:pPr>
                    <w:pStyle w:val="196"/>
                  </w:pPr>
                  <w:r>
                    <w:rPr>
                      <w:rFonts w:hint="eastAsia"/>
                    </w:rPr>
                    <w:t>报告表</w:t>
                  </w:r>
                </w:p>
              </w:tc>
            </w:tr>
            <w:tr w14:paraId="34B307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8" w:type="pct"/>
                  <w:vAlign w:val="center"/>
                </w:tcPr>
                <w:p w14:paraId="7DC3AE80">
                  <w:pPr>
                    <w:pStyle w:val="196"/>
                  </w:pPr>
                  <w:r>
                    <w:rPr>
                      <w:rFonts w:hint="eastAsia"/>
                    </w:rPr>
                    <w:t>废丝回收生产线</w:t>
                  </w:r>
                </w:p>
              </w:tc>
              <w:tc>
                <w:tcPr>
                  <w:tcW w:w="1854" w:type="pct"/>
                  <w:vAlign w:val="center"/>
                </w:tcPr>
                <w:p w14:paraId="570A6959">
                  <w:pPr>
                    <w:pStyle w:val="196"/>
                  </w:pPr>
                  <w:r>
                    <w:rPr>
                      <w:rFonts w:hint="eastAsia"/>
                    </w:rPr>
                    <w:t>一般工业固体废物（含污水处理污泥）、建筑施工废弃物处置及综合利用</w:t>
                  </w:r>
                </w:p>
              </w:tc>
              <w:tc>
                <w:tcPr>
                  <w:tcW w:w="1480" w:type="pct"/>
                  <w:vAlign w:val="center"/>
                </w:tcPr>
                <w:p w14:paraId="4643AF83">
                  <w:pPr>
                    <w:pStyle w:val="196"/>
                  </w:pPr>
                  <w:r>
                    <w:rPr>
                      <w:rFonts w:hint="eastAsia"/>
                    </w:rPr>
                    <w:t>其他</w:t>
                  </w:r>
                </w:p>
              </w:tc>
              <w:tc>
                <w:tcPr>
                  <w:tcW w:w="627" w:type="pct"/>
                  <w:vAlign w:val="center"/>
                </w:tcPr>
                <w:p w14:paraId="4578571F">
                  <w:pPr>
                    <w:pStyle w:val="196"/>
                  </w:pPr>
                  <w:r>
                    <w:rPr>
                      <w:rFonts w:hint="eastAsia"/>
                    </w:rPr>
                    <w:t>报告表</w:t>
                  </w:r>
                </w:p>
              </w:tc>
            </w:tr>
            <w:tr w14:paraId="1053AB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8" w:type="pct"/>
                  <w:vAlign w:val="center"/>
                </w:tcPr>
                <w:p w14:paraId="7699EA4E">
                  <w:pPr>
                    <w:pStyle w:val="196"/>
                  </w:pPr>
                  <w:r>
                    <w:rPr>
                      <w:rFonts w:hint="eastAsia"/>
                    </w:rPr>
                    <w:t>新增乙二醇储罐</w:t>
                  </w:r>
                </w:p>
              </w:tc>
              <w:tc>
                <w:tcPr>
                  <w:tcW w:w="1854" w:type="pct"/>
                  <w:vAlign w:val="center"/>
                </w:tcPr>
                <w:p w14:paraId="09BE9D90">
                  <w:pPr>
                    <w:pStyle w:val="196"/>
                  </w:pPr>
                  <w:r>
                    <w:rPr>
                      <w:rFonts w:hint="eastAsia"/>
                    </w:rPr>
                    <w:t>危险品仓储 594（</w:t>
                  </w:r>
                  <w:r>
                    <w:rPr>
                      <w:rFonts w:hint="eastAsia"/>
                      <w:bCs/>
                    </w:rPr>
                    <w:t>不含加油站的油库；不含加气站的气库</w:t>
                  </w:r>
                  <w:r>
                    <w:rPr>
                      <w:rFonts w:hint="eastAsia"/>
                    </w:rPr>
                    <w:t>）</w:t>
                  </w:r>
                </w:p>
              </w:tc>
              <w:tc>
                <w:tcPr>
                  <w:tcW w:w="1480" w:type="pct"/>
                  <w:vAlign w:val="center"/>
                </w:tcPr>
                <w:p w14:paraId="7EF8E74F">
                  <w:pPr>
                    <w:pStyle w:val="196"/>
                  </w:pPr>
                  <w:r>
                    <w:rPr>
                      <w:rFonts w:hint="eastAsia"/>
                    </w:rPr>
                    <w:t>其他（含有毒、有害、危险品的仓储；含液化天然气库</w:t>
                  </w:r>
                  <w:r>
                    <w:rPr>
                      <w:rFonts w:hint="eastAsia"/>
                      <w:bCs/>
                    </w:rPr>
                    <w:t>）</w:t>
                  </w:r>
                </w:p>
              </w:tc>
              <w:tc>
                <w:tcPr>
                  <w:tcW w:w="627" w:type="pct"/>
                  <w:vAlign w:val="center"/>
                </w:tcPr>
                <w:p w14:paraId="70AF4E17">
                  <w:pPr>
                    <w:pStyle w:val="196"/>
                  </w:pPr>
                  <w:r>
                    <w:rPr>
                      <w:rFonts w:hint="eastAsia"/>
                    </w:rPr>
                    <w:t>报告表</w:t>
                  </w:r>
                </w:p>
              </w:tc>
            </w:tr>
            <w:tr w14:paraId="732C11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8" w:type="pct"/>
                  <w:vAlign w:val="center"/>
                </w:tcPr>
                <w:p w14:paraId="5EAEB0B3">
                  <w:pPr>
                    <w:pStyle w:val="196"/>
                  </w:pPr>
                  <w:r>
                    <w:rPr>
                      <w:rFonts w:hint="eastAsia"/>
                    </w:rPr>
                    <w:t>撬装式加油一体化设备</w:t>
                  </w:r>
                </w:p>
              </w:tc>
              <w:tc>
                <w:tcPr>
                  <w:tcW w:w="1854" w:type="pct"/>
                  <w:vAlign w:val="center"/>
                </w:tcPr>
                <w:p w14:paraId="6EBDBAD6">
                  <w:pPr>
                    <w:pStyle w:val="196"/>
                  </w:pPr>
                  <w:r>
                    <w:rPr>
                      <w:rFonts w:hint="eastAsia"/>
                    </w:rPr>
                    <w:t>加油、加气站</w:t>
                  </w:r>
                </w:p>
              </w:tc>
              <w:tc>
                <w:tcPr>
                  <w:tcW w:w="1480" w:type="pct"/>
                  <w:vAlign w:val="center"/>
                </w:tcPr>
                <w:p w14:paraId="6CDB1027">
                  <w:pPr>
                    <w:pStyle w:val="196"/>
                  </w:pPr>
                  <w:r>
                    <w:rPr>
                      <w:rFonts w:hint="eastAsia"/>
                      <w:bCs/>
                    </w:rPr>
                    <w:t>城市建成区新建、扩建加油站</w:t>
                  </w:r>
                  <w:r>
                    <w:t xml:space="preserve"> </w:t>
                  </w:r>
                </w:p>
              </w:tc>
              <w:tc>
                <w:tcPr>
                  <w:tcW w:w="627" w:type="pct"/>
                  <w:vAlign w:val="center"/>
                </w:tcPr>
                <w:p w14:paraId="7FB58E96">
                  <w:pPr>
                    <w:pStyle w:val="196"/>
                  </w:pPr>
                  <w:r>
                    <w:rPr>
                      <w:rFonts w:hint="eastAsia"/>
                    </w:rPr>
                    <w:t>报告表</w:t>
                  </w:r>
                </w:p>
              </w:tc>
            </w:tr>
          </w:tbl>
          <w:p w14:paraId="7AC5FE94">
            <w:pPr>
              <w:pStyle w:val="76"/>
              <w:spacing w:line="500" w:lineRule="exact"/>
              <w:ind w:firstLine="480"/>
            </w:pPr>
            <w:r>
              <w:t>一期项目、现有生产设施与二期、三期项目的关系：</w:t>
            </w:r>
          </w:p>
          <w:p w14:paraId="29703B38">
            <w:pPr>
              <w:pStyle w:val="76"/>
              <w:spacing w:line="500" w:lineRule="exact"/>
              <w:ind w:firstLine="480"/>
            </w:pPr>
            <w:r>
              <w:t>企业主要生产设施分为三个单元，聚酯单元、纺丝单元、加弹单元。一期项目及二期、三期项目上下游流向图见图2-1。企业主要生产流程为：外购PTA颗粒、乙二醇等原料通过聚酯单元生产中间产物聚酯熔体，聚酯熔体全部通过纺丝单元生产POY、FDY、BEY复合丝、涤锦复合丝等涤纶长丝产品。部分POY产品作为原料通过加弹单元生产DTY。目前一期项目共计300万吨/年聚酯熔体、227万吨/年POY涤纶长丝、73万吨/年FDY涤纶长丝、145.4万吨/年DTY涤纶长丝产能。其中</w:t>
            </w:r>
            <w:r>
              <w:rPr>
                <w:rFonts w:hint="eastAsia"/>
              </w:rPr>
              <w:t>，</w:t>
            </w:r>
            <w:r>
              <w:t>成子河西侧厂区共计100万吨/年聚酯熔体（聚酯车间1-2）、227万吨/年POY涤纶长丝（纺丝车间1-2）、73万吨/年FDY涤纶长丝（纺丝车间1-2）、145.4万吨/年DTY涤纶长丝（加弹车间1-2）产能。目前一期项目已完成一阶段环保竣工验收，现有50万吨/年聚酯熔体（聚酯车间1）、44万吨/年POY涤纶长丝（纺丝车间1）、6万吨/年FDY涤纶长丝（纺丝车间1）产能。成子河西侧厂区剩余主要生产单元（聚酯车间2、纺丝车间2、加弹车间1-2）其中聚酯车间2（50万吨/年聚酯熔体）按照一期项目环评进行建设，加弹车间1-2（145.4万吨/年DTY涤纶长丝）暂不建设。原纺丝车间2</w:t>
            </w:r>
            <w:r>
              <w:rPr>
                <w:lang w:val="zh-CN"/>
              </w:rPr>
              <w:t>（P</w:t>
            </w:r>
            <w:r>
              <w:t>OY</w:t>
            </w:r>
            <w:r>
              <w:rPr>
                <w:lang w:val="zh-CN"/>
              </w:rPr>
              <w:t>33.3万吨/年，</w:t>
            </w:r>
            <w:r>
              <w:t>FDY</w:t>
            </w:r>
            <w:r>
              <w:rPr>
                <w:lang w:val="zh-CN"/>
              </w:rPr>
              <w:t>16.7万吨/年，共计50万吨/年）生产线及产品方案重新设计，并于三期项目新增切片纺丝工艺，由原来的“14条POY生产线、8条FDY生产线”更改为二期项目纺丝 “6条POY生产线、4条FDY生产线”及三期项目纺丝“4条POY生产线、3条BEY生产线、1条涤锦生产线”。其中三期项目3条BEY生产线、1条涤锦生产线均为切片纺丝+熔体直纺。最终形成</w:t>
            </w:r>
            <w:r>
              <w:t>POY</w:t>
            </w:r>
            <w:r>
              <w:rPr>
                <w:lang w:val="zh-CN"/>
              </w:rPr>
              <w:t xml:space="preserve"> 24.89万吨/年、</w:t>
            </w:r>
            <w:r>
              <w:t>FDY</w:t>
            </w:r>
            <w:r>
              <w:rPr>
                <w:lang w:val="zh-CN"/>
              </w:rPr>
              <w:t xml:space="preserve"> 20.11万吨/年、BEY 6万吨/年、涤锦4万吨/年，共计55万吨/年涤纶长丝产能。</w:t>
            </w:r>
          </w:p>
          <w:p w14:paraId="39A1A5A1">
            <w:pPr>
              <w:pStyle w:val="76"/>
              <w:spacing w:line="500" w:lineRule="exact"/>
              <w:ind w:firstLine="480"/>
            </w:pPr>
            <w:r>
              <w:t>二期项目、三期项目将同期开展建设，建设内容及评价范围见表2-</w:t>
            </w:r>
            <w:r>
              <w:rPr>
                <w:rFonts w:hint="eastAsia"/>
              </w:rPr>
              <w:t>2</w:t>
            </w:r>
            <w:r>
              <w:t>。</w:t>
            </w:r>
          </w:p>
          <w:p w14:paraId="095BE975">
            <w:pPr>
              <w:pStyle w:val="76"/>
              <w:spacing w:line="500" w:lineRule="exact"/>
              <w:ind w:firstLine="480"/>
            </w:pPr>
            <w:r>
              <w:t>二期、三期项目主体工程、公辅工程与现有项目关系，具体见表2-</w:t>
            </w:r>
            <w:r>
              <w:rPr>
                <w:rFonts w:hint="eastAsia"/>
              </w:rPr>
              <w:t>3</w:t>
            </w:r>
            <w:r>
              <w:t>。</w:t>
            </w:r>
          </w:p>
          <w:p w14:paraId="2617EA6C">
            <w:pPr>
              <w:pStyle w:val="87"/>
              <w:spacing w:line="240" w:lineRule="auto"/>
            </w:pPr>
          </w:p>
        </w:tc>
      </w:tr>
    </w:tbl>
    <w:p w14:paraId="5A9460F5">
      <w:pPr>
        <w:pStyle w:val="106"/>
        <w:ind w:firstLine="0" w:firstLineChars="0"/>
        <w:rPr>
          <w:snapToGrid w:val="0"/>
        </w:rPr>
        <w:sectPr>
          <w:footerReference r:id="rId8" w:type="default"/>
          <w:pgSz w:w="11906" w:h="16838"/>
          <w:pgMar w:top="1440" w:right="1800" w:bottom="1440" w:left="1800" w:header="851" w:footer="851" w:gutter="0"/>
          <w:cols w:space="720" w:num="1"/>
          <w:docGrid w:linePitch="312" w:charSpace="0"/>
        </w:sect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48"/>
      </w:tblGrid>
      <w:tr w14:paraId="3BC9E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0" w:hRule="atLeast"/>
        </w:trPr>
        <w:tc>
          <w:tcPr>
            <w:tcW w:w="13948" w:type="dxa"/>
            <w:tcBorders>
              <w:top w:val="single" w:color="auto" w:sz="8" w:space="0"/>
              <w:left w:val="single" w:color="auto" w:sz="8" w:space="0"/>
              <w:bottom w:val="single" w:color="auto" w:sz="8" w:space="0"/>
              <w:right w:val="single" w:color="auto" w:sz="8" w:space="0"/>
            </w:tcBorders>
          </w:tcPr>
          <w:p w14:paraId="72C8820A">
            <w:pPr>
              <w:pStyle w:val="2"/>
              <w:jc w:val="center"/>
              <w:rPr>
                <w:rFonts w:eastAsiaTheme="minorEastAsia"/>
                <w:b/>
                <w:bCs/>
                <w:sz w:val="21"/>
                <w:szCs w:val="21"/>
              </w:rPr>
            </w:pPr>
            <w:r>
              <w:object>
                <v:shape id="_x0000_i1025" o:spt="75" type="#_x0000_t75" style="height:371.75pt;width:471.2pt;" o:ole="t" filled="f" o:preferrelative="t" stroked="f" coordsize="21600,21600">
                  <v:path/>
                  <v:fill on="f" focussize="0,0"/>
                  <v:stroke on="f" joinstyle="miter"/>
                  <v:imagedata r:id="rId11" o:title=""/>
                  <o:lock v:ext="edit" aspectratio="t"/>
                  <w10:wrap type="none"/>
                  <w10:anchorlock/>
                </v:shape>
                <o:OLEObject Type="Embed" ProgID="Visio.Drawing.15" ShapeID="_x0000_i1025" DrawAspect="Content" ObjectID="_1468075725" r:id="rId10">
                  <o:LockedField>false</o:LockedField>
                </o:OLEObject>
              </w:object>
            </w:r>
          </w:p>
          <w:p w14:paraId="6877B041">
            <w:pPr>
              <w:pStyle w:val="2"/>
              <w:jc w:val="center"/>
              <w:rPr>
                <w:rFonts w:eastAsiaTheme="minorEastAsia"/>
                <w:b/>
                <w:bCs/>
                <w:sz w:val="21"/>
                <w:szCs w:val="21"/>
              </w:rPr>
            </w:pPr>
            <w:r>
              <w:rPr>
                <w:rFonts w:eastAsiaTheme="minorEastAsia"/>
                <w:b/>
                <w:bCs/>
                <w:sz w:val="21"/>
                <w:szCs w:val="21"/>
              </w:rPr>
              <w:t>图2-1  一期项目、二期项目、三期项目上下游流向图（原料用量及产品产能单位：万吨/年）</w:t>
            </w:r>
          </w:p>
          <w:p w14:paraId="52B18E58">
            <w:pPr>
              <w:pStyle w:val="77"/>
              <w:spacing w:line="240" w:lineRule="auto"/>
              <w:rPr>
                <w:sz w:val="21"/>
                <w:szCs w:val="21"/>
              </w:rPr>
            </w:pPr>
            <w:r>
              <w:rPr>
                <w:bCs w:val="0"/>
                <w:sz w:val="21"/>
                <w:szCs w:val="21"/>
              </w:rPr>
              <w:t>表2-</w:t>
            </w:r>
            <w:r>
              <w:rPr>
                <w:rFonts w:hint="eastAsia"/>
                <w:bCs w:val="0"/>
                <w:sz w:val="21"/>
                <w:szCs w:val="21"/>
              </w:rPr>
              <w:t>2</w:t>
            </w:r>
            <w:r>
              <w:rPr>
                <w:bCs w:val="0"/>
                <w:sz w:val="21"/>
                <w:szCs w:val="21"/>
              </w:rPr>
              <w:t xml:space="preserve"> 二期、三期项目建设内容及评价范围</w:t>
            </w:r>
          </w:p>
          <w:tbl>
            <w:tblPr>
              <w:tblStyle w:val="9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2141"/>
              <w:gridCol w:w="2612"/>
              <w:gridCol w:w="1557"/>
              <w:gridCol w:w="2162"/>
              <w:gridCol w:w="3280"/>
              <w:gridCol w:w="1543"/>
            </w:tblGrid>
            <w:tr w14:paraId="7B1101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vAlign w:val="center"/>
                </w:tcPr>
                <w:p w14:paraId="00AEB2EB">
                  <w:pPr>
                    <w:pStyle w:val="76"/>
                    <w:spacing w:line="240" w:lineRule="auto"/>
                    <w:ind w:firstLine="0" w:firstLineChars="0"/>
                    <w:jc w:val="center"/>
                    <w:rPr>
                      <w:b/>
                      <w:bCs/>
                      <w:sz w:val="21"/>
                      <w:szCs w:val="21"/>
                    </w:rPr>
                  </w:pPr>
                  <w:bookmarkStart w:id="24" w:name="OLE_LINK25"/>
                  <w:r>
                    <w:rPr>
                      <w:b/>
                      <w:bCs/>
                      <w:sz w:val="21"/>
                      <w:szCs w:val="21"/>
                    </w:rPr>
                    <w:t>序号</w:t>
                  </w:r>
                </w:p>
              </w:tc>
              <w:tc>
                <w:tcPr>
                  <w:tcW w:w="0" w:type="auto"/>
                  <w:gridSpan w:val="3"/>
                  <w:vAlign w:val="center"/>
                </w:tcPr>
                <w:p w14:paraId="491298E5">
                  <w:pPr>
                    <w:pStyle w:val="76"/>
                    <w:spacing w:line="240" w:lineRule="auto"/>
                    <w:ind w:firstLine="0" w:firstLineChars="0"/>
                    <w:jc w:val="center"/>
                    <w:rPr>
                      <w:b/>
                      <w:bCs/>
                      <w:sz w:val="21"/>
                      <w:szCs w:val="21"/>
                    </w:rPr>
                  </w:pPr>
                  <w:r>
                    <w:rPr>
                      <w:b/>
                      <w:bCs/>
                      <w:sz w:val="21"/>
                      <w:szCs w:val="21"/>
                    </w:rPr>
                    <w:t>二期项目</w:t>
                  </w:r>
                </w:p>
              </w:tc>
              <w:tc>
                <w:tcPr>
                  <w:tcW w:w="0" w:type="auto"/>
                  <w:gridSpan w:val="3"/>
                  <w:vAlign w:val="center"/>
                </w:tcPr>
                <w:p w14:paraId="69805385">
                  <w:pPr>
                    <w:pStyle w:val="76"/>
                    <w:spacing w:line="240" w:lineRule="auto"/>
                    <w:ind w:firstLine="0" w:firstLineChars="0"/>
                    <w:jc w:val="center"/>
                    <w:rPr>
                      <w:b/>
                      <w:bCs/>
                      <w:sz w:val="21"/>
                      <w:szCs w:val="21"/>
                    </w:rPr>
                  </w:pPr>
                  <w:r>
                    <w:rPr>
                      <w:b/>
                      <w:bCs/>
                      <w:sz w:val="21"/>
                      <w:szCs w:val="21"/>
                    </w:rPr>
                    <w:t>三期项目</w:t>
                  </w:r>
                </w:p>
              </w:tc>
            </w:tr>
            <w:tr w14:paraId="588757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567F6300">
                  <w:pPr>
                    <w:pStyle w:val="76"/>
                    <w:spacing w:line="240" w:lineRule="auto"/>
                    <w:ind w:firstLine="0" w:firstLineChars="0"/>
                    <w:jc w:val="center"/>
                    <w:rPr>
                      <w:b/>
                      <w:bCs/>
                      <w:sz w:val="21"/>
                      <w:szCs w:val="21"/>
                    </w:rPr>
                  </w:pPr>
                </w:p>
              </w:tc>
              <w:tc>
                <w:tcPr>
                  <w:tcW w:w="2141" w:type="dxa"/>
                  <w:vAlign w:val="center"/>
                </w:tcPr>
                <w:p w14:paraId="7005DA21">
                  <w:pPr>
                    <w:pStyle w:val="76"/>
                    <w:spacing w:line="240" w:lineRule="auto"/>
                    <w:ind w:firstLine="0" w:firstLineChars="0"/>
                    <w:jc w:val="center"/>
                    <w:rPr>
                      <w:b/>
                      <w:bCs/>
                      <w:sz w:val="21"/>
                      <w:szCs w:val="21"/>
                    </w:rPr>
                  </w:pPr>
                  <w:r>
                    <w:rPr>
                      <w:b/>
                      <w:bCs/>
                      <w:sz w:val="21"/>
                      <w:szCs w:val="21"/>
                    </w:rPr>
                    <w:t>项目备案内容</w:t>
                  </w:r>
                </w:p>
              </w:tc>
              <w:tc>
                <w:tcPr>
                  <w:tcW w:w="2612" w:type="dxa"/>
                  <w:vAlign w:val="center"/>
                </w:tcPr>
                <w:p w14:paraId="2B8E09BE">
                  <w:pPr>
                    <w:pStyle w:val="76"/>
                    <w:spacing w:line="240" w:lineRule="auto"/>
                    <w:ind w:firstLine="0" w:firstLineChars="0"/>
                    <w:jc w:val="center"/>
                    <w:rPr>
                      <w:b/>
                      <w:bCs/>
                      <w:sz w:val="21"/>
                      <w:szCs w:val="21"/>
                    </w:rPr>
                  </w:pPr>
                  <w:r>
                    <w:rPr>
                      <w:b/>
                      <w:bCs/>
                      <w:sz w:val="21"/>
                      <w:szCs w:val="21"/>
                    </w:rPr>
                    <w:t>建设内容</w:t>
                  </w:r>
                </w:p>
              </w:tc>
              <w:tc>
                <w:tcPr>
                  <w:tcW w:w="1557" w:type="dxa"/>
                  <w:vAlign w:val="center"/>
                </w:tcPr>
                <w:p w14:paraId="03188B47">
                  <w:pPr>
                    <w:pStyle w:val="76"/>
                    <w:spacing w:line="240" w:lineRule="auto"/>
                    <w:ind w:firstLine="0" w:firstLineChars="0"/>
                    <w:jc w:val="center"/>
                    <w:rPr>
                      <w:b/>
                      <w:bCs/>
                      <w:sz w:val="21"/>
                      <w:szCs w:val="21"/>
                    </w:rPr>
                  </w:pPr>
                  <w:r>
                    <w:rPr>
                      <w:b/>
                      <w:bCs/>
                      <w:sz w:val="21"/>
                      <w:szCs w:val="21"/>
                    </w:rPr>
                    <w:t>是否在评价范围</w:t>
                  </w:r>
                </w:p>
              </w:tc>
              <w:tc>
                <w:tcPr>
                  <w:tcW w:w="2162" w:type="dxa"/>
                  <w:vAlign w:val="center"/>
                </w:tcPr>
                <w:p w14:paraId="5FA3E0AF">
                  <w:pPr>
                    <w:pStyle w:val="76"/>
                    <w:spacing w:line="240" w:lineRule="auto"/>
                    <w:ind w:firstLine="0" w:firstLineChars="0"/>
                    <w:jc w:val="center"/>
                    <w:rPr>
                      <w:b/>
                      <w:bCs/>
                      <w:sz w:val="21"/>
                      <w:szCs w:val="21"/>
                    </w:rPr>
                  </w:pPr>
                  <w:r>
                    <w:rPr>
                      <w:b/>
                      <w:bCs/>
                      <w:sz w:val="21"/>
                      <w:szCs w:val="21"/>
                    </w:rPr>
                    <w:t>备案内容</w:t>
                  </w:r>
                </w:p>
              </w:tc>
              <w:tc>
                <w:tcPr>
                  <w:tcW w:w="3280" w:type="dxa"/>
                  <w:vAlign w:val="center"/>
                </w:tcPr>
                <w:p w14:paraId="2CEF74C4">
                  <w:pPr>
                    <w:pStyle w:val="76"/>
                    <w:spacing w:line="240" w:lineRule="auto"/>
                    <w:ind w:firstLine="0" w:firstLineChars="0"/>
                    <w:jc w:val="center"/>
                    <w:rPr>
                      <w:b/>
                      <w:bCs/>
                      <w:sz w:val="21"/>
                      <w:szCs w:val="21"/>
                    </w:rPr>
                  </w:pPr>
                  <w:r>
                    <w:rPr>
                      <w:b/>
                      <w:bCs/>
                      <w:sz w:val="21"/>
                      <w:szCs w:val="21"/>
                    </w:rPr>
                    <w:t>建设内容</w:t>
                  </w:r>
                </w:p>
              </w:tc>
              <w:tc>
                <w:tcPr>
                  <w:tcW w:w="1543" w:type="dxa"/>
                  <w:vAlign w:val="center"/>
                </w:tcPr>
                <w:p w14:paraId="795F4FDA">
                  <w:pPr>
                    <w:pStyle w:val="76"/>
                    <w:spacing w:line="240" w:lineRule="auto"/>
                    <w:ind w:firstLine="0" w:firstLineChars="0"/>
                    <w:jc w:val="center"/>
                    <w:rPr>
                      <w:b/>
                      <w:bCs/>
                      <w:sz w:val="21"/>
                      <w:szCs w:val="21"/>
                    </w:rPr>
                  </w:pPr>
                  <w:r>
                    <w:rPr>
                      <w:b/>
                      <w:bCs/>
                      <w:sz w:val="21"/>
                      <w:szCs w:val="21"/>
                    </w:rPr>
                    <w:t>是否在评价范围</w:t>
                  </w:r>
                </w:p>
              </w:tc>
            </w:tr>
            <w:tr w14:paraId="3AA911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0" w:type="auto"/>
                  <w:vAlign w:val="center"/>
                </w:tcPr>
                <w:p w14:paraId="5B31ECE7">
                  <w:pPr>
                    <w:pStyle w:val="76"/>
                    <w:spacing w:line="240" w:lineRule="auto"/>
                    <w:ind w:firstLine="0" w:firstLineChars="0"/>
                    <w:jc w:val="center"/>
                    <w:rPr>
                      <w:sz w:val="21"/>
                      <w:szCs w:val="21"/>
                    </w:rPr>
                  </w:pPr>
                  <w:r>
                    <w:rPr>
                      <w:sz w:val="21"/>
                      <w:szCs w:val="21"/>
                    </w:rPr>
                    <w:t>1</w:t>
                  </w:r>
                </w:p>
              </w:tc>
              <w:tc>
                <w:tcPr>
                  <w:tcW w:w="2141" w:type="dxa"/>
                  <w:vAlign w:val="center"/>
                </w:tcPr>
                <w:p w14:paraId="255A40DF">
                  <w:pPr>
                    <w:pStyle w:val="76"/>
                    <w:spacing w:line="240" w:lineRule="auto"/>
                    <w:ind w:firstLine="0" w:firstLineChars="0"/>
                    <w:jc w:val="center"/>
                    <w:rPr>
                      <w:sz w:val="21"/>
                      <w:szCs w:val="21"/>
                    </w:rPr>
                  </w:pPr>
                  <w:r>
                    <w:rPr>
                      <w:sz w:val="21"/>
                      <w:szCs w:val="21"/>
                    </w:rPr>
                    <w:t>建设聚酯装置、纺丝装置、仓库、员工生活配套设施等。</w:t>
                  </w:r>
                </w:p>
              </w:tc>
              <w:tc>
                <w:tcPr>
                  <w:tcW w:w="2612" w:type="dxa"/>
                  <w:vAlign w:val="center"/>
                </w:tcPr>
                <w:p w14:paraId="12777485">
                  <w:pPr>
                    <w:pStyle w:val="76"/>
                    <w:spacing w:line="240" w:lineRule="auto"/>
                    <w:ind w:firstLine="0" w:firstLineChars="0"/>
                    <w:jc w:val="center"/>
                    <w:rPr>
                      <w:sz w:val="21"/>
                      <w:szCs w:val="21"/>
                    </w:rPr>
                  </w:pPr>
                  <w:r>
                    <w:rPr>
                      <w:sz w:val="21"/>
                      <w:szCs w:val="21"/>
                    </w:rPr>
                    <w:t>聚酯车间2、纺丝车间2、PTA库2、换热站1、换热站2、员工宿舍、汽拖空压站</w:t>
                  </w:r>
                </w:p>
              </w:tc>
              <w:tc>
                <w:tcPr>
                  <w:tcW w:w="1557" w:type="dxa"/>
                  <w:vAlign w:val="center"/>
                </w:tcPr>
                <w:p w14:paraId="0BBDCD10">
                  <w:pPr>
                    <w:pStyle w:val="76"/>
                    <w:spacing w:line="240" w:lineRule="auto"/>
                    <w:ind w:firstLine="0" w:firstLineChars="0"/>
                    <w:jc w:val="center"/>
                    <w:rPr>
                      <w:sz w:val="21"/>
                      <w:szCs w:val="21"/>
                    </w:rPr>
                  </w:pPr>
                  <w:r>
                    <w:rPr>
                      <w:sz w:val="21"/>
                      <w:szCs w:val="21"/>
                    </w:rPr>
                    <w:t>聚酯车间2、PTA库2为一期项目续建内容，不在本次评价范围内，其余建设内容均在本次评价范围内</w:t>
                  </w:r>
                </w:p>
              </w:tc>
              <w:tc>
                <w:tcPr>
                  <w:tcW w:w="2162" w:type="dxa"/>
                  <w:vAlign w:val="center"/>
                </w:tcPr>
                <w:p w14:paraId="0B70A1E0">
                  <w:pPr>
                    <w:pStyle w:val="76"/>
                    <w:spacing w:line="240" w:lineRule="auto"/>
                    <w:ind w:firstLine="0" w:firstLineChars="0"/>
                    <w:jc w:val="center"/>
                    <w:rPr>
                      <w:sz w:val="21"/>
                      <w:szCs w:val="21"/>
                    </w:rPr>
                  </w:pPr>
                  <w:r>
                    <w:rPr>
                      <w:sz w:val="21"/>
                      <w:szCs w:val="21"/>
                    </w:rPr>
                    <w:t>建设聚酯装置、纺丝装置、公辅设施、员工生活配套设施等</w:t>
                  </w:r>
                </w:p>
              </w:tc>
              <w:tc>
                <w:tcPr>
                  <w:tcW w:w="3280" w:type="dxa"/>
                  <w:vAlign w:val="center"/>
                </w:tcPr>
                <w:p w14:paraId="7AFED7A7">
                  <w:pPr>
                    <w:pStyle w:val="76"/>
                    <w:spacing w:line="240" w:lineRule="auto"/>
                    <w:ind w:firstLine="0" w:firstLineChars="0"/>
                    <w:jc w:val="center"/>
                    <w:rPr>
                      <w:sz w:val="21"/>
                      <w:szCs w:val="21"/>
                    </w:rPr>
                  </w:pPr>
                  <w:r>
                    <w:rPr>
                      <w:sz w:val="21"/>
                      <w:szCs w:val="21"/>
                    </w:rPr>
                    <w:t>聚酯车间2、纺丝车间2、废丝回收系统、乙二醇罐区2、立体库5</w:t>
                  </w:r>
                </w:p>
              </w:tc>
              <w:tc>
                <w:tcPr>
                  <w:tcW w:w="1543" w:type="dxa"/>
                  <w:vAlign w:val="center"/>
                </w:tcPr>
                <w:p w14:paraId="1DA4143C">
                  <w:pPr>
                    <w:pStyle w:val="76"/>
                    <w:spacing w:line="240" w:lineRule="auto"/>
                    <w:ind w:firstLine="0" w:firstLineChars="0"/>
                    <w:jc w:val="center"/>
                    <w:rPr>
                      <w:sz w:val="21"/>
                      <w:szCs w:val="21"/>
                    </w:rPr>
                  </w:pPr>
                  <w:r>
                    <w:rPr>
                      <w:sz w:val="21"/>
                      <w:szCs w:val="21"/>
                    </w:rPr>
                    <w:t>聚酯车间2为一期项目续建内容，不在本次评价范围内，其余建设内容均在本次评价范围内</w:t>
                  </w:r>
                </w:p>
              </w:tc>
            </w:tr>
            <w:tr w14:paraId="2B3014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0" w:type="auto"/>
                  <w:vAlign w:val="center"/>
                </w:tcPr>
                <w:p w14:paraId="03095FBD">
                  <w:pPr>
                    <w:pStyle w:val="76"/>
                    <w:spacing w:line="240" w:lineRule="auto"/>
                    <w:ind w:firstLine="0" w:firstLineChars="0"/>
                    <w:jc w:val="center"/>
                    <w:rPr>
                      <w:sz w:val="21"/>
                      <w:szCs w:val="21"/>
                    </w:rPr>
                  </w:pPr>
                  <w:r>
                    <w:rPr>
                      <w:sz w:val="21"/>
                      <w:szCs w:val="21"/>
                    </w:rPr>
                    <w:t>2</w:t>
                  </w:r>
                </w:p>
              </w:tc>
              <w:tc>
                <w:tcPr>
                  <w:tcW w:w="2141" w:type="dxa"/>
                  <w:vAlign w:val="center"/>
                </w:tcPr>
                <w:p w14:paraId="19AA81F2">
                  <w:pPr>
                    <w:pStyle w:val="76"/>
                    <w:spacing w:line="240" w:lineRule="auto"/>
                    <w:ind w:firstLine="0" w:firstLineChars="0"/>
                    <w:jc w:val="center"/>
                    <w:rPr>
                      <w:sz w:val="21"/>
                      <w:szCs w:val="21"/>
                    </w:rPr>
                  </w:pPr>
                  <w:r>
                    <w:rPr>
                      <w:sz w:val="21"/>
                      <w:szCs w:val="21"/>
                    </w:rPr>
                    <w:t>项目外购原材料PTA、乙二醇</w:t>
                  </w:r>
                </w:p>
              </w:tc>
              <w:tc>
                <w:tcPr>
                  <w:tcW w:w="2612" w:type="dxa"/>
                  <w:vAlign w:val="center"/>
                </w:tcPr>
                <w:p w14:paraId="3D47E1CE">
                  <w:pPr>
                    <w:pStyle w:val="76"/>
                    <w:spacing w:line="240" w:lineRule="auto"/>
                    <w:ind w:firstLine="0" w:firstLineChars="0"/>
                    <w:jc w:val="center"/>
                    <w:rPr>
                      <w:sz w:val="21"/>
                      <w:szCs w:val="21"/>
                    </w:rPr>
                  </w:pPr>
                  <w:r>
                    <w:rPr>
                      <w:sz w:val="21"/>
                      <w:szCs w:val="21"/>
                    </w:rPr>
                    <w:t>新建PTA库2</w:t>
                  </w:r>
                </w:p>
              </w:tc>
              <w:tc>
                <w:tcPr>
                  <w:tcW w:w="1557" w:type="dxa"/>
                  <w:vAlign w:val="center"/>
                </w:tcPr>
                <w:p w14:paraId="09AE71DB">
                  <w:pPr>
                    <w:pStyle w:val="76"/>
                    <w:spacing w:line="240" w:lineRule="auto"/>
                    <w:ind w:firstLine="0" w:firstLineChars="0"/>
                    <w:jc w:val="center"/>
                    <w:rPr>
                      <w:sz w:val="21"/>
                      <w:szCs w:val="21"/>
                    </w:rPr>
                  </w:pPr>
                  <w:r>
                    <w:rPr>
                      <w:sz w:val="21"/>
                      <w:szCs w:val="21"/>
                    </w:rPr>
                    <w:t>否，PTA库2为一期项目续建内容</w:t>
                  </w:r>
                </w:p>
              </w:tc>
              <w:tc>
                <w:tcPr>
                  <w:tcW w:w="2162" w:type="dxa"/>
                  <w:vAlign w:val="center"/>
                </w:tcPr>
                <w:p w14:paraId="0452A61E">
                  <w:pPr>
                    <w:pStyle w:val="76"/>
                    <w:spacing w:line="240" w:lineRule="auto"/>
                    <w:ind w:firstLine="0" w:firstLineChars="0"/>
                    <w:jc w:val="center"/>
                    <w:rPr>
                      <w:sz w:val="21"/>
                      <w:szCs w:val="21"/>
                    </w:rPr>
                  </w:pPr>
                  <w:r>
                    <w:rPr>
                      <w:sz w:val="21"/>
                      <w:szCs w:val="21"/>
                    </w:rPr>
                    <w:t>项目外购原材料PTA、乙二醇</w:t>
                  </w:r>
                </w:p>
              </w:tc>
              <w:tc>
                <w:tcPr>
                  <w:tcW w:w="3280" w:type="dxa"/>
                  <w:vAlign w:val="center"/>
                </w:tcPr>
                <w:p w14:paraId="71BB9248">
                  <w:pPr>
                    <w:pStyle w:val="76"/>
                    <w:spacing w:line="240" w:lineRule="auto"/>
                    <w:ind w:firstLine="0" w:firstLineChars="0"/>
                    <w:jc w:val="center"/>
                    <w:rPr>
                      <w:sz w:val="21"/>
                      <w:szCs w:val="21"/>
                    </w:rPr>
                  </w:pPr>
                  <w:r>
                    <w:rPr>
                      <w:sz w:val="21"/>
                      <w:szCs w:val="21"/>
                    </w:rPr>
                    <w:t>新建乙二醇储罐2，外购PA6切片、PBT切片贮存于一期一阶段已验收辅材库</w:t>
                  </w:r>
                </w:p>
              </w:tc>
              <w:tc>
                <w:tcPr>
                  <w:tcW w:w="1543" w:type="dxa"/>
                  <w:vAlign w:val="center"/>
                </w:tcPr>
                <w:p w14:paraId="43E7B5A3">
                  <w:pPr>
                    <w:pStyle w:val="76"/>
                    <w:spacing w:line="240" w:lineRule="auto"/>
                    <w:ind w:firstLine="0" w:firstLineChars="0"/>
                    <w:jc w:val="center"/>
                    <w:rPr>
                      <w:sz w:val="21"/>
                      <w:szCs w:val="21"/>
                    </w:rPr>
                  </w:pPr>
                  <w:r>
                    <w:rPr>
                      <w:sz w:val="21"/>
                      <w:szCs w:val="21"/>
                    </w:rPr>
                    <w:t>是，考虑未来聚酯产能增加带来的原料需求，减缓周转频次，适当延长储运时间，维持生产线的稳定运行。本次拟在现有罐区旁空地新增2台储罐</w:t>
                  </w:r>
                </w:p>
              </w:tc>
            </w:tr>
            <w:tr w14:paraId="501953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0" w:type="auto"/>
                  <w:vMerge w:val="restart"/>
                  <w:vAlign w:val="center"/>
                </w:tcPr>
                <w:p w14:paraId="6E837DCE">
                  <w:pPr>
                    <w:pStyle w:val="76"/>
                    <w:spacing w:line="240" w:lineRule="auto"/>
                    <w:ind w:firstLine="0" w:firstLineChars="0"/>
                    <w:jc w:val="center"/>
                    <w:rPr>
                      <w:sz w:val="21"/>
                      <w:szCs w:val="21"/>
                    </w:rPr>
                  </w:pPr>
                  <w:r>
                    <w:rPr>
                      <w:sz w:val="21"/>
                      <w:szCs w:val="21"/>
                    </w:rPr>
                    <w:t>3</w:t>
                  </w:r>
                </w:p>
              </w:tc>
              <w:tc>
                <w:tcPr>
                  <w:tcW w:w="2141" w:type="dxa"/>
                  <w:vMerge w:val="restart"/>
                  <w:vAlign w:val="center"/>
                </w:tcPr>
                <w:p w14:paraId="457E3827">
                  <w:pPr>
                    <w:pStyle w:val="76"/>
                    <w:spacing w:line="240" w:lineRule="auto"/>
                    <w:ind w:firstLine="0" w:firstLineChars="0"/>
                    <w:jc w:val="center"/>
                    <w:rPr>
                      <w:sz w:val="21"/>
                      <w:szCs w:val="21"/>
                    </w:rPr>
                  </w:pPr>
                  <w:r>
                    <w:rPr>
                      <w:sz w:val="21"/>
                      <w:szCs w:val="21"/>
                    </w:rPr>
                    <w:t>引进卷绕机、减速机等设备109台（套），购置国产聚酯、纺丝设备、空调机组、公辅设备等设备约29000台（套）</w:t>
                  </w:r>
                </w:p>
              </w:tc>
              <w:tc>
                <w:tcPr>
                  <w:tcW w:w="2612" w:type="dxa"/>
                  <w:vAlign w:val="center"/>
                </w:tcPr>
                <w:p w14:paraId="163D14CD">
                  <w:pPr>
                    <w:pStyle w:val="76"/>
                    <w:spacing w:line="240" w:lineRule="auto"/>
                    <w:ind w:firstLine="0" w:firstLineChars="0"/>
                    <w:jc w:val="center"/>
                    <w:rPr>
                      <w:sz w:val="21"/>
                      <w:szCs w:val="21"/>
                    </w:rPr>
                  </w:pPr>
                  <w:r>
                    <w:rPr>
                      <w:sz w:val="21"/>
                      <w:szCs w:val="21"/>
                    </w:rPr>
                    <w:t>聚酯车间2（聚酯装置CP3，25万吨）</w:t>
                  </w:r>
                </w:p>
              </w:tc>
              <w:tc>
                <w:tcPr>
                  <w:tcW w:w="1557" w:type="dxa"/>
                  <w:vAlign w:val="center"/>
                </w:tcPr>
                <w:p w14:paraId="4053ADC7">
                  <w:pPr>
                    <w:pStyle w:val="76"/>
                    <w:spacing w:line="240" w:lineRule="auto"/>
                    <w:ind w:firstLine="0" w:firstLineChars="0"/>
                    <w:jc w:val="center"/>
                    <w:rPr>
                      <w:sz w:val="21"/>
                      <w:szCs w:val="21"/>
                    </w:rPr>
                  </w:pPr>
                  <w:r>
                    <w:rPr>
                      <w:sz w:val="21"/>
                      <w:szCs w:val="21"/>
                    </w:rPr>
                    <w:t>否，聚酯车间1为一期项目续建内容</w:t>
                  </w:r>
                </w:p>
              </w:tc>
              <w:tc>
                <w:tcPr>
                  <w:tcW w:w="2162" w:type="dxa"/>
                  <w:vMerge w:val="restart"/>
                  <w:vAlign w:val="center"/>
                </w:tcPr>
                <w:p w14:paraId="653E72B3">
                  <w:pPr>
                    <w:pStyle w:val="76"/>
                    <w:spacing w:line="240" w:lineRule="auto"/>
                    <w:ind w:firstLine="0" w:firstLineChars="0"/>
                    <w:jc w:val="center"/>
                    <w:rPr>
                      <w:sz w:val="21"/>
                      <w:szCs w:val="21"/>
                    </w:rPr>
                  </w:pPr>
                  <w:r>
                    <w:rPr>
                      <w:sz w:val="21"/>
                      <w:szCs w:val="21"/>
                    </w:rPr>
                    <w:t>引进卷绕机、搅拌器等设备192台（套）；购置国产聚酯、纺丝设备、空调机组、公辅设备、乙二醇储罐以及废丝回收系统等设备约1000台（套）</w:t>
                  </w:r>
                </w:p>
              </w:tc>
              <w:tc>
                <w:tcPr>
                  <w:tcW w:w="3280" w:type="dxa"/>
                  <w:vAlign w:val="center"/>
                </w:tcPr>
                <w:p w14:paraId="27C31AD7">
                  <w:pPr>
                    <w:pStyle w:val="76"/>
                    <w:spacing w:line="240" w:lineRule="auto"/>
                    <w:ind w:firstLine="0" w:firstLineChars="0"/>
                    <w:jc w:val="center"/>
                    <w:rPr>
                      <w:sz w:val="21"/>
                      <w:szCs w:val="21"/>
                    </w:rPr>
                  </w:pPr>
                  <w:r>
                    <w:rPr>
                      <w:sz w:val="21"/>
                      <w:szCs w:val="21"/>
                    </w:rPr>
                    <w:t xml:space="preserve">聚酯装置CP4（25万吨）位于聚酯车间2 </w:t>
                  </w:r>
                </w:p>
              </w:tc>
              <w:tc>
                <w:tcPr>
                  <w:tcW w:w="1543" w:type="dxa"/>
                  <w:vAlign w:val="center"/>
                </w:tcPr>
                <w:p w14:paraId="02E96D78">
                  <w:pPr>
                    <w:pStyle w:val="76"/>
                    <w:spacing w:line="240" w:lineRule="auto"/>
                    <w:ind w:firstLine="0" w:firstLineChars="0"/>
                    <w:jc w:val="center"/>
                    <w:rPr>
                      <w:sz w:val="21"/>
                      <w:szCs w:val="21"/>
                    </w:rPr>
                  </w:pPr>
                  <w:r>
                    <w:rPr>
                      <w:sz w:val="21"/>
                      <w:szCs w:val="21"/>
                    </w:rPr>
                    <w:t>否，聚酯车间2为一期项目续建内容</w:t>
                  </w:r>
                </w:p>
              </w:tc>
            </w:tr>
            <w:tr w14:paraId="201685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0" w:type="auto"/>
                  <w:vMerge w:val="continue"/>
                  <w:vAlign w:val="center"/>
                </w:tcPr>
                <w:p w14:paraId="76A0B8AF">
                  <w:pPr>
                    <w:pStyle w:val="76"/>
                    <w:spacing w:line="240" w:lineRule="auto"/>
                    <w:ind w:firstLine="0" w:firstLineChars="0"/>
                    <w:jc w:val="center"/>
                    <w:rPr>
                      <w:sz w:val="21"/>
                      <w:szCs w:val="21"/>
                    </w:rPr>
                  </w:pPr>
                </w:p>
              </w:tc>
              <w:tc>
                <w:tcPr>
                  <w:tcW w:w="2141" w:type="dxa"/>
                  <w:vMerge w:val="continue"/>
                  <w:vAlign w:val="center"/>
                </w:tcPr>
                <w:p w14:paraId="0ED9F981">
                  <w:pPr>
                    <w:pStyle w:val="76"/>
                    <w:spacing w:line="240" w:lineRule="auto"/>
                    <w:ind w:firstLine="0" w:firstLineChars="0"/>
                    <w:jc w:val="center"/>
                    <w:rPr>
                      <w:sz w:val="21"/>
                      <w:szCs w:val="21"/>
                    </w:rPr>
                  </w:pPr>
                </w:p>
              </w:tc>
              <w:tc>
                <w:tcPr>
                  <w:tcW w:w="2612" w:type="dxa"/>
                  <w:vMerge w:val="restart"/>
                  <w:vAlign w:val="center"/>
                </w:tcPr>
                <w:p w14:paraId="5B457AF1">
                  <w:pPr>
                    <w:pStyle w:val="76"/>
                    <w:spacing w:line="240" w:lineRule="auto"/>
                    <w:ind w:firstLine="0" w:firstLineChars="0"/>
                    <w:jc w:val="center"/>
                    <w:rPr>
                      <w:sz w:val="21"/>
                      <w:szCs w:val="21"/>
                    </w:rPr>
                  </w:pPr>
                  <w:r>
                    <w:rPr>
                      <w:sz w:val="21"/>
                      <w:szCs w:val="21"/>
                    </w:rPr>
                    <w:t>纺丝设备位于：纺丝车间2，包括：6条POY生产线、4条FDY生产线，具体设备清单见表2</w:t>
                  </w:r>
                  <w:r>
                    <w:rPr>
                      <w:rFonts w:hint="eastAsia"/>
                      <w:sz w:val="21"/>
                      <w:szCs w:val="21"/>
                    </w:rPr>
                    <w:t>-8</w:t>
                  </w:r>
                </w:p>
              </w:tc>
              <w:tc>
                <w:tcPr>
                  <w:tcW w:w="1557" w:type="dxa"/>
                  <w:vMerge w:val="restart"/>
                  <w:vAlign w:val="center"/>
                </w:tcPr>
                <w:p w14:paraId="138A486B">
                  <w:pPr>
                    <w:pStyle w:val="76"/>
                    <w:spacing w:line="240" w:lineRule="auto"/>
                    <w:ind w:firstLine="0" w:firstLineChars="0"/>
                    <w:jc w:val="center"/>
                    <w:rPr>
                      <w:sz w:val="21"/>
                      <w:szCs w:val="21"/>
                    </w:rPr>
                  </w:pPr>
                  <w:r>
                    <w:rPr>
                      <w:sz w:val="21"/>
                      <w:szCs w:val="21"/>
                    </w:rPr>
                    <w:t>是</w:t>
                  </w:r>
                </w:p>
              </w:tc>
              <w:tc>
                <w:tcPr>
                  <w:tcW w:w="2162" w:type="dxa"/>
                  <w:vMerge w:val="continue"/>
                  <w:vAlign w:val="center"/>
                </w:tcPr>
                <w:p w14:paraId="3B08F4AF">
                  <w:pPr>
                    <w:pStyle w:val="76"/>
                    <w:spacing w:line="240" w:lineRule="auto"/>
                    <w:ind w:firstLine="0" w:firstLineChars="0"/>
                    <w:jc w:val="center"/>
                    <w:rPr>
                      <w:sz w:val="21"/>
                      <w:szCs w:val="21"/>
                    </w:rPr>
                  </w:pPr>
                </w:p>
              </w:tc>
              <w:tc>
                <w:tcPr>
                  <w:tcW w:w="3280" w:type="dxa"/>
                  <w:vAlign w:val="center"/>
                </w:tcPr>
                <w:p w14:paraId="619F9FCF">
                  <w:pPr>
                    <w:pStyle w:val="76"/>
                    <w:spacing w:line="240" w:lineRule="auto"/>
                    <w:ind w:firstLine="0" w:firstLineChars="0"/>
                    <w:jc w:val="center"/>
                    <w:rPr>
                      <w:sz w:val="21"/>
                      <w:szCs w:val="21"/>
                    </w:rPr>
                  </w:pPr>
                  <w:r>
                    <w:rPr>
                      <w:sz w:val="21"/>
                      <w:szCs w:val="21"/>
                    </w:rPr>
                    <w:t>纺丝设备位于：纺丝车间2，包括4条POY生产线、3条BEY生产线、 1条涤锦生产、4条FDY生产线。具体设备清单见表2-</w:t>
                  </w:r>
                  <w:r>
                    <w:rPr>
                      <w:rFonts w:hint="eastAsia"/>
                      <w:sz w:val="21"/>
                      <w:szCs w:val="21"/>
                    </w:rPr>
                    <w:t>8</w:t>
                  </w:r>
                </w:p>
              </w:tc>
              <w:tc>
                <w:tcPr>
                  <w:tcW w:w="1543" w:type="dxa"/>
                  <w:vAlign w:val="center"/>
                </w:tcPr>
                <w:p w14:paraId="43C2B7EB">
                  <w:pPr>
                    <w:pStyle w:val="76"/>
                    <w:spacing w:line="240" w:lineRule="auto"/>
                    <w:ind w:firstLine="0" w:firstLineChars="0"/>
                    <w:jc w:val="center"/>
                    <w:rPr>
                      <w:sz w:val="21"/>
                      <w:szCs w:val="21"/>
                    </w:rPr>
                  </w:pPr>
                  <w:r>
                    <w:rPr>
                      <w:sz w:val="21"/>
                      <w:szCs w:val="21"/>
                    </w:rPr>
                    <w:t>是</w:t>
                  </w:r>
                </w:p>
              </w:tc>
            </w:tr>
            <w:tr w14:paraId="6465EA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0" w:type="auto"/>
                  <w:vMerge w:val="continue"/>
                  <w:vAlign w:val="center"/>
                </w:tcPr>
                <w:p w14:paraId="1B0DF0CD">
                  <w:pPr>
                    <w:pStyle w:val="76"/>
                    <w:spacing w:line="240" w:lineRule="auto"/>
                    <w:ind w:firstLine="0" w:firstLineChars="0"/>
                    <w:jc w:val="center"/>
                    <w:rPr>
                      <w:sz w:val="21"/>
                      <w:szCs w:val="21"/>
                    </w:rPr>
                  </w:pPr>
                </w:p>
              </w:tc>
              <w:tc>
                <w:tcPr>
                  <w:tcW w:w="2141" w:type="dxa"/>
                  <w:vMerge w:val="continue"/>
                  <w:vAlign w:val="center"/>
                </w:tcPr>
                <w:p w14:paraId="00DBB102">
                  <w:pPr>
                    <w:pStyle w:val="76"/>
                    <w:spacing w:line="240" w:lineRule="auto"/>
                    <w:ind w:firstLine="0" w:firstLineChars="0"/>
                    <w:jc w:val="center"/>
                    <w:rPr>
                      <w:sz w:val="21"/>
                      <w:szCs w:val="21"/>
                    </w:rPr>
                  </w:pPr>
                </w:p>
              </w:tc>
              <w:tc>
                <w:tcPr>
                  <w:tcW w:w="2612" w:type="dxa"/>
                  <w:vMerge w:val="continue"/>
                  <w:vAlign w:val="center"/>
                </w:tcPr>
                <w:p w14:paraId="0722469D">
                  <w:pPr>
                    <w:pStyle w:val="76"/>
                    <w:spacing w:line="240" w:lineRule="auto"/>
                    <w:ind w:firstLine="0" w:firstLineChars="0"/>
                    <w:jc w:val="center"/>
                    <w:rPr>
                      <w:sz w:val="21"/>
                      <w:szCs w:val="21"/>
                    </w:rPr>
                  </w:pPr>
                </w:p>
              </w:tc>
              <w:tc>
                <w:tcPr>
                  <w:tcW w:w="1557" w:type="dxa"/>
                  <w:vMerge w:val="continue"/>
                  <w:vAlign w:val="center"/>
                </w:tcPr>
                <w:p w14:paraId="48FBA0F2">
                  <w:pPr>
                    <w:pStyle w:val="76"/>
                    <w:spacing w:line="240" w:lineRule="auto"/>
                    <w:ind w:firstLine="0" w:firstLineChars="0"/>
                    <w:jc w:val="center"/>
                    <w:rPr>
                      <w:sz w:val="21"/>
                      <w:szCs w:val="21"/>
                    </w:rPr>
                  </w:pPr>
                </w:p>
              </w:tc>
              <w:tc>
                <w:tcPr>
                  <w:tcW w:w="2162" w:type="dxa"/>
                  <w:vMerge w:val="continue"/>
                  <w:vAlign w:val="center"/>
                </w:tcPr>
                <w:p w14:paraId="785A33D2">
                  <w:pPr>
                    <w:pStyle w:val="76"/>
                    <w:spacing w:line="240" w:lineRule="auto"/>
                    <w:ind w:firstLine="0" w:firstLineChars="0"/>
                    <w:jc w:val="center"/>
                    <w:rPr>
                      <w:sz w:val="21"/>
                      <w:szCs w:val="21"/>
                    </w:rPr>
                  </w:pPr>
                </w:p>
              </w:tc>
              <w:tc>
                <w:tcPr>
                  <w:tcW w:w="3280" w:type="dxa"/>
                  <w:vAlign w:val="center"/>
                </w:tcPr>
                <w:p w14:paraId="378307F6">
                  <w:pPr>
                    <w:pStyle w:val="76"/>
                    <w:spacing w:line="240" w:lineRule="auto"/>
                    <w:ind w:firstLine="0" w:firstLineChars="0"/>
                    <w:jc w:val="center"/>
                    <w:rPr>
                      <w:sz w:val="21"/>
                      <w:szCs w:val="21"/>
                    </w:rPr>
                  </w:pPr>
                  <w:r>
                    <w:rPr>
                      <w:sz w:val="21"/>
                      <w:szCs w:val="21"/>
                    </w:rPr>
                    <w:t>2条1.2万吨/年废丝回收系统，具体设备清单见表2-</w:t>
                  </w:r>
                  <w:r>
                    <w:rPr>
                      <w:rFonts w:hint="eastAsia"/>
                      <w:sz w:val="21"/>
                      <w:szCs w:val="21"/>
                    </w:rPr>
                    <w:t>8</w:t>
                  </w:r>
                </w:p>
              </w:tc>
              <w:tc>
                <w:tcPr>
                  <w:tcW w:w="1543" w:type="dxa"/>
                  <w:vAlign w:val="center"/>
                </w:tcPr>
                <w:p w14:paraId="38D527D5">
                  <w:pPr>
                    <w:pStyle w:val="76"/>
                    <w:spacing w:line="240" w:lineRule="auto"/>
                    <w:ind w:firstLine="0" w:firstLineChars="0"/>
                    <w:jc w:val="center"/>
                    <w:rPr>
                      <w:sz w:val="21"/>
                      <w:szCs w:val="21"/>
                    </w:rPr>
                  </w:pPr>
                  <w:r>
                    <w:rPr>
                      <w:sz w:val="21"/>
                      <w:szCs w:val="21"/>
                    </w:rPr>
                    <w:t>是</w:t>
                  </w:r>
                </w:p>
              </w:tc>
            </w:tr>
            <w:tr w14:paraId="7AA363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0" w:type="auto"/>
                  <w:vMerge w:val="continue"/>
                  <w:vAlign w:val="center"/>
                </w:tcPr>
                <w:p w14:paraId="34E00FFA">
                  <w:pPr>
                    <w:pStyle w:val="76"/>
                    <w:spacing w:line="240" w:lineRule="auto"/>
                    <w:ind w:firstLine="0" w:firstLineChars="0"/>
                    <w:jc w:val="center"/>
                    <w:rPr>
                      <w:sz w:val="21"/>
                      <w:szCs w:val="21"/>
                    </w:rPr>
                  </w:pPr>
                </w:p>
              </w:tc>
              <w:tc>
                <w:tcPr>
                  <w:tcW w:w="2141" w:type="dxa"/>
                  <w:vMerge w:val="continue"/>
                  <w:vAlign w:val="center"/>
                </w:tcPr>
                <w:p w14:paraId="12D1A744">
                  <w:pPr>
                    <w:pStyle w:val="76"/>
                    <w:spacing w:line="240" w:lineRule="auto"/>
                    <w:ind w:firstLine="0" w:firstLineChars="0"/>
                    <w:jc w:val="center"/>
                    <w:rPr>
                      <w:sz w:val="21"/>
                      <w:szCs w:val="21"/>
                    </w:rPr>
                  </w:pPr>
                </w:p>
              </w:tc>
              <w:tc>
                <w:tcPr>
                  <w:tcW w:w="2612" w:type="dxa"/>
                  <w:vAlign w:val="center"/>
                </w:tcPr>
                <w:p w14:paraId="100A8D16">
                  <w:pPr>
                    <w:pStyle w:val="76"/>
                    <w:spacing w:line="240" w:lineRule="auto"/>
                    <w:ind w:firstLine="0" w:firstLineChars="0"/>
                    <w:jc w:val="center"/>
                    <w:rPr>
                      <w:sz w:val="21"/>
                      <w:szCs w:val="21"/>
                    </w:rPr>
                  </w:pPr>
                  <w:r>
                    <w:rPr>
                      <w:sz w:val="21"/>
                      <w:szCs w:val="21"/>
                    </w:rPr>
                    <w:t>换热站1、换热站2、汽拖空压站等其他公辅工程，具体设备清单见表2-</w:t>
                  </w:r>
                  <w:r>
                    <w:rPr>
                      <w:rFonts w:hint="eastAsia"/>
                      <w:sz w:val="21"/>
                      <w:szCs w:val="21"/>
                    </w:rPr>
                    <w:t>8</w:t>
                  </w:r>
                </w:p>
              </w:tc>
              <w:tc>
                <w:tcPr>
                  <w:tcW w:w="1557" w:type="dxa"/>
                  <w:vAlign w:val="center"/>
                </w:tcPr>
                <w:p w14:paraId="7FD32D00">
                  <w:pPr>
                    <w:pStyle w:val="76"/>
                    <w:spacing w:line="240" w:lineRule="auto"/>
                    <w:ind w:firstLine="0" w:firstLineChars="0"/>
                    <w:jc w:val="center"/>
                    <w:rPr>
                      <w:sz w:val="21"/>
                      <w:szCs w:val="21"/>
                    </w:rPr>
                  </w:pPr>
                  <w:r>
                    <w:rPr>
                      <w:sz w:val="21"/>
                      <w:szCs w:val="21"/>
                    </w:rPr>
                    <w:t>是，纺丝车间公辅工程，具体设备清单见表2-</w:t>
                  </w:r>
                  <w:r>
                    <w:rPr>
                      <w:rFonts w:hint="eastAsia"/>
                      <w:sz w:val="21"/>
                      <w:szCs w:val="21"/>
                    </w:rPr>
                    <w:t>8</w:t>
                  </w:r>
                </w:p>
              </w:tc>
              <w:tc>
                <w:tcPr>
                  <w:tcW w:w="2162" w:type="dxa"/>
                  <w:vMerge w:val="continue"/>
                  <w:vAlign w:val="center"/>
                </w:tcPr>
                <w:p w14:paraId="6372590D">
                  <w:pPr>
                    <w:pStyle w:val="76"/>
                    <w:spacing w:line="240" w:lineRule="auto"/>
                    <w:ind w:firstLine="0" w:firstLineChars="0"/>
                    <w:jc w:val="center"/>
                    <w:rPr>
                      <w:sz w:val="21"/>
                      <w:szCs w:val="21"/>
                    </w:rPr>
                  </w:pPr>
                </w:p>
              </w:tc>
              <w:tc>
                <w:tcPr>
                  <w:tcW w:w="3280" w:type="dxa"/>
                  <w:vAlign w:val="center"/>
                </w:tcPr>
                <w:p w14:paraId="34CF31E6">
                  <w:pPr>
                    <w:pStyle w:val="76"/>
                    <w:spacing w:line="240" w:lineRule="auto"/>
                    <w:ind w:firstLine="0" w:firstLineChars="0"/>
                    <w:jc w:val="center"/>
                    <w:rPr>
                      <w:sz w:val="21"/>
                      <w:szCs w:val="21"/>
                    </w:rPr>
                  </w:pPr>
                  <w:r>
                    <w:rPr>
                      <w:sz w:val="21"/>
                      <w:szCs w:val="21"/>
                    </w:rPr>
                    <w:t>其他公辅工程，具体设备清单见表2-</w:t>
                  </w:r>
                  <w:r>
                    <w:rPr>
                      <w:rFonts w:hint="eastAsia"/>
                      <w:sz w:val="21"/>
                      <w:szCs w:val="21"/>
                    </w:rPr>
                    <w:t>8</w:t>
                  </w:r>
                </w:p>
              </w:tc>
              <w:tc>
                <w:tcPr>
                  <w:tcW w:w="1543" w:type="dxa"/>
                  <w:vAlign w:val="center"/>
                </w:tcPr>
                <w:p w14:paraId="0BBA06CB">
                  <w:pPr>
                    <w:pStyle w:val="76"/>
                    <w:spacing w:line="240" w:lineRule="auto"/>
                    <w:ind w:firstLine="0" w:firstLineChars="0"/>
                    <w:jc w:val="center"/>
                    <w:rPr>
                      <w:sz w:val="21"/>
                      <w:szCs w:val="21"/>
                    </w:rPr>
                  </w:pPr>
                  <w:r>
                    <w:rPr>
                      <w:sz w:val="21"/>
                      <w:szCs w:val="21"/>
                    </w:rPr>
                    <w:t>是，纺丝车间公辅工程，具体设备清单见表2-</w:t>
                  </w:r>
                  <w:r>
                    <w:rPr>
                      <w:rFonts w:hint="eastAsia"/>
                      <w:sz w:val="21"/>
                      <w:szCs w:val="21"/>
                    </w:rPr>
                    <w:t>8</w:t>
                  </w:r>
                </w:p>
              </w:tc>
            </w:tr>
            <w:tr w14:paraId="57D70A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0" w:type="auto"/>
                  <w:vMerge w:val="restart"/>
                  <w:vAlign w:val="center"/>
                </w:tcPr>
                <w:p w14:paraId="691DAF9D">
                  <w:pPr>
                    <w:pStyle w:val="76"/>
                    <w:spacing w:line="240" w:lineRule="auto"/>
                    <w:ind w:firstLine="0" w:firstLineChars="0"/>
                    <w:jc w:val="center"/>
                    <w:rPr>
                      <w:sz w:val="21"/>
                      <w:szCs w:val="21"/>
                    </w:rPr>
                  </w:pPr>
                  <w:r>
                    <w:rPr>
                      <w:sz w:val="21"/>
                      <w:szCs w:val="21"/>
                    </w:rPr>
                    <w:t>4</w:t>
                  </w:r>
                </w:p>
              </w:tc>
              <w:tc>
                <w:tcPr>
                  <w:tcW w:w="2141" w:type="dxa"/>
                  <w:vMerge w:val="restart"/>
                  <w:vAlign w:val="center"/>
                </w:tcPr>
                <w:p w14:paraId="32E70BDA">
                  <w:pPr>
                    <w:pStyle w:val="76"/>
                    <w:spacing w:line="240" w:lineRule="auto"/>
                    <w:ind w:firstLine="0" w:firstLineChars="0"/>
                    <w:jc w:val="center"/>
                    <w:rPr>
                      <w:sz w:val="21"/>
                      <w:szCs w:val="21"/>
                    </w:rPr>
                  </w:pPr>
                  <w:r>
                    <w:rPr>
                      <w:sz w:val="21"/>
                      <w:szCs w:val="21"/>
                    </w:rPr>
                    <w:t>形成年产25万吨超仿真差别化功能性纤维的能力。</w:t>
                  </w:r>
                </w:p>
              </w:tc>
              <w:tc>
                <w:tcPr>
                  <w:tcW w:w="2612" w:type="dxa"/>
                  <w:vAlign w:val="center"/>
                </w:tcPr>
                <w:p w14:paraId="64BE80A9">
                  <w:pPr>
                    <w:pStyle w:val="76"/>
                    <w:spacing w:line="240" w:lineRule="auto"/>
                    <w:ind w:firstLine="0" w:firstLineChars="0"/>
                    <w:jc w:val="center"/>
                    <w:rPr>
                      <w:sz w:val="21"/>
                      <w:szCs w:val="21"/>
                    </w:rPr>
                  </w:pPr>
                  <w:r>
                    <w:rPr>
                      <w:sz w:val="21"/>
                      <w:szCs w:val="21"/>
                    </w:rPr>
                    <w:t>聚酯产能：聚酯熔体25万吨/年</w:t>
                  </w:r>
                </w:p>
              </w:tc>
              <w:tc>
                <w:tcPr>
                  <w:tcW w:w="1557" w:type="dxa"/>
                  <w:vAlign w:val="center"/>
                </w:tcPr>
                <w:p w14:paraId="7B5AC4C2">
                  <w:pPr>
                    <w:pStyle w:val="76"/>
                    <w:spacing w:line="240" w:lineRule="auto"/>
                    <w:ind w:firstLine="0" w:firstLineChars="0"/>
                    <w:jc w:val="center"/>
                    <w:rPr>
                      <w:sz w:val="21"/>
                      <w:szCs w:val="21"/>
                    </w:rPr>
                  </w:pPr>
                  <w:r>
                    <w:rPr>
                      <w:sz w:val="21"/>
                      <w:szCs w:val="21"/>
                    </w:rPr>
                    <w:t>否，聚酯车间</w:t>
                  </w:r>
                  <w:r>
                    <w:rPr>
                      <w:rFonts w:hint="eastAsia"/>
                      <w:sz w:val="21"/>
                      <w:szCs w:val="21"/>
                    </w:rPr>
                    <w:t>2</w:t>
                  </w:r>
                  <w:r>
                    <w:rPr>
                      <w:sz w:val="21"/>
                      <w:szCs w:val="21"/>
                    </w:rPr>
                    <w:t>按照一期项目环评建设</w:t>
                  </w:r>
                </w:p>
              </w:tc>
              <w:tc>
                <w:tcPr>
                  <w:tcW w:w="2162" w:type="dxa"/>
                  <w:vMerge w:val="restart"/>
                  <w:vAlign w:val="center"/>
                </w:tcPr>
                <w:p w14:paraId="643B3FDC">
                  <w:pPr>
                    <w:pStyle w:val="76"/>
                    <w:spacing w:line="240" w:lineRule="auto"/>
                    <w:ind w:firstLine="0" w:firstLineChars="0"/>
                    <w:jc w:val="center"/>
                    <w:rPr>
                      <w:sz w:val="21"/>
                      <w:szCs w:val="21"/>
                    </w:rPr>
                  </w:pPr>
                  <w:r>
                    <w:rPr>
                      <w:sz w:val="21"/>
                      <w:szCs w:val="21"/>
                    </w:rPr>
                    <w:t>新增建筑面积约9万平米。形成年产30万吨超仿真功能性低碳纤维的能力</w:t>
                  </w:r>
                </w:p>
              </w:tc>
              <w:tc>
                <w:tcPr>
                  <w:tcW w:w="3280" w:type="dxa"/>
                  <w:vAlign w:val="center"/>
                </w:tcPr>
                <w:p w14:paraId="500DBEA7">
                  <w:pPr>
                    <w:pStyle w:val="76"/>
                    <w:spacing w:line="240" w:lineRule="auto"/>
                    <w:ind w:firstLine="0" w:firstLineChars="0"/>
                    <w:jc w:val="center"/>
                    <w:rPr>
                      <w:sz w:val="21"/>
                      <w:szCs w:val="21"/>
                    </w:rPr>
                  </w:pPr>
                  <w:r>
                    <w:rPr>
                      <w:sz w:val="21"/>
                      <w:szCs w:val="21"/>
                    </w:rPr>
                    <w:t>聚酯熔体25万吨/年</w:t>
                  </w:r>
                </w:p>
              </w:tc>
              <w:tc>
                <w:tcPr>
                  <w:tcW w:w="1543" w:type="dxa"/>
                  <w:vAlign w:val="center"/>
                </w:tcPr>
                <w:p w14:paraId="3A57DD71">
                  <w:pPr>
                    <w:pStyle w:val="76"/>
                    <w:spacing w:line="240" w:lineRule="auto"/>
                    <w:ind w:firstLine="0" w:firstLineChars="0"/>
                    <w:jc w:val="center"/>
                    <w:rPr>
                      <w:sz w:val="21"/>
                      <w:szCs w:val="21"/>
                    </w:rPr>
                  </w:pPr>
                  <w:r>
                    <w:rPr>
                      <w:sz w:val="21"/>
                      <w:szCs w:val="21"/>
                    </w:rPr>
                    <w:t>否，聚酯车间</w:t>
                  </w:r>
                  <w:r>
                    <w:rPr>
                      <w:rFonts w:hint="eastAsia"/>
                      <w:sz w:val="21"/>
                      <w:szCs w:val="21"/>
                    </w:rPr>
                    <w:t>2</w:t>
                  </w:r>
                  <w:r>
                    <w:rPr>
                      <w:sz w:val="21"/>
                      <w:szCs w:val="21"/>
                    </w:rPr>
                    <w:t>按照一期项目环评建设</w:t>
                  </w:r>
                </w:p>
              </w:tc>
            </w:tr>
            <w:tr w14:paraId="2A6181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0" w:type="auto"/>
                  <w:vMerge w:val="continue"/>
                  <w:vAlign w:val="center"/>
                </w:tcPr>
                <w:p w14:paraId="6FBC762C">
                  <w:pPr>
                    <w:pStyle w:val="76"/>
                    <w:spacing w:line="240" w:lineRule="auto"/>
                    <w:ind w:firstLine="0" w:firstLineChars="0"/>
                    <w:jc w:val="center"/>
                    <w:rPr>
                      <w:sz w:val="21"/>
                      <w:szCs w:val="21"/>
                    </w:rPr>
                  </w:pPr>
                </w:p>
              </w:tc>
              <w:tc>
                <w:tcPr>
                  <w:tcW w:w="2141" w:type="dxa"/>
                  <w:vMerge w:val="continue"/>
                  <w:vAlign w:val="center"/>
                </w:tcPr>
                <w:p w14:paraId="2C0E639B">
                  <w:pPr>
                    <w:pStyle w:val="76"/>
                    <w:spacing w:line="240" w:lineRule="auto"/>
                    <w:ind w:firstLine="0" w:firstLineChars="0"/>
                    <w:jc w:val="center"/>
                    <w:rPr>
                      <w:sz w:val="21"/>
                      <w:szCs w:val="21"/>
                    </w:rPr>
                  </w:pPr>
                </w:p>
              </w:tc>
              <w:tc>
                <w:tcPr>
                  <w:tcW w:w="2612" w:type="dxa"/>
                  <w:vAlign w:val="center"/>
                </w:tcPr>
                <w:p w14:paraId="3F100142">
                  <w:pPr>
                    <w:pStyle w:val="76"/>
                    <w:spacing w:line="240" w:lineRule="auto"/>
                    <w:ind w:firstLine="0" w:firstLineChars="0"/>
                    <w:jc w:val="center"/>
                    <w:rPr>
                      <w:sz w:val="21"/>
                      <w:szCs w:val="21"/>
                    </w:rPr>
                  </w:pPr>
                  <w:r>
                    <w:rPr>
                      <w:sz w:val="21"/>
                      <w:szCs w:val="21"/>
                    </w:rPr>
                    <w:t>纺丝产产能：</w:t>
                  </w:r>
                </w:p>
                <w:p w14:paraId="640D138C">
                  <w:pPr>
                    <w:pStyle w:val="76"/>
                    <w:spacing w:line="240" w:lineRule="auto"/>
                    <w:ind w:firstLine="0" w:firstLineChars="0"/>
                    <w:jc w:val="center"/>
                    <w:rPr>
                      <w:sz w:val="21"/>
                      <w:szCs w:val="21"/>
                    </w:rPr>
                  </w:pPr>
                  <w:r>
                    <w:rPr>
                      <w:sz w:val="21"/>
                      <w:szCs w:val="21"/>
                    </w:rPr>
                    <w:t>POY14.49万吨/年</w:t>
                  </w:r>
                </w:p>
                <w:p w14:paraId="64B3C224">
                  <w:pPr>
                    <w:pStyle w:val="76"/>
                    <w:spacing w:line="240" w:lineRule="auto"/>
                    <w:ind w:firstLine="0" w:firstLineChars="0"/>
                    <w:jc w:val="center"/>
                    <w:rPr>
                      <w:sz w:val="21"/>
                      <w:szCs w:val="21"/>
                    </w:rPr>
                  </w:pPr>
                  <w:r>
                    <w:rPr>
                      <w:sz w:val="21"/>
                      <w:szCs w:val="21"/>
                    </w:rPr>
                    <w:t>FDY10.51万吨/年</w:t>
                  </w:r>
                </w:p>
              </w:tc>
              <w:tc>
                <w:tcPr>
                  <w:tcW w:w="1557" w:type="dxa"/>
                  <w:vAlign w:val="center"/>
                </w:tcPr>
                <w:p w14:paraId="5F2BC893">
                  <w:pPr>
                    <w:pStyle w:val="76"/>
                    <w:spacing w:line="240" w:lineRule="auto"/>
                    <w:ind w:firstLine="0" w:firstLineChars="0"/>
                    <w:jc w:val="center"/>
                    <w:rPr>
                      <w:sz w:val="21"/>
                      <w:szCs w:val="21"/>
                    </w:rPr>
                  </w:pPr>
                  <w:r>
                    <w:rPr>
                      <w:sz w:val="21"/>
                      <w:szCs w:val="21"/>
                    </w:rPr>
                    <w:t>是</w:t>
                  </w:r>
                </w:p>
              </w:tc>
              <w:tc>
                <w:tcPr>
                  <w:tcW w:w="2162" w:type="dxa"/>
                  <w:vMerge w:val="continue"/>
                  <w:vAlign w:val="center"/>
                </w:tcPr>
                <w:p w14:paraId="2DBAA604">
                  <w:pPr>
                    <w:pStyle w:val="76"/>
                    <w:spacing w:line="240" w:lineRule="auto"/>
                    <w:ind w:firstLine="0" w:firstLineChars="0"/>
                    <w:jc w:val="center"/>
                    <w:rPr>
                      <w:sz w:val="21"/>
                      <w:szCs w:val="21"/>
                    </w:rPr>
                  </w:pPr>
                </w:p>
              </w:tc>
              <w:tc>
                <w:tcPr>
                  <w:tcW w:w="3280" w:type="dxa"/>
                  <w:vAlign w:val="center"/>
                </w:tcPr>
                <w:p w14:paraId="6C7FAF88">
                  <w:pPr>
                    <w:pStyle w:val="76"/>
                    <w:spacing w:line="240" w:lineRule="auto"/>
                    <w:ind w:firstLine="0" w:firstLineChars="0"/>
                    <w:jc w:val="center"/>
                    <w:rPr>
                      <w:sz w:val="21"/>
                      <w:szCs w:val="21"/>
                    </w:rPr>
                  </w:pPr>
                  <w:r>
                    <w:rPr>
                      <w:sz w:val="21"/>
                      <w:szCs w:val="21"/>
                    </w:rPr>
                    <w:t>熔体直纺丝产产能：</w:t>
                  </w:r>
                </w:p>
                <w:p w14:paraId="797DEA91">
                  <w:pPr>
                    <w:pStyle w:val="76"/>
                    <w:spacing w:line="240" w:lineRule="auto"/>
                    <w:ind w:firstLine="0" w:firstLineChars="0"/>
                    <w:jc w:val="center"/>
                    <w:rPr>
                      <w:sz w:val="21"/>
                      <w:szCs w:val="21"/>
                    </w:rPr>
                  </w:pPr>
                  <w:r>
                    <w:rPr>
                      <w:sz w:val="21"/>
                      <w:szCs w:val="21"/>
                    </w:rPr>
                    <w:t>POY10.4</w:t>
                  </w:r>
                  <w:r>
                    <w:rPr>
                      <w:sz w:val="21"/>
                      <w:szCs w:val="21"/>
                      <w:lang w:val="zh-CN"/>
                    </w:rPr>
                    <w:t>万</w:t>
                  </w:r>
                  <w:r>
                    <w:rPr>
                      <w:sz w:val="21"/>
                      <w:szCs w:val="21"/>
                    </w:rPr>
                    <w:t>吨/年</w:t>
                  </w:r>
                </w:p>
                <w:p w14:paraId="6E9CA7BF">
                  <w:pPr>
                    <w:pStyle w:val="76"/>
                    <w:spacing w:line="240" w:lineRule="auto"/>
                    <w:ind w:firstLine="0" w:firstLineChars="0"/>
                    <w:jc w:val="center"/>
                    <w:rPr>
                      <w:sz w:val="21"/>
                      <w:szCs w:val="21"/>
                    </w:rPr>
                  </w:pPr>
                  <w:r>
                    <w:rPr>
                      <w:sz w:val="21"/>
                      <w:szCs w:val="21"/>
                    </w:rPr>
                    <w:t>FDY9.6</w:t>
                  </w:r>
                  <w:r>
                    <w:rPr>
                      <w:sz w:val="21"/>
                      <w:szCs w:val="21"/>
                      <w:lang w:val="zh-CN"/>
                    </w:rPr>
                    <w:t>万</w:t>
                  </w:r>
                  <w:r>
                    <w:rPr>
                      <w:sz w:val="21"/>
                      <w:szCs w:val="21"/>
                    </w:rPr>
                    <w:t>吨/年</w:t>
                  </w:r>
                </w:p>
                <w:p w14:paraId="0ADC39F5">
                  <w:pPr>
                    <w:pStyle w:val="76"/>
                    <w:spacing w:line="240" w:lineRule="auto"/>
                    <w:ind w:firstLine="0" w:firstLineChars="0"/>
                    <w:jc w:val="center"/>
                    <w:rPr>
                      <w:sz w:val="21"/>
                      <w:szCs w:val="21"/>
                    </w:rPr>
                  </w:pPr>
                  <w:r>
                    <w:rPr>
                      <w:sz w:val="21"/>
                      <w:szCs w:val="21"/>
                    </w:rPr>
                    <w:t>切片纺产能</w:t>
                  </w:r>
                </w:p>
                <w:p w14:paraId="3DA83150">
                  <w:pPr>
                    <w:pStyle w:val="76"/>
                    <w:spacing w:line="240" w:lineRule="auto"/>
                    <w:ind w:firstLine="0" w:firstLineChars="0"/>
                    <w:jc w:val="center"/>
                    <w:rPr>
                      <w:sz w:val="21"/>
                      <w:szCs w:val="21"/>
                    </w:rPr>
                  </w:pPr>
                  <w:r>
                    <w:rPr>
                      <w:sz w:val="21"/>
                      <w:szCs w:val="21"/>
                    </w:rPr>
                    <w:t>BEY6</w:t>
                  </w:r>
                  <w:r>
                    <w:rPr>
                      <w:sz w:val="21"/>
                      <w:szCs w:val="21"/>
                      <w:lang w:val="zh-CN"/>
                    </w:rPr>
                    <w:t>万</w:t>
                  </w:r>
                  <w:r>
                    <w:rPr>
                      <w:sz w:val="21"/>
                      <w:szCs w:val="21"/>
                    </w:rPr>
                    <w:t>吨/年</w:t>
                  </w:r>
                </w:p>
                <w:p w14:paraId="7878A493">
                  <w:pPr>
                    <w:pStyle w:val="76"/>
                    <w:spacing w:line="240" w:lineRule="auto"/>
                    <w:ind w:firstLine="0" w:firstLineChars="0"/>
                    <w:jc w:val="center"/>
                    <w:rPr>
                      <w:sz w:val="21"/>
                      <w:szCs w:val="21"/>
                      <w:lang w:val="zh-CN"/>
                    </w:rPr>
                  </w:pPr>
                  <w:r>
                    <w:rPr>
                      <w:sz w:val="21"/>
                      <w:szCs w:val="21"/>
                      <w:lang w:val="zh-CN"/>
                    </w:rPr>
                    <w:t>涤锦4万</w:t>
                  </w:r>
                  <w:r>
                    <w:rPr>
                      <w:sz w:val="21"/>
                      <w:szCs w:val="21"/>
                    </w:rPr>
                    <w:t>吨/年</w:t>
                  </w:r>
                </w:p>
              </w:tc>
              <w:tc>
                <w:tcPr>
                  <w:tcW w:w="1543" w:type="dxa"/>
                  <w:vAlign w:val="center"/>
                </w:tcPr>
                <w:p w14:paraId="474E856D">
                  <w:pPr>
                    <w:pStyle w:val="76"/>
                    <w:spacing w:line="240" w:lineRule="auto"/>
                    <w:ind w:firstLine="0" w:firstLineChars="0"/>
                    <w:jc w:val="center"/>
                    <w:rPr>
                      <w:sz w:val="21"/>
                      <w:szCs w:val="21"/>
                    </w:rPr>
                  </w:pPr>
                  <w:r>
                    <w:rPr>
                      <w:sz w:val="21"/>
                      <w:szCs w:val="21"/>
                    </w:rPr>
                    <w:t>是</w:t>
                  </w:r>
                </w:p>
              </w:tc>
            </w:tr>
            <w:bookmarkEnd w:id="24"/>
          </w:tbl>
          <w:p w14:paraId="1151EF84">
            <w:pPr>
              <w:pStyle w:val="77"/>
              <w:spacing w:line="500" w:lineRule="exact"/>
              <w:rPr>
                <w:bCs w:val="0"/>
                <w:szCs w:val="24"/>
              </w:rPr>
            </w:pPr>
          </w:p>
          <w:p w14:paraId="312CF58A">
            <w:pPr>
              <w:pStyle w:val="77"/>
              <w:spacing w:line="500" w:lineRule="exact"/>
              <w:rPr>
                <w:bCs w:val="0"/>
                <w:szCs w:val="24"/>
              </w:rPr>
            </w:pPr>
          </w:p>
          <w:p w14:paraId="0472D9DB">
            <w:pPr>
              <w:pStyle w:val="77"/>
              <w:spacing w:line="500" w:lineRule="exact"/>
              <w:rPr>
                <w:bCs w:val="0"/>
                <w:szCs w:val="24"/>
              </w:rPr>
            </w:pPr>
          </w:p>
          <w:p w14:paraId="6991D5A4">
            <w:pPr>
              <w:pStyle w:val="77"/>
              <w:spacing w:line="500" w:lineRule="exact"/>
              <w:rPr>
                <w:bCs w:val="0"/>
                <w:szCs w:val="24"/>
              </w:rPr>
            </w:pPr>
          </w:p>
          <w:p w14:paraId="018D2F0D">
            <w:pPr>
              <w:pStyle w:val="77"/>
              <w:spacing w:line="500" w:lineRule="exact"/>
              <w:rPr>
                <w:bCs w:val="0"/>
                <w:szCs w:val="24"/>
              </w:rPr>
            </w:pPr>
          </w:p>
          <w:p w14:paraId="79AB98CE">
            <w:pPr>
              <w:pStyle w:val="77"/>
              <w:spacing w:line="500" w:lineRule="exact"/>
            </w:pPr>
            <w:r>
              <w:rPr>
                <w:bCs w:val="0"/>
                <w:szCs w:val="24"/>
              </w:rPr>
              <w:t>表2-</w:t>
            </w:r>
            <w:r>
              <w:rPr>
                <w:rFonts w:hint="eastAsia"/>
                <w:bCs w:val="0"/>
                <w:szCs w:val="24"/>
              </w:rPr>
              <w:t>3</w:t>
            </w:r>
            <w:r>
              <w:rPr>
                <w:bCs w:val="0"/>
                <w:szCs w:val="24"/>
              </w:rPr>
              <w:t xml:space="preserve"> 现有项目、</w:t>
            </w:r>
            <w:r>
              <w:t>二期、三期项目</w:t>
            </w:r>
            <w:r>
              <w:rPr>
                <w:bCs w:val="0"/>
              </w:rPr>
              <w:t>主体</w:t>
            </w:r>
            <w:r>
              <w:rPr>
                <w:bCs w:val="0"/>
                <w:szCs w:val="24"/>
              </w:rPr>
              <w:t>工程</w:t>
            </w:r>
            <w:r>
              <w:t>、公辅工程建设及依托情况</w:t>
            </w:r>
          </w:p>
          <w:tbl>
            <w:tblPr>
              <w:tblStyle w:val="4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25"/>
              <w:gridCol w:w="324"/>
              <w:gridCol w:w="439"/>
              <w:gridCol w:w="615"/>
              <w:gridCol w:w="2790"/>
              <w:gridCol w:w="437"/>
              <w:gridCol w:w="1283"/>
              <w:gridCol w:w="2527"/>
              <w:gridCol w:w="2496"/>
              <w:gridCol w:w="2496"/>
            </w:tblGrid>
            <w:tr w14:paraId="3B518C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33" w:hRule="atLeast"/>
                <w:tblHeader/>
                <w:jc w:val="center"/>
              </w:trPr>
              <w:tc>
                <w:tcPr>
                  <w:tcW w:w="118" w:type="pct"/>
                  <w:vMerge w:val="restart"/>
                  <w:vAlign w:val="center"/>
                </w:tcPr>
                <w:p w14:paraId="76895DDA">
                  <w:pPr>
                    <w:jc w:val="center"/>
                    <w:rPr>
                      <w:b/>
                      <w:bCs/>
                      <w:szCs w:val="21"/>
                    </w:rPr>
                  </w:pPr>
                  <w:r>
                    <w:rPr>
                      <w:b/>
                      <w:bCs/>
                      <w:szCs w:val="21"/>
                    </w:rPr>
                    <w:t>序号</w:t>
                  </w:r>
                </w:p>
              </w:tc>
              <w:tc>
                <w:tcPr>
                  <w:tcW w:w="278" w:type="pct"/>
                  <w:gridSpan w:val="2"/>
                  <w:vMerge w:val="restart"/>
                  <w:vAlign w:val="center"/>
                </w:tcPr>
                <w:p w14:paraId="0EE2632B">
                  <w:pPr>
                    <w:jc w:val="center"/>
                    <w:rPr>
                      <w:b/>
                      <w:bCs/>
                      <w:szCs w:val="21"/>
                    </w:rPr>
                  </w:pPr>
                  <w:r>
                    <w:rPr>
                      <w:b/>
                      <w:bCs/>
                      <w:szCs w:val="21"/>
                    </w:rPr>
                    <w:t>主项名称</w:t>
                  </w:r>
                </w:p>
              </w:tc>
              <w:tc>
                <w:tcPr>
                  <w:tcW w:w="1866" w:type="pct"/>
                  <w:gridSpan w:val="4"/>
                  <w:vAlign w:val="center"/>
                </w:tcPr>
                <w:p w14:paraId="1E031C8C">
                  <w:pPr>
                    <w:jc w:val="center"/>
                    <w:rPr>
                      <w:b/>
                      <w:bCs/>
                      <w:szCs w:val="21"/>
                    </w:rPr>
                  </w:pPr>
                  <w:r>
                    <w:rPr>
                      <w:b/>
                      <w:bCs/>
                      <w:szCs w:val="21"/>
                    </w:rPr>
                    <w:t>现有项目</w:t>
                  </w:r>
                </w:p>
              </w:tc>
              <w:tc>
                <w:tcPr>
                  <w:tcW w:w="2738" w:type="pct"/>
                  <w:gridSpan w:val="3"/>
                  <w:vAlign w:val="center"/>
                </w:tcPr>
                <w:p w14:paraId="786AFBFA">
                  <w:pPr>
                    <w:jc w:val="center"/>
                    <w:rPr>
                      <w:b/>
                      <w:bCs/>
                      <w:szCs w:val="21"/>
                    </w:rPr>
                  </w:pPr>
                  <w:r>
                    <w:rPr>
                      <w:b/>
                      <w:bCs/>
                      <w:szCs w:val="21"/>
                    </w:rPr>
                    <w:t>本次评价</w:t>
                  </w:r>
                </w:p>
              </w:tc>
            </w:tr>
            <w:tr w14:paraId="26DAEC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33" w:hRule="atLeast"/>
                <w:tblHeader/>
                <w:jc w:val="center"/>
              </w:trPr>
              <w:tc>
                <w:tcPr>
                  <w:tcW w:w="118" w:type="pct"/>
                  <w:vMerge w:val="continue"/>
                  <w:vAlign w:val="center"/>
                </w:tcPr>
                <w:p w14:paraId="42953161">
                  <w:pPr>
                    <w:jc w:val="center"/>
                    <w:rPr>
                      <w:b/>
                      <w:bCs/>
                      <w:szCs w:val="21"/>
                    </w:rPr>
                  </w:pPr>
                </w:p>
              </w:tc>
              <w:tc>
                <w:tcPr>
                  <w:tcW w:w="278" w:type="pct"/>
                  <w:gridSpan w:val="2"/>
                  <w:vMerge w:val="continue"/>
                  <w:vAlign w:val="center"/>
                </w:tcPr>
                <w:p w14:paraId="70943A31">
                  <w:pPr>
                    <w:jc w:val="center"/>
                    <w:rPr>
                      <w:b/>
                      <w:bCs/>
                      <w:szCs w:val="21"/>
                    </w:rPr>
                  </w:pPr>
                </w:p>
              </w:tc>
              <w:tc>
                <w:tcPr>
                  <w:tcW w:w="1240" w:type="pct"/>
                  <w:gridSpan w:val="2"/>
                  <w:vAlign w:val="center"/>
                </w:tcPr>
                <w:p w14:paraId="01894F7C">
                  <w:pPr>
                    <w:jc w:val="center"/>
                    <w:rPr>
                      <w:b/>
                      <w:bCs/>
                      <w:szCs w:val="21"/>
                    </w:rPr>
                  </w:pPr>
                  <w:r>
                    <w:rPr>
                      <w:b/>
                      <w:bCs/>
                      <w:szCs w:val="21"/>
                    </w:rPr>
                    <w:t>一期项目成子河西侧主要内容</w:t>
                  </w:r>
                </w:p>
              </w:tc>
              <w:tc>
                <w:tcPr>
                  <w:tcW w:w="159" w:type="pct"/>
                  <w:vAlign w:val="center"/>
                </w:tcPr>
                <w:p w14:paraId="0BBAE7E5">
                  <w:pPr>
                    <w:jc w:val="center"/>
                    <w:rPr>
                      <w:b/>
                      <w:bCs/>
                      <w:szCs w:val="21"/>
                    </w:rPr>
                  </w:pPr>
                  <w:r>
                    <w:rPr>
                      <w:b/>
                      <w:bCs/>
                      <w:szCs w:val="21"/>
                    </w:rPr>
                    <w:t>依托情况</w:t>
                  </w:r>
                </w:p>
              </w:tc>
              <w:tc>
                <w:tcPr>
                  <w:tcW w:w="467" w:type="pct"/>
                  <w:vAlign w:val="center"/>
                </w:tcPr>
                <w:p w14:paraId="1C5EF73D">
                  <w:pPr>
                    <w:jc w:val="center"/>
                    <w:rPr>
                      <w:b/>
                      <w:bCs/>
                      <w:szCs w:val="21"/>
                    </w:rPr>
                  </w:pPr>
                  <w:r>
                    <w:rPr>
                      <w:b/>
                      <w:bCs/>
                      <w:szCs w:val="21"/>
                    </w:rPr>
                    <w:t>已建设情况</w:t>
                  </w:r>
                </w:p>
              </w:tc>
              <w:tc>
                <w:tcPr>
                  <w:tcW w:w="920" w:type="pct"/>
                  <w:vAlign w:val="center"/>
                </w:tcPr>
                <w:p w14:paraId="023FA33D">
                  <w:pPr>
                    <w:jc w:val="center"/>
                    <w:rPr>
                      <w:b/>
                      <w:bCs/>
                      <w:szCs w:val="21"/>
                    </w:rPr>
                  </w:pPr>
                  <w:r>
                    <w:rPr>
                      <w:b/>
                      <w:bCs/>
                      <w:szCs w:val="21"/>
                    </w:rPr>
                    <w:t>二期项目</w:t>
                  </w:r>
                </w:p>
              </w:tc>
              <w:tc>
                <w:tcPr>
                  <w:tcW w:w="909" w:type="pct"/>
                  <w:vAlign w:val="center"/>
                </w:tcPr>
                <w:p w14:paraId="5E65FC3D">
                  <w:pPr>
                    <w:jc w:val="center"/>
                    <w:rPr>
                      <w:b/>
                      <w:bCs/>
                      <w:szCs w:val="21"/>
                    </w:rPr>
                  </w:pPr>
                  <w:r>
                    <w:rPr>
                      <w:b/>
                      <w:bCs/>
                      <w:szCs w:val="21"/>
                    </w:rPr>
                    <w:t>三期项目</w:t>
                  </w:r>
                </w:p>
              </w:tc>
              <w:tc>
                <w:tcPr>
                  <w:tcW w:w="909" w:type="pct"/>
                  <w:vAlign w:val="center"/>
                </w:tcPr>
                <w:p w14:paraId="098AA4A4">
                  <w:pPr>
                    <w:jc w:val="center"/>
                    <w:rPr>
                      <w:b/>
                      <w:bCs/>
                      <w:szCs w:val="21"/>
                    </w:rPr>
                  </w:pPr>
                  <w:r>
                    <w:rPr>
                      <w:b/>
                      <w:bCs/>
                      <w:szCs w:val="21"/>
                    </w:rPr>
                    <w:t>依托情况</w:t>
                  </w:r>
                </w:p>
              </w:tc>
            </w:tr>
            <w:tr w14:paraId="0BAC9B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758" w:hRule="atLeast"/>
                <w:jc w:val="center"/>
              </w:trPr>
              <w:tc>
                <w:tcPr>
                  <w:tcW w:w="118" w:type="pct"/>
                  <w:vMerge w:val="restart"/>
                  <w:vAlign w:val="center"/>
                </w:tcPr>
                <w:p w14:paraId="37B5FB5E">
                  <w:pPr>
                    <w:jc w:val="center"/>
                    <w:rPr>
                      <w:szCs w:val="21"/>
                    </w:rPr>
                  </w:pPr>
                  <w:r>
                    <w:rPr>
                      <w:szCs w:val="21"/>
                    </w:rPr>
                    <w:t>主体工程</w:t>
                  </w:r>
                </w:p>
              </w:tc>
              <w:tc>
                <w:tcPr>
                  <w:tcW w:w="278" w:type="pct"/>
                  <w:gridSpan w:val="2"/>
                  <w:vMerge w:val="restart"/>
                  <w:vAlign w:val="center"/>
                </w:tcPr>
                <w:p w14:paraId="5B79152C">
                  <w:pPr>
                    <w:jc w:val="center"/>
                    <w:rPr>
                      <w:szCs w:val="21"/>
                    </w:rPr>
                  </w:pPr>
                  <w:r>
                    <w:rPr>
                      <w:szCs w:val="21"/>
                    </w:rPr>
                    <w:t>聚酯装置</w:t>
                  </w:r>
                </w:p>
              </w:tc>
              <w:tc>
                <w:tcPr>
                  <w:tcW w:w="1240" w:type="pct"/>
                  <w:gridSpan w:val="2"/>
                  <w:vAlign w:val="center"/>
                </w:tcPr>
                <w:p w14:paraId="4F2E1286">
                  <w:pPr>
                    <w:rPr>
                      <w:szCs w:val="21"/>
                    </w:rPr>
                  </w:pPr>
                  <w:r>
                    <w:rPr>
                      <w:szCs w:val="21"/>
                    </w:rPr>
                    <w:t>共包括4个聚酯装置（CP1~CP4），分别位于2个聚酯车间（聚酯1-聚酯2）。</w:t>
                  </w:r>
                </w:p>
                <w:p w14:paraId="35897AD8">
                  <w:pPr>
                    <w:rPr>
                      <w:szCs w:val="21"/>
                    </w:rPr>
                  </w:pPr>
                  <w:r>
                    <w:rPr>
                      <w:szCs w:val="21"/>
                    </w:rPr>
                    <w:t>聚酯1包括2条聚酯生产线，分别是CP1：25万吨有光PET聚酯熔体生产线和CP2：25万吨半光PET聚酯熔体生产线；</w:t>
                  </w:r>
                </w:p>
                <w:p w14:paraId="763A73FA">
                  <w:pPr>
                    <w:rPr>
                      <w:szCs w:val="21"/>
                    </w:rPr>
                  </w:pPr>
                  <w:r>
                    <w:rPr>
                      <w:szCs w:val="21"/>
                    </w:rPr>
                    <w:t>聚酯2包括2条聚酯生产线，分别是CP3：25万吨半光PET聚酯熔体生产线和CP4：25万吨消光PET聚酯熔体生产线；</w:t>
                  </w:r>
                </w:p>
                <w:p w14:paraId="3B8030E9">
                  <w:pPr>
                    <w:rPr>
                      <w:szCs w:val="21"/>
                    </w:rPr>
                  </w:pPr>
                  <w:r>
                    <w:rPr>
                      <w:szCs w:val="21"/>
                    </w:rPr>
                    <w:t>合计聚酯熔体设计产能100万吨，操作时间均为350d/a。</w:t>
                  </w:r>
                </w:p>
              </w:tc>
              <w:tc>
                <w:tcPr>
                  <w:tcW w:w="159" w:type="pct"/>
                  <w:vAlign w:val="center"/>
                </w:tcPr>
                <w:p w14:paraId="3FE1347C">
                  <w:pPr>
                    <w:jc w:val="center"/>
                    <w:rPr>
                      <w:szCs w:val="21"/>
                    </w:rPr>
                  </w:pPr>
                  <w:r>
                    <w:rPr>
                      <w:bCs/>
                      <w:szCs w:val="21"/>
                    </w:rPr>
                    <w:t>自建</w:t>
                  </w:r>
                </w:p>
              </w:tc>
              <w:tc>
                <w:tcPr>
                  <w:tcW w:w="467" w:type="pct"/>
                  <w:vAlign w:val="center"/>
                </w:tcPr>
                <w:p w14:paraId="3DA74AB8">
                  <w:pPr>
                    <w:jc w:val="center"/>
                    <w:rPr>
                      <w:bCs/>
                      <w:szCs w:val="21"/>
                    </w:rPr>
                  </w:pPr>
                  <w:r>
                    <w:rPr>
                      <w:szCs w:val="21"/>
                    </w:rPr>
                    <w:t>聚酯车间1：CP1、CP2，聚酯熔体设计产能50万吨，操作时间均为350d/a</w:t>
                  </w:r>
                </w:p>
              </w:tc>
              <w:tc>
                <w:tcPr>
                  <w:tcW w:w="920" w:type="pct"/>
                  <w:vAlign w:val="center"/>
                </w:tcPr>
                <w:p w14:paraId="55EA4E3B">
                  <w:pPr>
                    <w:jc w:val="center"/>
                    <w:rPr>
                      <w:szCs w:val="21"/>
                    </w:rPr>
                  </w:pPr>
                  <w:r>
                    <w:rPr>
                      <w:szCs w:val="21"/>
                    </w:rPr>
                    <w:t>聚酯车间2:CP3，聚酯熔体设计产能25万吨，按照一期项目环评建设，不在本次评价范围</w:t>
                  </w:r>
                </w:p>
              </w:tc>
              <w:tc>
                <w:tcPr>
                  <w:tcW w:w="909" w:type="pct"/>
                  <w:vAlign w:val="center"/>
                </w:tcPr>
                <w:p w14:paraId="18C82206">
                  <w:pPr>
                    <w:jc w:val="center"/>
                    <w:rPr>
                      <w:szCs w:val="21"/>
                    </w:rPr>
                  </w:pPr>
                  <w:r>
                    <w:rPr>
                      <w:szCs w:val="21"/>
                    </w:rPr>
                    <w:t>聚酯车间2:CP4，聚酯熔体设计产能25万吨，按照一期项目环评建设，不在本次评价范围</w:t>
                  </w:r>
                </w:p>
              </w:tc>
              <w:tc>
                <w:tcPr>
                  <w:tcW w:w="909" w:type="pct"/>
                  <w:vAlign w:val="center"/>
                </w:tcPr>
                <w:p w14:paraId="50CE0BEE">
                  <w:pPr>
                    <w:jc w:val="center"/>
                    <w:rPr>
                      <w:szCs w:val="21"/>
                    </w:rPr>
                  </w:pPr>
                  <w:r>
                    <w:rPr>
                      <w:szCs w:val="21"/>
                    </w:rPr>
                    <w:t>一期项目续建，本项目不评价</w:t>
                  </w:r>
                </w:p>
              </w:tc>
            </w:tr>
            <w:tr w14:paraId="7A55ED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8" w:type="pct"/>
                  <w:vMerge w:val="continue"/>
                  <w:vAlign w:val="center"/>
                </w:tcPr>
                <w:p w14:paraId="77E1E85A">
                  <w:pPr>
                    <w:jc w:val="center"/>
                    <w:rPr>
                      <w:szCs w:val="21"/>
                    </w:rPr>
                  </w:pPr>
                </w:p>
              </w:tc>
              <w:tc>
                <w:tcPr>
                  <w:tcW w:w="278" w:type="pct"/>
                  <w:gridSpan w:val="2"/>
                  <w:vMerge w:val="continue"/>
                  <w:vAlign w:val="center"/>
                </w:tcPr>
                <w:p w14:paraId="309BBF94">
                  <w:pPr>
                    <w:jc w:val="center"/>
                    <w:rPr>
                      <w:szCs w:val="21"/>
                    </w:rPr>
                  </w:pPr>
                </w:p>
              </w:tc>
              <w:tc>
                <w:tcPr>
                  <w:tcW w:w="224" w:type="pct"/>
                  <w:vAlign w:val="center"/>
                </w:tcPr>
                <w:p w14:paraId="62116668">
                  <w:pPr>
                    <w:jc w:val="center"/>
                    <w:rPr>
                      <w:szCs w:val="21"/>
                    </w:rPr>
                  </w:pPr>
                  <w:r>
                    <w:rPr>
                      <w:szCs w:val="21"/>
                    </w:rPr>
                    <w:t>PTA卸料及输送系统</w:t>
                  </w:r>
                </w:p>
              </w:tc>
              <w:tc>
                <w:tcPr>
                  <w:tcW w:w="1016" w:type="pct"/>
                  <w:vAlign w:val="center"/>
                </w:tcPr>
                <w:p w14:paraId="50929539">
                  <w:pPr>
                    <w:widowControl/>
                    <w:jc w:val="center"/>
                    <w:rPr>
                      <w:kern w:val="0"/>
                      <w:szCs w:val="21"/>
                    </w:rPr>
                  </w:pPr>
                  <w:r>
                    <w:rPr>
                      <w:kern w:val="0"/>
                      <w:szCs w:val="21"/>
                      <w:lang w:bidi="ar"/>
                    </w:rPr>
                    <w:t>聚酯1-聚酯2车间分别配置3套PTA链式输送系统，设计能力均为55t/h，共6套PTA料仓的储存周期约7h，保护介质为氮气。</w:t>
                  </w:r>
                </w:p>
              </w:tc>
              <w:tc>
                <w:tcPr>
                  <w:tcW w:w="159" w:type="pct"/>
                  <w:vAlign w:val="center"/>
                </w:tcPr>
                <w:p w14:paraId="227385B3">
                  <w:pPr>
                    <w:jc w:val="center"/>
                    <w:rPr>
                      <w:kern w:val="0"/>
                      <w:szCs w:val="21"/>
                    </w:rPr>
                  </w:pPr>
                  <w:r>
                    <w:rPr>
                      <w:bCs/>
                      <w:szCs w:val="21"/>
                    </w:rPr>
                    <w:t>自建</w:t>
                  </w:r>
                </w:p>
              </w:tc>
              <w:tc>
                <w:tcPr>
                  <w:tcW w:w="467" w:type="pct"/>
                  <w:vAlign w:val="center"/>
                </w:tcPr>
                <w:p w14:paraId="44DCDD46">
                  <w:pPr>
                    <w:jc w:val="center"/>
                    <w:rPr>
                      <w:bCs/>
                      <w:szCs w:val="21"/>
                    </w:rPr>
                  </w:pPr>
                  <w:r>
                    <w:rPr>
                      <w:kern w:val="0"/>
                      <w:szCs w:val="21"/>
                      <w:lang w:bidi="ar"/>
                    </w:rPr>
                    <w:t>聚酯1车间配备3套PTA链式输送系统</w:t>
                  </w:r>
                </w:p>
              </w:tc>
              <w:tc>
                <w:tcPr>
                  <w:tcW w:w="1829" w:type="pct"/>
                  <w:gridSpan w:val="2"/>
                  <w:vAlign w:val="center"/>
                </w:tcPr>
                <w:p w14:paraId="6BC0D7BD">
                  <w:pPr>
                    <w:jc w:val="center"/>
                    <w:rPr>
                      <w:szCs w:val="21"/>
                    </w:rPr>
                  </w:pPr>
                  <w:r>
                    <w:rPr>
                      <w:kern w:val="0"/>
                      <w:szCs w:val="21"/>
                      <w:lang w:bidi="ar"/>
                    </w:rPr>
                    <w:t>聚酯2车间配备3套PTA链式输送系统，</w:t>
                  </w:r>
                  <w:r>
                    <w:rPr>
                      <w:szCs w:val="21"/>
                    </w:rPr>
                    <w:t>按照一期项目环评建设，不在本次评价范围</w:t>
                  </w:r>
                </w:p>
              </w:tc>
              <w:tc>
                <w:tcPr>
                  <w:tcW w:w="909" w:type="pct"/>
                  <w:vAlign w:val="center"/>
                </w:tcPr>
                <w:p w14:paraId="602158BB">
                  <w:pPr>
                    <w:jc w:val="center"/>
                    <w:rPr>
                      <w:szCs w:val="21"/>
                    </w:rPr>
                  </w:pPr>
                  <w:r>
                    <w:rPr>
                      <w:szCs w:val="21"/>
                    </w:rPr>
                    <w:t>一期项目续建，本项目不评价</w:t>
                  </w:r>
                </w:p>
              </w:tc>
            </w:tr>
            <w:tr w14:paraId="3125E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8" w:type="pct"/>
                  <w:vMerge w:val="continue"/>
                  <w:vAlign w:val="center"/>
                </w:tcPr>
                <w:p w14:paraId="4D853319">
                  <w:pPr>
                    <w:jc w:val="center"/>
                    <w:rPr>
                      <w:szCs w:val="21"/>
                    </w:rPr>
                  </w:pPr>
                </w:p>
              </w:tc>
              <w:tc>
                <w:tcPr>
                  <w:tcW w:w="278" w:type="pct"/>
                  <w:gridSpan w:val="2"/>
                  <w:vAlign w:val="center"/>
                </w:tcPr>
                <w:p w14:paraId="0A0619A1">
                  <w:pPr>
                    <w:widowControl/>
                    <w:jc w:val="center"/>
                    <w:rPr>
                      <w:kern w:val="0"/>
                      <w:szCs w:val="21"/>
                      <w:lang w:bidi="ar"/>
                    </w:rPr>
                  </w:pPr>
                  <w:r>
                    <w:rPr>
                      <w:kern w:val="0"/>
                      <w:szCs w:val="21"/>
                      <w:lang w:bidi="ar"/>
                    </w:rPr>
                    <w:t>纺丝装置</w:t>
                  </w:r>
                </w:p>
              </w:tc>
              <w:tc>
                <w:tcPr>
                  <w:tcW w:w="1240" w:type="pct"/>
                  <w:gridSpan w:val="2"/>
                  <w:vAlign w:val="center"/>
                </w:tcPr>
                <w:p w14:paraId="2711FD45">
                  <w:pPr>
                    <w:widowControl/>
                    <w:rPr>
                      <w:kern w:val="0"/>
                      <w:szCs w:val="21"/>
                      <w:lang w:bidi="ar"/>
                    </w:rPr>
                  </w:pPr>
                  <w:r>
                    <w:rPr>
                      <w:kern w:val="0"/>
                      <w:szCs w:val="21"/>
                      <w:lang w:bidi="ar"/>
                    </w:rPr>
                    <w:t>共2个纺丝装置车间，纺丝车间1占地45677.11 m</w:t>
                  </w:r>
                  <w:r>
                    <w:rPr>
                      <w:kern w:val="0"/>
                      <w:szCs w:val="21"/>
                      <w:vertAlign w:val="superscript"/>
                      <w:lang w:bidi="ar"/>
                    </w:rPr>
                    <w:t>2</w:t>
                  </w:r>
                  <w:r>
                    <w:rPr>
                      <w:kern w:val="0"/>
                      <w:szCs w:val="21"/>
                      <w:lang w:bidi="ar"/>
                    </w:rPr>
                    <w:t xml:space="preserve"> 。纺丝车间2占地45421 m</w:t>
                  </w:r>
                  <w:r>
                    <w:rPr>
                      <w:kern w:val="0"/>
                      <w:szCs w:val="21"/>
                      <w:vertAlign w:val="superscript"/>
                      <w:lang w:bidi="ar"/>
                    </w:rPr>
                    <w:t>2</w:t>
                  </w:r>
                  <w:r>
                    <w:rPr>
                      <w:kern w:val="0"/>
                      <w:szCs w:val="21"/>
                      <w:lang w:bidi="ar"/>
                    </w:rPr>
                    <w:t>（214.25m*212m），建筑高度24米，建筑物火灾危险性为丙类，耐火等级为二级。</w:t>
                  </w:r>
                </w:p>
              </w:tc>
              <w:tc>
                <w:tcPr>
                  <w:tcW w:w="159" w:type="pct"/>
                  <w:vAlign w:val="center"/>
                </w:tcPr>
                <w:p w14:paraId="782E1A5A">
                  <w:pPr>
                    <w:jc w:val="center"/>
                    <w:rPr>
                      <w:kern w:val="0"/>
                      <w:szCs w:val="21"/>
                    </w:rPr>
                  </w:pPr>
                  <w:r>
                    <w:rPr>
                      <w:bCs/>
                      <w:szCs w:val="21"/>
                    </w:rPr>
                    <w:t>自建</w:t>
                  </w:r>
                </w:p>
              </w:tc>
              <w:tc>
                <w:tcPr>
                  <w:tcW w:w="467" w:type="pct"/>
                  <w:vAlign w:val="center"/>
                </w:tcPr>
                <w:p w14:paraId="1BB5EA2E">
                  <w:pPr>
                    <w:jc w:val="center"/>
                    <w:rPr>
                      <w:bCs/>
                      <w:szCs w:val="21"/>
                    </w:rPr>
                  </w:pPr>
                  <w:r>
                    <w:rPr>
                      <w:bCs/>
                      <w:szCs w:val="21"/>
                    </w:rPr>
                    <w:t>纺丝车间1，18条POY生产线、4条FDY生产线</w:t>
                  </w:r>
                </w:p>
              </w:tc>
              <w:tc>
                <w:tcPr>
                  <w:tcW w:w="920" w:type="pct"/>
                  <w:vAlign w:val="center"/>
                </w:tcPr>
                <w:p w14:paraId="2CE5A760">
                  <w:pPr>
                    <w:jc w:val="center"/>
                    <w:rPr>
                      <w:kern w:val="0"/>
                      <w:szCs w:val="21"/>
                      <w:lang w:bidi="ar"/>
                    </w:rPr>
                  </w:pPr>
                  <w:r>
                    <w:rPr>
                      <w:kern w:val="0"/>
                      <w:szCs w:val="21"/>
                      <w:lang w:bidi="ar"/>
                    </w:rPr>
                    <w:t>纺丝车间2：</w:t>
                  </w:r>
                  <w:r>
                    <w:t>纺丝装置1栋，占地222m*203.58m=45177m</w:t>
                  </w:r>
                  <w:r>
                    <w:rPr>
                      <w:vertAlign w:val="superscript"/>
                    </w:rPr>
                    <w:t>2</w:t>
                  </w:r>
                  <w:r>
                    <w:t>，一层卷绕车间、二层纺丝车间、三层熔体计量泵、四层空调机组，五层为屋面，建筑面积137446.8 m</w:t>
                  </w:r>
                  <w:r>
                    <w:rPr>
                      <w:vertAlign w:val="superscript"/>
                    </w:rPr>
                    <w:t>2</w:t>
                  </w:r>
                  <w:r>
                    <w:t>，建筑高度20.85m。楼顶设置55台热风机。二期项目位于纺丝车间东侧，拥有</w:t>
                  </w:r>
                  <w:r>
                    <w:rPr>
                      <w:kern w:val="0"/>
                      <w:szCs w:val="21"/>
                      <w:lang w:bidi="ar"/>
                    </w:rPr>
                    <w:t>6条POY生产线、4条FDY生产线</w:t>
                  </w:r>
                </w:p>
              </w:tc>
              <w:tc>
                <w:tcPr>
                  <w:tcW w:w="909" w:type="pct"/>
                  <w:vAlign w:val="center"/>
                </w:tcPr>
                <w:p w14:paraId="0152DE5A">
                  <w:pPr>
                    <w:jc w:val="center"/>
                    <w:rPr>
                      <w:kern w:val="0"/>
                      <w:szCs w:val="21"/>
                      <w:lang w:bidi="ar"/>
                    </w:rPr>
                  </w:pPr>
                  <w:r>
                    <w:rPr>
                      <w:kern w:val="0"/>
                      <w:szCs w:val="21"/>
                      <w:lang w:bidi="ar"/>
                    </w:rPr>
                    <w:t>纺丝车间2，</w:t>
                  </w:r>
                  <w:r>
                    <w:t>二期项目位于纺丝车间2西侧，</w:t>
                  </w:r>
                  <w:r>
                    <w:rPr>
                      <w:kern w:val="0"/>
                      <w:szCs w:val="21"/>
                      <w:lang w:bidi="ar"/>
                    </w:rPr>
                    <w:t>拥有4条POY生产线(熔体直纺)、3条BEY生产线(切片纺)、1条涤锦生产(切片纺)、4条FDY生产线(熔体直纺)</w:t>
                  </w:r>
                </w:p>
              </w:tc>
              <w:tc>
                <w:tcPr>
                  <w:tcW w:w="909" w:type="pct"/>
                  <w:vAlign w:val="center"/>
                </w:tcPr>
                <w:p w14:paraId="6328D951">
                  <w:pPr>
                    <w:jc w:val="center"/>
                    <w:rPr>
                      <w:kern w:val="0"/>
                      <w:szCs w:val="21"/>
                      <w:lang w:bidi="ar"/>
                    </w:rPr>
                  </w:pPr>
                  <w:r>
                    <w:t>取消一期项目尚未建设的纺丝车间2建设计划，在一期项目用地范围内重新建设二期、三期项目纺丝装置，产品方案更改，工艺调整，产能调整至55万吨/年</w:t>
                  </w:r>
                </w:p>
              </w:tc>
            </w:tr>
            <w:tr w14:paraId="6E61A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8" w:type="pct"/>
                  <w:vMerge w:val="continue"/>
                  <w:vAlign w:val="center"/>
                </w:tcPr>
                <w:p w14:paraId="15649C4C">
                  <w:pPr>
                    <w:jc w:val="center"/>
                    <w:rPr>
                      <w:szCs w:val="21"/>
                    </w:rPr>
                  </w:pPr>
                </w:p>
              </w:tc>
              <w:tc>
                <w:tcPr>
                  <w:tcW w:w="278" w:type="pct"/>
                  <w:gridSpan w:val="2"/>
                  <w:vAlign w:val="center"/>
                </w:tcPr>
                <w:p w14:paraId="4FCCBF30">
                  <w:pPr>
                    <w:widowControl/>
                    <w:jc w:val="center"/>
                    <w:rPr>
                      <w:kern w:val="0"/>
                      <w:szCs w:val="21"/>
                      <w:lang w:bidi="ar"/>
                    </w:rPr>
                  </w:pPr>
                  <w:r>
                    <w:rPr>
                      <w:kern w:val="0"/>
                      <w:szCs w:val="21"/>
                      <w:lang w:bidi="ar"/>
                    </w:rPr>
                    <w:t>办公楼</w:t>
                  </w:r>
                </w:p>
              </w:tc>
              <w:tc>
                <w:tcPr>
                  <w:tcW w:w="1240" w:type="pct"/>
                  <w:gridSpan w:val="2"/>
                  <w:vAlign w:val="center"/>
                </w:tcPr>
                <w:p w14:paraId="7CCF7B63">
                  <w:pPr>
                    <w:widowControl/>
                    <w:jc w:val="center"/>
                    <w:rPr>
                      <w:kern w:val="0"/>
                      <w:szCs w:val="21"/>
                      <w:lang w:bidi="ar"/>
                    </w:rPr>
                  </w:pPr>
                  <w:r>
                    <w:rPr>
                      <w:kern w:val="0"/>
                      <w:szCs w:val="21"/>
                      <w:lang w:bidi="ar"/>
                    </w:rPr>
                    <w:t>占地面积为3176.81平方米，建筑面积为9616平方米。总长96.8米总宽45.3米。建筑高度22.6米，建筑物火灾危险性为丙类，耐火等级为二级。</w:t>
                  </w:r>
                </w:p>
              </w:tc>
              <w:tc>
                <w:tcPr>
                  <w:tcW w:w="159" w:type="pct"/>
                  <w:vAlign w:val="center"/>
                </w:tcPr>
                <w:p w14:paraId="3EBD74D5">
                  <w:pPr>
                    <w:jc w:val="center"/>
                    <w:rPr>
                      <w:bCs/>
                      <w:szCs w:val="21"/>
                    </w:rPr>
                  </w:pPr>
                  <w:r>
                    <w:rPr>
                      <w:bCs/>
                      <w:szCs w:val="21"/>
                    </w:rPr>
                    <w:t>自建</w:t>
                  </w:r>
                </w:p>
              </w:tc>
              <w:tc>
                <w:tcPr>
                  <w:tcW w:w="467" w:type="pct"/>
                  <w:vAlign w:val="center"/>
                </w:tcPr>
                <w:p w14:paraId="0537F091">
                  <w:pPr>
                    <w:jc w:val="center"/>
                    <w:rPr>
                      <w:bCs/>
                      <w:szCs w:val="21"/>
                    </w:rPr>
                  </w:pPr>
                  <w:r>
                    <w:rPr>
                      <w:szCs w:val="21"/>
                    </w:rPr>
                    <w:t>已验收</w:t>
                  </w:r>
                </w:p>
              </w:tc>
              <w:tc>
                <w:tcPr>
                  <w:tcW w:w="920" w:type="pct"/>
                  <w:vAlign w:val="center"/>
                </w:tcPr>
                <w:p w14:paraId="4E148E57">
                  <w:pPr>
                    <w:jc w:val="center"/>
                    <w:rPr>
                      <w:kern w:val="0"/>
                      <w:szCs w:val="21"/>
                      <w:lang w:bidi="ar"/>
                    </w:rPr>
                  </w:pPr>
                  <w:r>
                    <w:rPr>
                      <w:kern w:val="0"/>
                      <w:szCs w:val="21"/>
                      <w:lang w:bidi="ar"/>
                    </w:rPr>
                    <w:t>/</w:t>
                  </w:r>
                </w:p>
              </w:tc>
              <w:tc>
                <w:tcPr>
                  <w:tcW w:w="909" w:type="pct"/>
                  <w:vAlign w:val="center"/>
                </w:tcPr>
                <w:p w14:paraId="05A58B22">
                  <w:pPr>
                    <w:jc w:val="center"/>
                    <w:rPr>
                      <w:kern w:val="0"/>
                      <w:szCs w:val="21"/>
                      <w:lang w:bidi="ar"/>
                    </w:rPr>
                  </w:pPr>
                  <w:r>
                    <w:rPr>
                      <w:kern w:val="0"/>
                      <w:szCs w:val="21"/>
                      <w:lang w:bidi="ar"/>
                    </w:rPr>
                    <w:t>/</w:t>
                  </w:r>
                </w:p>
              </w:tc>
              <w:tc>
                <w:tcPr>
                  <w:tcW w:w="909" w:type="pct"/>
                  <w:vAlign w:val="center"/>
                </w:tcPr>
                <w:p w14:paraId="3AD73D91">
                  <w:pPr>
                    <w:jc w:val="center"/>
                    <w:rPr>
                      <w:kern w:val="0"/>
                      <w:szCs w:val="21"/>
                      <w:lang w:bidi="ar"/>
                    </w:rPr>
                  </w:pPr>
                  <w:r>
                    <w:rPr>
                      <w:kern w:val="0"/>
                      <w:szCs w:val="21"/>
                      <w:lang w:bidi="ar"/>
                    </w:rPr>
                    <w:t>依托现有</w:t>
                  </w:r>
                </w:p>
              </w:tc>
            </w:tr>
            <w:tr w14:paraId="3A57AD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8" w:type="pct"/>
                  <w:vMerge w:val="continue"/>
                  <w:vAlign w:val="center"/>
                </w:tcPr>
                <w:p w14:paraId="34999AAE">
                  <w:pPr>
                    <w:jc w:val="center"/>
                    <w:rPr>
                      <w:szCs w:val="21"/>
                    </w:rPr>
                  </w:pPr>
                </w:p>
              </w:tc>
              <w:tc>
                <w:tcPr>
                  <w:tcW w:w="278" w:type="pct"/>
                  <w:gridSpan w:val="2"/>
                  <w:vAlign w:val="center"/>
                </w:tcPr>
                <w:p w14:paraId="03CFDDDB">
                  <w:pPr>
                    <w:widowControl/>
                    <w:jc w:val="center"/>
                    <w:rPr>
                      <w:kern w:val="0"/>
                      <w:szCs w:val="21"/>
                      <w:lang w:bidi="ar"/>
                    </w:rPr>
                  </w:pPr>
                  <w:r>
                    <w:rPr>
                      <w:kern w:val="0"/>
                      <w:szCs w:val="21"/>
                      <w:lang w:bidi="ar"/>
                    </w:rPr>
                    <w:t>员工食堂</w:t>
                  </w:r>
                </w:p>
              </w:tc>
              <w:tc>
                <w:tcPr>
                  <w:tcW w:w="1240" w:type="pct"/>
                  <w:gridSpan w:val="2"/>
                  <w:vAlign w:val="center"/>
                </w:tcPr>
                <w:p w14:paraId="587EC976">
                  <w:pPr>
                    <w:widowControl/>
                    <w:jc w:val="center"/>
                    <w:rPr>
                      <w:kern w:val="0"/>
                      <w:szCs w:val="21"/>
                      <w:lang w:bidi="ar"/>
                    </w:rPr>
                  </w:pPr>
                  <w:r>
                    <w:rPr>
                      <w:kern w:val="0"/>
                      <w:szCs w:val="21"/>
                      <w:lang w:bidi="ar"/>
                    </w:rPr>
                    <w:t>共1幢，合计占地面积11116.83 m</w:t>
                  </w:r>
                  <w:r>
                    <w:rPr>
                      <w:kern w:val="0"/>
                      <w:szCs w:val="21"/>
                      <w:vertAlign w:val="superscript"/>
                      <w:lang w:bidi="ar"/>
                    </w:rPr>
                    <w:t>2</w:t>
                  </w:r>
                  <w:r>
                    <w:rPr>
                      <w:kern w:val="0"/>
                      <w:szCs w:val="21"/>
                      <w:lang w:bidi="ar"/>
                    </w:rPr>
                    <w:t>，建筑面积33350.49m</w:t>
                  </w:r>
                  <w:r>
                    <w:rPr>
                      <w:kern w:val="0"/>
                      <w:szCs w:val="21"/>
                      <w:vertAlign w:val="superscript"/>
                      <w:lang w:bidi="ar"/>
                    </w:rPr>
                    <w:t>2</w:t>
                  </w:r>
                  <w:r>
                    <w:rPr>
                      <w:kern w:val="0"/>
                      <w:szCs w:val="21"/>
                      <w:lang w:bidi="ar"/>
                    </w:rPr>
                    <w:t>，高3层，建筑物火灾危险性为丙类，耐火等级为二级。位于成子河西侧厂区343国道西面</w:t>
                  </w:r>
                </w:p>
              </w:tc>
              <w:tc>
                <w:tcPr>
                  <w:tcW w:w="159" w:type="pct"/>
                  <w:vAlign w:val="center"/>
                </w:tcPr>
                <w:p w14:paraId="1303A8D5">
                  <w:pPr>
                    <w:jc w:val="center"/>
                    <w:rPr>
                      <w:bCs/>
                      <w:szCs w:val="21"/>
                    </w:rPr>
                  </w:pPr>
                  <w:r>
                    <w:rPr>
                      <w:bCs/>
                      <w:szCs w:val="21"/>
                    </w:rPr>
                    <w:t>自建</w:t>
                  </w:r>
                </w:p>
              </w:tc>
              <w:tc>
                <w:tcPr>
                  <w:tcW w:w="467" w:type="pct"/>
                  <w:vAlign w:val="center"/>
                </w:tcPr>
                <w:p w14:paraId="0E70BB9D">
                  <w:pPr>
                    <w:jc w:val="center"/>
                    <w:rPr>
                      <w:bCs/>
                      <w:szCs w:val="21"/>
                    </w:rPr>
                  </w:pPr>
                  <w:r>
                    <w:rPr>
                      <w:szCs w:val="21"/>
                    </w:rPr>
                    <w:t>已验收</w:t>
                  </w:r>
                </w:p>
              </w:tc>
              <w:tc>
                <w:tcPr>
                  <w:tcW w:w="920" w:type="pct"/>
                  <w:vAlign w:val="center"/>
                </w:tcPr>
                <w:p w14:paraId="15DA2D69">
                  <w:pPr>
                    <w:jc w:val="center"/>
                    <w:rPr>
                      <w:bCs/>
                      <w:szCs w:val="21"/>
                    </w:rPr>
                  </w:pPr>
                  <w:r>
                    <w:rPr>
                      <w:bCs/>
                      <w:szCs w:val="21"/>
                    </w:rPr>
                    <w:t>/</w:t>
                  </w:r>
                </w:p>
              </w:tc>
              <w:tc>
                <w:tcPr>
                  <w:tcW w:w="909" w:type="pct"/>
                  <w:vAlign w:val="center"/>
                </w:tcPr>
                <w:p w14:paraId="6E0CD189">
                  <w:pPr>
                    <w:jc w:val="center"/>
                    <w:rPr>
                      <w:bCs/>
                      <w:szCs w:val="21"/>
                    </w:rPr>
                  </w:pPr>
                  <w:r>
                    <w:rPr>
                      <w:bCs/>
                      <w:szCs w:val="21"/>
                    </w:rPr>
                    <w:t>/</w:t>
                  </w:r>
                </w:p>
              </w:tc>
              <w:tc>
                <w:tcPr>
                  <w:tcW w:w="909" w:type="pct"/>
                  <w:vAlign w:val="center"/>
                </w:tcPr>
                <w:p w14:paraId="7CCF5E0A">
                  <w:pPr>
                    <w:jc w:val="center"/>
                    <w:rPr>
                      <w:bCs/>
                      <w:szCs w:val="21"/>
                    </w:rPr>
                  </w:pPr>
                  <w:r>
                    <w:rPr>
                      <w:kern w:val="0"/>
                      <w:szCs w:val="21"/>
                      <w:lang w:bidi="ar"/>
                    </w:rPr>
                    <w:t>依托现有</w:t>
                  </w:r>
                </w:p>
              </w:tc>
            </w:tr>
            <w:tr w14:paraId="1FCC18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8" w:type="pct"/>
                  <w:vMerge w:val="continue"/>
                  <w:vAlign w:val="center"/>
                </w:tcPr>
                <w:p w14:paraId="50B286C8">
                  <w:pPr>
                    <w:jc w:val="center"/>
                    <w:rPr>
                      <w:szCs w:val="21"/>
                    </w:rPr>
                  </w:pPr>
                </w:p>
              </w:tc>
              <w:tc>
                <w:tcPr>
                  <w:tcW w:w="278" w:type="pct"/>
                  <w:gridSpan w:val="2"/>
                  <w:vAlign w:val="center"/>
                </w:tcPr>
                <w:p w14:paraId="6BE9782D">
                  <w:pPr>
                    <w:widowControl/>
                    <w:jc w:val="center"/>
                    <w:rPr>
                      <w:kern w:val="0"/>
                      <w:szCs w:val="21"/>
                      <w:lang w:bidi="ar"/>
                    </w:rPr>
                  </w:pPr>
                  <w:r>
                    <w:rPr>
                      <w:kern w:val="0"/>
                      <w:szCs w:val="21"/>
                      <w:lang w:bidi="ar"/>
                    </w:rPr>
                    <w:t>招聘中心</w:t>
                  </w:r>
                </w:p>
              </w:tc>
              <w:tc>
                <w:tcPr>
                  <w:tcW w:w="1240" w:type="pct"/>
                  <w:gridSpan w:val="2"/>
                  <w:vAlign w:val="center"/>
                </w:tcPr>
                <w:p w14:paraId="76B44829">
                  <w:pPr>
                    <w:widowControl/>
                    <w:jc w:val="center"/>
                    <w:rPr>
                      <w:kern w:val="0"/>
                      <w:szCs w:val="21"/>
                      <w:lang w:bidi="ar"/>
                    </w:rPr>
                  </w:pPr>
                  <w:r>
                    <w:rPr>
                      <w:kern w:val="0"/>
                      <w:szCs w:val="21"/>
                      <w:lang w:bidi="ar"/>
                    </w:rPr>
                    <w:t>共1幢，合计占地面积6955.2m</w:t>
                  </w:r>
                  <w:r>
                    <w:rPr>
                      <w:kern w:val="0"/>
                      <w:szCs w:val="21"/>
                      <w:vertAlign w:val="superscript"/>
                      <w:lang w:bidi="ar"/>
                    </w:rPr>
                    <w:t>2</w:t>
                  </w:r>
                  <w:r>
                    <w:rPr>
                      <w:kern w:val="0"/>
                      <w:szCs w:val="21"/>
                      <w:lang w:bidi="ar"/>
                    </w:rPr>
                    <w:t>，建筑面积347676m</w:t>
                  </w:r>
                  <w:r>
                    <w:rPr>
                      <w:kern w:val="0"/>
                      <w:szCs w:val="21"/>
                      <w:vertAlign w:val="superscript"/>
                      <w:lang w:bidi="ar"/>
                    </w:rPr>
                    <w:t>2</w:t>
                  </w:r>
                  <w:r>
                    <w:rPr>
                      <w:kern w:val="0"/>
                      <w:szCs w:val="21"/>
                      <w:lang w:bidi="ar"/>
                    </w:rPr>
                    <w:t>，高2层，建筑物火灾危险性为丙类，耐火等级为二级。</w:t>
                  </w:r>
                </w:p>
              </w:tc>
              <w:tc>
                <w:tcPr>
                  <w:tcW w:w="159" w:type="pct"/>
                  <w:vAlign w:val="center"/>
                </w:tcPr>
                <w:p w14:paraId="7D4149CC">
                  <w:pPr>
                    <w:jc w:val="center"/>
                    <w:rPr>
                      <w:bCs/>
                      <w:szCs w:val="21"/>
                    </w:rPr>
                  </w:pPr>
                  <w:r>
                    <w:rPr>
                      <w:bCs/>
                      <w:szCs w:val="21"/>
                    </w:rPr>
                    <w:t>自建</w:t>
                  </w:r>
                </w:p>
              </w:tc>
              <w:tc>
                <w:tcPr>
                  <w:tcW w:w="467" w:type="pct"/>
                  <w:vAlign w:val="center"/>
                </w:tcPr>
                <w:p w14:paraId="4CB90F85">
                  <w:pPr>
                    <w:jc w:val="center"/>
                    <w:rPr>
                      <w:bCs/>
                      <w:szCs w:val="21"/>
                    </w:rPr>
                  </w:pPr>
                  <w:r>
                    <w:rPr>
                      <w:szCs w:val="21"/>
                    </w:rPr>
                    <w:t>已验收</w:t>
                  </w:r>
                </w:p>
              </w:tc>
              <w:tc>
                <w:tcPr>
                  <w:tcW w:w="920" w:type="pct"/>
                  <w:vAlign w:val="center"/>
                </w:tcPr>
                <w:p w14:paraId="72953742">
                  <w:pPr>
                    <w:jc w:val="center"/>
                    <w:rPr>
                      <w:bCs/>
                      <w:szCs w:val="21"/>
                    </w:rPr>
                  </w:pPr>
                  <w:r>
                    <w:rPr>
                      <w:rFonts w:hint="eastAsia"/>
                      <w:bCs/>
                      <w:szCs w:val="21"/>
                    </w:rPr>
                    <w:t>/</w:t>
                  </w:r>
                </w:p>
              </w:tc>
              <w:tc>
                <w:tcPr>
                  <w:tcW w:w="909" w:type="pct"/>
                  <w:vAlign w:val="center"/>
                </w:tcPr>
                <w:p w14:paraId="6175C5ED">
                  <w:pPr>
                    <w:jc w:val="center"/>
                    <w:rPr>
                      <w:bCs/>
                      <w:szCs w:val="21"/>
                    </w:rPr>
                  </w:pPr>
                  <w:r>
                    <w:rPr>
                      <w:bCs/>
                      <w:szCs w:val="21"/>
                    </w:rPr>
                    <w:t>/</w:t>
                  </w:r>
                </w:p>
              </w:tc>
              <w:tc>
                <w:tcPr>
                  <w:tcW w:w="909" w:type="pct"/>
                  <w:vAlign w:val="center"/>
                </w:tcPr>
                <w:p w14:paraId="7E37051D">
                  <w:pPr>
                    <w:jc w:val="center"/>
                    <w:rPr>
                      <w:bCs/>
                      <w:szCs w:val="21"/>
                    </w:rPr>
                  </w:pPr>
                  <w:r>
                    <w:rPr>
                      <w:kern w:val="0"/>
                      <w:szCs w:val="21"/>
                      <w:lang w:bidi="ar"/>
                    </w:rPr>
                    <w:t>依托现有</w:t>
                  </w:r>
                </w:p>
              </w:tc>
            </w:tr>
            <w:tr w14:paraId="2EBE30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8" w:type="pct"/>
                  <w:vMerge w:val="continue"/>
                  <w:vAlign w:val="center"/>
                </w:tcPr>
                <w:p w14:paraId="73D7C718">
                  <w:pPr>
                    <w:jc w:val="center"/>
                    <w:rPr>
                      <w:szCs w:val="21"/>
                    </w:rPr>
                  </w:pPr>
                </w:p>
              </w:tc>
              <w:tc>
                <w:tcPr>
                  <w:tcW w:w="278" w:type="pct"/>
                  <w:gridSpan w:val="2"/>
                  <w:vAlign w:val="center"/>
                </w:tcPr>
                <w:p w14:paraId="37FDE20C">
                  <w:pPr>
                    <w:widowControl/>
                    <w:jc w:val="center"/>
                    <w:rPr>
                      <w:kern w:val="0"/>
                      <w:szCs w:val="21"/>
                      <w:lang w:bidi="ar"/>
                    </w:rPr>
                  </w:pPr>
                  <w:r>
                    <w:rPr>
                      <w:kern w:val="0"/>
                      <w:szCs w:val="21"/>
                      <w:lang w:bidi="ar"/>
                    </w:rPr>
                    <w:t>立体车库</w:t>
                  </w:r>
                </w:p>
              </w:tc>
              <w:tc>
                <w:tcPr>
                  <w:tcW w:w="1240" w:type="pct"/>
                  <w:gridSpan w:val="2"/>
                  <w:vAlign w:val="center"/>
                </w:tcPr>
                <w:p w14:paraId="21D5C9CB">
                  <w:pPr>
                    <w:widowControl/>
                    <w:jc w:val="center"/>
                    <w:rPr>
                      <w:kern w:val="0"/>
                      <w:szCs w:val="21"/>
                      <w:lang w:bidi="ar"/>
                    </w:rPr>
                  </w:pPr>
                  <w:r>
                    <w:rPr>
                      <w:kern w:val="0"/>
                      <w:szCs w:val="21"/>
                      <w:lang w:bidi="ar"/>
                    </w:rPr>
                    <w:t>合计占地面积8359.14 m</w:t>
                  </w:r>
                  <w:r>
                    <w:rPr>
                      <w:kern w:val="0"/>
                      <w:szCs w:val="21"/>
                      <w:vertAlign w:val="superscript"/>
                      <w:lang w:bidi="ar"/>
                    </w:rPr>
                    <w:t>2</w:t>
                  </w:r>
                  <w:r>
                    <w:rPr>
                      <w:kern w:val="0"/>
                      <w:szCs w:val="21"/>
                      <w:lang w:bidi="ar"/>
                    </w:rPr>
                    <w:t>，建筑面积25077.42 m</w:t>
                  </w:r>
                  <w:r>
                    <w:rPr>
                      <w:kern w:val="0"/>
                      <w:szCs w:val="21"/>
                      <w:vertAlign w:val="superscript"/>
                      <w:lang w:bidi="ar"/>
                    </w:rPr>
                    <w:t>2</w:t>
                  </w:r>
                  <w:r>
                    <w:rPr>
                      <w:kern w:val="0"/>
                      <w:szCs w:val="21"/>
                      <w:lang w:bidi="ar"/>
                    </w:rPr>
                    <w:t>，高10米，建筑物火灾危险性为丙类，耐火等级为二级，可停放机动车数量660辆。位于成子河西侧厂区343国道西面</w:t>
                  </w:r>
                </w:p>
              </w:tc>
              <w:tc>
                <w:tcPr>
                  <w:tcW w:w="159" w:type="pct"/>
                  <w:vAlign w:val="center"/>
                </w:tcPr>
                <w:p w14:paraId="21AB25A6">
                  <w:pPr>
                    <w:jc w:val="center"/>
                    <w:rPr>
                      <w:bCs/>
                      <w:szCs w:val="21"/>
                    </w:rPr>
                  </w:pPr>
                  <w:r>
                    <w:rPr>
                      <w:bCs/>
                      <w:szCs w:val="21"/>
                    </w:rPr>
                    <w:t>自建</w:t>
                  </w:r>
                </w:p>
              </w:tc>
              <w:tc>
                <w:tcPr>
                  <w:tcW w:w="467" w:type="pct"/>
                  <w:vAlign w:val="center"/>
                </w:tcPr>
                <w:p w14:paraId="3DD00DEC">
                  <w:pPr>
                    <w:jc w:val="center"/>
                    <w:rPr>
                      <w:bCs/>
                      <w:szCs w:val="21"/>
                    </w:rPr>
                  </w:pPr>
                  <w:r>
                    <w:rPr>
                      <w:szCs w:val="21"/>
                    </w:rPr>
                    <w:t>已验收</w:t>
                  </w:r>
                </w:p>
              </w:tc>
              <w:tc>
                <w:tcPr>
                  <w:tcW w:w="920" w:type="pct"/>
                  <w:vAlign w:val="center"/>
                </w:tcPr>
                <w:p w14:paraId="71B2EE8C">
                  <w:pPr>
                    <w:jc w:val="center"/>
                    <w:rPr>
                      <w:bCs/>
                      <w:szCs w:val="21"/>
                    </w:rPr>
                  </w:pPr>
                  <w:r>
                    <w:rPr>
                      <w:bCs/>
                      <w:szCs w:val="21"/>
                    </w:rPr>
                    <w:t>/</w:t>
                  </w:r>
                </w:p>
              </w:tc>
              <w:tc>
                <w:tcPr>
                  <w:tcW w:w="909" w:type="pct"/>
                  <w:vAlign w:val="center"/>
                </w:tcPr>
                <w:p w14:paraId="78766C90">
                  <w:pPr>
                    <w:jc w:val="center"/>
                    <w:rPr>
                      <w:bCs/>
                      <w:szCs w:val="21"/>
                    </w:rPr>
                  </w:pPr>
                  <w:r>
                    <w:rPr>
                      <w:bCs/>
                      <w:szCs w:val="21"/>
                    </w:rPr>
                    <w:t>/</w:t>
                  </w:r>
                </w:p>
              </w:tc>
              <w:tc>
                <w:tcPr>
                  <w:tcW w:w="909" w:type="pct"/>
                  <w:vAlign w:val="center"/>
                </w:tcPr>
                <w:p w14:paraId="722FCC51">
                  <w:pPr>
                    <w:jc w:val="center"/>
                    <w:rPr>
                      <w:bCs/>
                      <w:szCs w:val="21"/>
                    </w:rPr>
                  </w:pPr>
                  <w:r>
                    <w:rPr>
                      <w:kern w:val="0"/>
                      <w:szCs w:val="21"/>
                      <w:lang w:bidi="ar"/>
                    </w:rPr>
                    <w:t>依托现有</w:t>
                  </w:r>
                </w:p>
              </w:tc>
            </w:tr>
            <w:tr w14:paraId="688A56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8" w:type="pct"/>
                  <w:vMerge w:val="continue"/>
                  <w:vAlign w:val="center"/>
                </w:tcPr>
                <w:p w14:paraId="51686E95">
                  <w:pPr>
                    <w:jc w:val="center"/>
                    <w:rPr>
                      <w:szCs w:val="21"/>
                    </w:rPr>
                  </w:pPr>
                </w:p>
              </w:tc>
              <w:tc>
                <w:tcPr>
                  <w:tcW w:w="278" w:type="pct"/>
                  <w:gridSpan w:val="2"/>
                  <w:vAlign w:val="center"/>
                </w:tcPr>
                <w:p w14:paraId="2E672C96">
                  <w:pPr>
                    <w:widowControl/>
                    <w:jc w:val="center"/>
                    <w:rPr>
                      <w:kern w:val="0"/>
                      <w:szCs w:val="21"/>
                      <w:lang w:bidi="ar"/>
                    </w:rPr>
                  </w:pPr>
                  <w:r>
                    <w:rPr>
                      <w:kern w:val="0"/>
                      <w:szCs w:val="21"/>
                      <w:lang w:bidi="ar"/>
                    </w:rPr>
                    <w:t>非机动车库</w:t>
                  </w:r>
                </w:p>
              </w:tc>
              <w:tc>
                <w:tcPr>
                  <w:tcW w:w="1240" w:type="pct"/>
                  <w:gridSpan w:val="2"/>
                  <w:vAlign w:val="center"/>
                </w:tcPr>
                <w:p w14:paraId="472643E5">
                  <w:pPr>
                    <w:widowControl/>
                    <w:jc w:val="center"/>
                    <w:rPr>
                      <w:kern w:val="0"/>
                      <w:szCs w:val="21"/>
                      <w:lang w:bidi="ar"/>
                    </w:rPr>
                  </w:pPr>
                  <w:r>
                    <w:rPr>
                      <w:kern w:val="0"/>
                      <w:szCs w:val="21"/>
                      <w:lang w:bidi="ar"/>
                    </w:rPr>
                    <w:t>占地面积3546 m</w:t>
                  </w:r>
                  <w:r>
                    <w:rPr>
                      <w:kern w:val="0"/>
                      <w:szCs w:val="21"/>
                      <w:vertAlign w:val="superscript"/>
                      <w:lang w:bidi="ar"/>
                    </w:rPr>
                    <w:t>2</w:t>
                  </w:r>
                  <w:r>
                    <w:rPr>
                      <w:kern w:val="0"/>
                      <w:szCs w:val="21"/>
                      <w:lang w:bidi="ar"/>
                    </w:rPr>
                    <w:t>，建筑面积7092 m</w:t>
                  </w:r>
                  <w:r>
                    <w:rPr>
                      <w:kern w:val="0"/>
                      <w:szCs w:val="21"/>
                      <w:vertAlign w:val="superscript"/>
                      <w:lang w:bidi="ar"/>
                    </w:rPr>
                    <w:t>2</w:t>
                  </w:r>
                  <w:r>
                    <w:rPr>
                      <w:kern w:val="0"/>
                      <w:szCs w:val="21"/>
                      <w:lang w:bidi="ar"/>
                    </w:rPr>
                    <w:t>，屋顶材质钢结构，可停放非机动车数量2570辆。位于成子河西侧厂区343国道西面</w:t>
                  </w:r>
                </w:p>
              </w:tc>
              <w:tc>
                <w:tcPr>
                  <w:tcW w:w="159" w:type="pct"/>
                  <w:vAlign w:val="center"/>
                </w:tcPr>
                <w:p w14:paraId="22077405">
                  <w:pPr>
                    <w:jc w:val="center"/>
                    <w:rPr>
                      <w:bCs/>
                      <w:szCs w:val="21"/>
                    </w:rPr>
                  </w:pPr>
                  <w:r>
                    <w:rPr>
                      <w:bCs/>
                      <w:szCs w:val="21"/>
                    </w:rPr>
                    <w:t>自建</w:t>
                  </w:r>
                </w:p>
              </w:tc>
              <w:tc>
                <w:tcPr>
                  <w:tcW w:w="467" w:type="pct"/>
                  <w:vAlign w:val="center"/>
                </w:tcPr>
                <w:p w14:paraId="12FAB6C4">
                  <w:pPr>
                    <w:jc w:val="center"/>
                    <w:rPr>
                      <w:bCs/>
                      <w:szCs w:val="21"/>
                    </w:rPr>
                  </w:pPr>
                  <w:r>
                    <w:rPr>
                      <w:szCs w:val="21"/>
                    </w:rPr>
                    <w:t>已验收</w:t>
                  </w:r>
                </w:p>
              </w:tc>
              <w:tc>
                <w:tcPr>
                  <w:tcW w:w="920" w:type="pct"/>
                  <w:vAlign w:val="center"/>
                </w:tcPr>
                <w:p w14:paraId="3742339A">
                  <w:pPr>
                    <w:jc w:val="center"/>
                    <w:rPr>
                      <w:bCs/>
                      <w:szCs w:val="21"/>
                    </w:rPr>
                  </w:pPr>
                  <w:r>
                    <w:rPr>
                      <w:rFonts w:hint="eastAsia"/>
                      <w:bCs/>
                      <w:szCs w:val="21"/>
                    </w:rPr>
                    <w:t>/</w:t>
                  </w:r>
                </w:p>
              </w:tc>
              <w:tc>
                <w:tcPr>
                  <w:tcW w:w="909" w:type="pct"/>
                  <w:vAlign w:val="center"/>
                </w:tcPr>
                <w:p w14:paraId="01C26FD8">
                  <w:pPr>
                    <w:jc w:val="center"/>
                    <w:rPr>
                      <w:bCs/>
                      <w:szCs w:val="21"/>
                    </w:rPr>
                  </w:pPr>
                  <w:r>
                    <w:rPr>
                      <w:bCs/>
                      <w:szCs w:val="21"/>
                    </w:rPr>
                    <w:t>/</w:t>
                  </w:r>
                </w:p>
              </w:tc>
              <w:tc>
                <w:tcPr>
                  <w:tcW w:w="909" w:type="pct"/>
                  <w:vAlign w:val="center"/>
                </w:tcPr>
                <w:p w14:paraId="1B495D3B">
                  <w:pPr>
                    <w:jc w:val="center"/>
                    <w:rPr>
                      <w:bCs/>
                      <w:szCs w:val="21"/>
                    </w:rPr>
                  </w:pPr>
                  <w:r>
                    <w:rPr>
                      <w:kern w:val="0"/>
                      <w:szCs w:val="21"/>
                      <w:lang w:bidi="ar"/>
                    </w:rPr>
                    <w:t>依托现有</w:t>
                  </w:r>
                </w:p>
              </w:tc>
            </w:tr>
            <w:tr w14:paraId="60646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8" w:type="pct"/>
                  <w:vMerge w:val="continue"/>
                  <w:vAlign w:val="center"/>
                </w:tcPr>
                <w:p w14:paraId="1E34F526">
                  <w:pPr>
                    <w:jc w:val="center"/>
                    <w:rPr>
                      <w:szCs w:val="21"/>
                    </w:rPr>
                  </w:pPr>
                </w:p>
              </w:tc>
              <w:tc>
                <w:tcPr>
                  <w:tcW w:w="278" w:type="pct"/>
                  <w:gridSpan w:val="2"/>
                  <w:vAlign w:val="center"/>
                </w:tcPr>
                <w:p w14:paraId="70AD77BC">
                  <w:pPr>
                    <w:widowControl/>
                    <w:jc w:val="center"/>
                    <w:rPr>
                      <w:kern w:val="0"/>
                      <w:szCs w:val="21"/>
                      <w:lang w:bidi="ar"/>
                    </w:rPr>
                  </w:pPr>
                  <w:r>
                    <w:rPr>
                      <w:kern w:val="0"/>
                      <w:szCs w:val="21"/>
                      <w:lang w:bidi="ar"/>
                    </w:rPr>
                    <w:t>宿舍</w:t>
                  </w:r>
                </w:p>
              </w:tc>
              <w:tc>
                <w:tcPr>
                  <w:tcW w:w="1240" w:type="pct"/>
                  <w:gridSpan w:val="2"/>
                  <w:vAlign w:val="center"/>
                </w:tcPr>
                <w:p w14:paraId="49D76BB2">
                  <w:pPr>
                    <w:widowControl/>
                    <w:jc w:val="center"/>
                    <w:rPr>
                      <w:kern w:val="0"/>
                      <w:szCs w:val="21"/>
                      <w:lang w:bidi="ar"/>
                    </w:rPr>
                  </w:pPr>
                  <w:r>
                    <w:rPr>
                      <w:kern w:val="0"/>
                      <w:szCs w:val="21"/>
                      <w:lang w:bidi="ar"/>
                    </w:rPr>
                    <w:t>一期项目一阶段建设过程中，新增员工宿舍共12栋，建筑面积5397.2m</w:t>
                  </w:r>
                  <w:r>
                    <w:rPr>
                      <w:kern w:val="0"/>
                      <w:szCs w:val="21"/>
                      <w:vertAlign w:val="superscript"/>
                      <w:lang w:bidi="ar"/>
                    </w:rPr>
                    <w:t>2</w:t>
                  </w:r>
                  <w:r>
                    <w:rPr>
                      <w:kern w:val="0"/>
                      <w:szCs w:val="21"/>
                      <w:lang w:bidi="ar"/>
                    </w:rPr>
                    <w:t>/栋，高19.9m，位于成子河西侧厂区343国道西面。每栋层高5层，每层20间，可居住4800人。用于国望高科一期一阶段及芮邦科技员工居住。建筑物火灾危险性为丙类，耐火等级为二级。</w:t>
                  </w:r>
                </w:p>
              </w:tc>
              <w:tc>
                <w:tcPr>
                  <w:tcW w:w="159" w:type="pct"/>
                  <w:vAlign w:val="center"/>
                </w:tcPr>
                <w:p w14:paraId="684B6401">
                  <w:pPr>
                    <w:jc w:val="center"/>
                    <w:rPr>
                      <w:bCs/>
                      <w:szCs w:val="21"/>
                    </w:rPr>
                  </w:pPr>
                  <w:r>
                    <w:rPr>
                      <w:bCs/>
                      <w:szCs w:val="21"/>
                    </w:rPr>
                    <w:t>自建</w:t>
                  </w:r>
                </w:p>
              </w:tc>
              <w:tc>
                <w:tcPr>
                  <w:tcW w:w="467" w:type="pct"/>
                  <w:vAlign w:val="center"/>
                </w:tcPr>
                <w:p w14:paraId="2F485A1F">
                  <w:pPr>
                    <w:jc w:val="center"/>
                    <w:rPr>
                      <w:bCs/>
                      <w:szCs w:val="21"/>
                    </w:rPr>
                  </w:pPr>
                  <w:r>
                    <w:rPr>
                      <w:szCs w:val="21"/>
                    </w:rPr>
                    <w:t>已验收。</w:t>
                  </w:r>
                  <w:r>
                    <w:rPr>
                      <w:bCs/>
                      <w:szCs w:val="21"/>
                    </w:rPr>
                    <w:t>目前已入住2450名国望高科员工、2150名芮邦科技员工。并设置了50间流动倒班宿舍。房间利用率已达100%。</w:t>
                  </w:r>
                </w:p>
              </w:tc>
              <w:tc>
                <w:tcPr>
                  <w:tcW w:w="920" w:type="pct"/>
                  <w:vAlign w:val="center"/>
                </w:tcPr>
                <w:p w14:paraId="05B63659">
                  <w:pPr>
                    <w:jc w:val="center"/>
                    <w:rPr>
                      <w:bCs/>
                      <w:szCs w:val="21"/>
                    </w:rPr>
                  </w:pPr>
                  <w:r>
                    <w:rPr>
                      <w:bCs/>
                      <w:szCs w:val="21"/>
                    </w:rPr>
                    <w:t>为了解决新增新员工住宿以及倒班临时休息的需求。在原有12栋宿舍西侧新建5栋员工宿舍，</w:t>
                  </w:r>
                  <w:r>
                    <w:rPr>
                      <w:kern w:val="0"/>
                      <w:szCs w:val="21"/>
                      <w:lang w:bidi="ar"/>
                    </w:rPr>
                    <w:t>建筑面积5397.2m</w:t>
                  </w:r>
                  <w:r>
                    <w:rPr>
                      <w:kern w:val="0"/>
                      <w:szCs w:val="21"/>
                      <w:vertAlign w:val="superscript"/>
                      <w:lang w:bidi="ar"/>
                    </w:rPr>
                    <w:t>2</w:t>
                  </w:r>
                  <w:r>
                    <w:rPr>
                      <w:kern w:val="0"/>
                      <w:szCs w:val="21"/>
                      <w:lang w:bidi="ar"/>
                    </w:rPr>
                    <w:t>/栋，高19.9m，每栋层高5层，每层20间。预计可居住2400人，供二期、三期项目、以及国望高科一期项目后续工程新增员工入住。</w:t>
                  </w:r>
                </w:p>
              </w:tc>
              <w:tc>
                <w:tcPr>
                  <w:tcW w:w="909" w:type="pct"/>
                  <w:vAlign w:val="center"/>
                </w:tcPr>
                <w:p w14:paraId="3A4FBB11">
                  <w:pPr>
                    <w:jc w:val="center"/>
                    <w:rPr>
                      <w:bCs/>
                      <w:szCs w:val="21"/>
                    </w:rPr>
                  </w:pPr>
                  <w:r>
                    <w:rPr>
                      <w:bCs/>
                      <w:szCs w:val="21"/>
                    </w:rPr>
                    <w:t>依托二期项目新建宿舍</w:t>
                  </w:r>
                </w:p>
              </w:tc>
              <w:tc>
                <w:tcPr>
                  <w:tcW w:w="909" w:type="pct"/>
                  <w:vAlign w:val="center"/>
                </w:tcPr>
                <w:p w14:paraId="1FC840A3">
                  <w:pPr>
                    <w:jc w:val="center"/>
                    <w:rPr>
                      <w:bCs/>
                      <w:szCs w:val="21"/>
                    </w:rPr>
                  </w:pPr>
                  <w:r>
                    <w:rPr>
                      <w:bCs/>
                      <w:szCs w:val="21"/>
                    </w:rPr>
                    <w:t>新建</w:t>
                  </w:r>
                </w:p>
              </w:tc>
            </w:tr>
            <w:tr w14:paraId="3E5263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8" w:type="pct"/>
                  <w:vMerge w:val="restart"/>
                  <w:vAlign w:val="center"/>
                </w:tcPr>
                <w:p w14:paraId="080EBEC2">
                  <w:pPr>
                    <w:jc w:val="center"/>
                    <w:rPr>
                      <w:szCs w:val="21"/>
                    </w:rPr>
                  </w:pPr>
                  <w:r>
                    <w:rPr>
                      <w:szCs w:val="21"/>
                    </w:rPr>
                    <w:t>公辅工程</w:t>
                  </w:r>
                </w:p>
              </w:tc>
              <w:tc>
                <w:tcPr>
                  <w:tcW w:w="278" w:type="pct"/>
                  <w:gridSpan w:val="2"/>
                  <w:vAlign w:val="center"/>
                </w:tcPr>
                <w:p w14:paraId="38B8CD87">
                  <w:pPr>
                    <w:widowControl/>
                    <w:jc w:val="center"/>
                    <w:rPr>
                      <w:kern w:val="0"/>
                      <w:szCs w:val="21"/>
                      <w:lang w:bidi="ar"/>
                    </w:rPr>
                  </w:pPr>
                  <w:r>
                    <w:rPr>
                      <w:kern w:val="0"/>
                      <w:szCs w:val="21"/>
                      <w:lang w:bidi="ar"/>
                    </w:rPr>
                    <w:t>生产供水系统</w:t>
                  </w:r>
                </w:p>
              </w:tc>
              <w:tc>
                <w:tcPr>
                  <w:tcW w:w="1240" w:type="pct"/>
                  <w:gridSpan w:val="2"/>
                  <w:vAlign w:val="center"/>
                </w:tcPr>
                <w:p w14:paraId="24B17E99">
                  <w:pPr>
                    <w:widowControl/>
                    <w:jc w:val="center"/>
                    <w:rPr>
                      <w:kern w:val="0"/>
                      <w:szCs w:val="21"/>
                      <w:lang w:bidi="ar"/>
                    </w:rPr>
                  </w:pPr>
                  <w:r>
                    <w:rPr>
                      <w:kern w:val="0"/>
                      <w:szCs w:val="21"/>
                      <w:lang w:bidi="ar"/>
                    </w:rPr>
                    <w:t>成子河西侧地块工业用水依托芮邦科技厂区自备净水站，设计能力2400</w:t>
                  </w:r>
                  <w:r>
                    <w:rPr>
                      <w:rStyle w:val="55"/>
                      <w:kern w:val="0"/>
                      <w:szCs w:val="20"/>
                    </w:rPr>
                    <w:t>m</w:t>
                  </w:r>
                  <w:r>
                    <w:rPr>
                      <w:rStyle w:val="55"/>
                      <w:rFonts w:hint="eastAsia"/>
                      <w:kern w:val="0"/>
                      <w:szCs w:val="20"/>
                      <w:vertAlign w:val="superscript"/>
                    </w:rPr>
                    <w:t>3</w:t>
                  </w:r>
                  <w:r>
                    <w:rPr>
                      <w:rStyle w:val="55"/>
                      <w:kern w:val="0"/>
                      <w:szCs w:val="20"/>
                    </w:rPr>
                    <w:t>/h</w:t>
                  </w:r>
                  <w:r>
                    <w:rPr>
                      <w:kern w:val="0"/>
                      <w:szCs w:val="21"/>
                      <w:lang w:bidi="ar"/>
                    </w:rPr>
                    <w:t>，现有余量1800</w:t>
                  </w:r>
                  <w:r>
                    <w:rPr>
                      <w:rStyle w:val="55"/>
                      <w:kern w:val="0"/>
                      <w:szCs w:val="20"/>
                    </w:rPr>
                    <w:t>m</w:t>
                  </w:r>
                  <w:r>
                    <w:rPr>
                      <w:rStyle w:val="55"/>
                      <w:rFonts w:hint="eastAsia"/>
                      <w:kern w:val="0"/>
                      <w:szCs w:val="20"/>
                      <w:vertAlign w:val="superscript"/>
                    </w:rPr>
                    <w:t>3</w:t>
                  </w:r>
                  <w:r>
                    <w:rPr>
                      <w:rStyle w:val="55"/>
                      <w:kern w:val="0"/>
                      <w:szCs w:val="20"/>
                    </w:rPr>
                    <w:t>/h</w:t>
                  </w:r>
                  <w:r>
                    <w:rPr>
                      <w:kern w:val="0"/>
                      <w:szCs w:val="21"/>
                      <w:lang w:bidi="ar"/>
                    </w:rPr>
                    <w:t>，成子河西侧平均使用量600</w:t>
                  </w:r>
                  <w:r>
                    <w:rPr>
                      <w:rStyle w:val="55"/>
                      <w:kern w:val="0"/>
                      <w:szCs w:val="20"/>
                    </w:rPr>
                    <w:t>m</w:t>
                  </w:r>
                  <w:r>
                    <w:rPr>
                      <w:rStyle w:val="55"/>
                      <w:rFonts w:hint="eastAsia"/>
                      <w:kern w:val="0"/>
                      <w:szCs w:val="20"/>
                      <w:vertAlign w:val="superscript"/>
                    </w:rPr>
                    <w:t>3</w:t>
                  </w:r>
                  <w:r>
                    <w:rPr>
                      <w:rStyle w:val="55"/>
                      <w:kern w:val="0"/>
                      <w:szCs w:val="20"/>
                    </w:rPr>
                    <w:t>/h</w:t>
                  </w:r>
                </w:p>
              </w:tc>
              <w:tc>
                <w:tcPr>
                  <w:tcW w:w="159" w:type="pct"/>
                  <w:vAlign w:val="center"/>
                </w:tcPr>
                <w:p w14:paraId="48528328">
                  <w:pPr>
                    <w:jc w:val="center"/>
                    <w:rPr>
                      <w:kern w:val="0"/>
                      <w:szCs w:val="21"/>
                    </w:rPr>
                  </w:pPr>
                  <w:r>
                    <w:rPr>
                      <w:bCs/>
                      <w:szCs w:val="21"/>
                    </w:rPr>
                    <w:t>依托</w:t>
                  </w:r>
                </w:p>
              </w:tc>
              <w:tc>
                <w:tcPr>
                  <w:tcW w:w="467" w:type="pct"/>
                  <w:vAlign w:val="center"/>
                </w:tcPr>
                <w:p w14:paraId="207E6BA0">
                  <w:pPr>
                    <w:jc w:val="center"/>
                    <w:rPr>
                      <w:bCs/>
                      <w:szCs w:val="21"/>
                    </w:rPr>
                  </w:pPr>
                  <w:r>
                    <w:rPr>
                      <w:bCs/>
                      <w:szCs w:val="21"/>
                    </w:rPr>
                    <w:t>依托芮邦，平均使用量300</w:t>
                  </w:r>
                  <w:r>
                    <w:rPr>
                      <w:rStyle w:val="55"/>
                      <w:kern w:val="0"/>
                      <w:szCs w:val="20"/>
                    </w:rPr>
                    <w:t xml:space="preserve"> m</w:t>
                  </w:r>
                  <w:r>
                    <w:rPr>
                      <w:rStyle w:val="55"/>
                      <w:rFonts w:hint="eastAsia"/>
                      <w:kern w:val="0"/>
                      <w:szCs w:val="20"/>
                      <w:vertAlign w:val="superscript"/>
                    </w:rPr>
                    <w:t>3</w:t>
                  </w:r>
                  <w:r>
                    <w:rPr>
                      <w:rStyle w:val="55"/>
                      <w:kern w:val="0"/>
                      <w:szCs w:val="20"/>
                    </w:rPr>
                    <w:t>/h</w:t>
                  </w:r>
                </w:p>
              </w:tc>
              <w:tc>
                <w:tcPr>
                  <w:tcW w:w="920" w:type="pct"/>
                  <w:vAlign w:val="center"/>
                </w:tcPr>
                <w:p w14:paraId="2CF3A7A7">
                  <w:pPr>
                    <w:jc w:val="center"/>
                    <w:rPr>
                      <w:bCs/>
                      <w:szCs w:val="21"/>
                    </w:rPr>
                  </w:pPr>
                  <w:r>
                    <w:rPr>
                      <w:rStyle w:val="55"/>
                      <w:kern w:val="0"/>
                      <w:szCs w:val="20"/>
                    </w:rPr>
                    <w:t>依托芮邦科技供水站（剩余供水能力：1800m</w:t>
                  </w:r>
                  <w:r>
                    <w:rPr>
                      <w:rStyle w:val="55"/>
                      <w:rFonts w:hint="eastAsia"/>
                      <w:kern w:val="0"/>
                      <w:szCs w:val="20"/>
                      <w:vertAlign w:val="superscript"/>
                    </w:rPr>
                    <w:t>3</w:t>
                  </w:r>
                  <w:r>
                    <w:rPr>
                      <w:rStyle w:val="55"/>
                      <w:kern w:val="0"/>
                      <w:szCs w:val="20"/>
                    </w:rPr>
                    <w:t>/h）</w:t>
                  </w:r>
                  <w:r>
                    <w:rPr>
                      <w:kern w:val="0"/>
                      <w:szCs w:val="21"/>
                      <w:lang w:bidi="ar"/>
                    </w:rPr>
                    <w:t>，</w:t>
                  </w:r>
                  <w:r>
                    <w:rPr>
                      <w:rStyle w:val="55"/>
                      <w:kern w:val="0"/>
                      <w:szCs w:val="20"/>
                    </w:rPr>
                    <w:t>本项目用水需求200m</w:t>
                  </w:r>
                  <w:r>
                    <w:rPr>
                      <w:rStyle w:val="55"/>
                      <w:rFonts w:hint="eastAsia"/>
                      <w:kern w:val="0"/>
                      <w:szCs w:val="20"/>
                      <w:vertAlign w:val="superscript"/>
                    </w:rPr>
                    <w:t>3</w:t>
                  </w:r>
                  <w:r>
                    <w:rPr>
                      <w:rStyle w:val="55"/>
                      <w:kern w:val="0"/>
                      <w:szCs w:val="20"/>
                    </w:rPr>
                    <w:t>/h</w:t>
                  </w:r>
                </w:p>
              </w:tc>
              <w:tc>
                <w:tcPr>
                  <w:tcW w:w="909" w:type="pct"/>
                  <w:vAlign w:val="center"/>
                </w:tcPr>
                <w:p w14:paraId="1A7372EF">
                  <w:pPr>
                    <w:jc w:val="center"/>
                    <w:rPr>
                      <w:bCs/>
                      <w:szCs w:val="21"/>
                    </w:rPr>
                  </w:pPr>
                  <w:r>
                    <w:rPr>
                      <w:rStyle w:val="55"/>
                      <w:kern w:val="0"/>
                      <w:szCs w:val="20"/>
                    </w:rPr>
                    <w:t>依托芮邦科技供水站（供水能力：1800m</w:t>
                  </w:r>
                  <w:r>
                    <w:rPr>
                      <w:rStyle w:val="55"/>
                      <w:rFonts w:hint="eastAsia"/>
                      <w:kern w:val="0"/>
                      <w:szCs w:val="20"/>
                      <w:vertAlign w:val="superscript"/>
                    </w:rPr>
                    <w:t>3</w:t>
                  </w:r>
                  <w:r>
                    <w:rPr>
                      <w:rStyle w:val="55"/>
                      <w:kern w:val="0"/>
                      <w:szCs w:val="20"/>
                    </w:rPr>
                    <w:t>/h），本项目用水需求200m</w:t>
                  </w:r>
                  <w:r>
                    <w:rPr>
                      <w:rStyle w:val="55"/>
                      <w:rFonts w:hint="eastAsia"/>
                      <w:kern w:val="0"/>
                      <w:szCs w:val="20"/>
                      <w:vertAlign w:val="superscript"/>
                    </w:rPr>
                    <w:t>3</w:t>
                  </w:r>
                  <w:r>
                    <w:rPr>
                      <w:rStyle w:val="55"/>
                      <w:kern w:val="0"/>
                      <w:szCs w:val="20"/>
                    </w:rPr>
                    <w:t>/h</w:t>
                  </w:r>
                </w:p>
              </w:tc>
              <w:tc>
                <w:tcPr>
                  <w:tcW w:w="909" w:type="pct"/>
                  <w:vAlign w:val="center"/>
                </w:tcPr>
                <w:p w14:paraId="5A0CF651">
                  <w:pPr>
                    <w:jc w:val="center"/>
                    <w:rPr>
                      <w:bCs/>
                      <w:szCs w:val="21"/>
                    </w:rPr>
                  </w:pPr>
                  <w:r>
                    <w:rPr>
                      <w:bCs/>
                      <w:szCs w:val="21"/>
                    </w:rPr>
                    <w:t>依托芮邦</w:t>
                  </w:r>
                  <w:r>
                    <w:rPr>
                      <w:kern w:val="0"/>
                      <w:szCs w:val="21"/>
                      <w:lang w:bidi="ar"/>
                    </w:rPr>
                    <w:t>净水站</w:t>
                  </w:r>
                  <w:r>
                    <w:rPr>
                      <w:bCs/>
                      <w:szCs w:val="21"/>
                    </w:rPr>
                    <w:t>，二期三期共用水</w:t>
                  </w:r>
                  <w:r>
                    <w:rPr>
                      <w:rStyle w:val="55"/>
                      <w:kern w:val="0"/>
                      <w:szCs w:val="20"/>
                    </w:rPr>
                    <w:t>400m</w:t>
                  </w:r>
                  <w:r>
                    <w:rPr>
                      <w:rStyle w:val="55"/>
                      <w:rFonts w:hint="eastAsia"/>
                      <w:kern w:val="0"/>
                      <w:szCs w:val="20"/>
                      <w:vertAlign w:val="superscript"/>
                    </w:rPr>
                    <w:t>3</w:t>
                  </w:r>
                  <w:r>
                    <w:rPr>
                      <w:rStyle w:val="55"/>
                      <w:kern w:val="0"/>
                      <w:szCs w:val="20"/>
                    </w:rPr>
                    <w:t>/h，现有余量满足需求</w:t>
                  </w:r>
                </w:p>
              </w:tc>
            </w:tr>
            <w:tr w14:paraId="388CAD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8" w:type="pct"/>
                  <w:vMerge w:val="continue"/>
                  <w:vAlign w:val="center"/>
                </w:tcPr>
                <w:p w14:paraId="79CBC2A1">
                  <w:pPr>
                    <w:jc w:val="center"/>
                    <w:rPr>
                      <w:szCs w:val="21"/>
                    </w:rPr>
                  </w:pPr>
                </w:p>
              </w:tc>
              <w:tc>
                <w:tcPr>
                  <w:tcW w:w="278" w:type="pct"/>
                  <w:gridSpan w:val="2"/>
                  <w:vAlign w:val="center"/>
                </w:tcPr>
                <w:p w14:paraId="18F690CE">
                  <w:pPr>
                    <w:widowControl/>
                    <w:jc w:val="center"/>
                    <w:rPr>
                      <w:kern w:val="0"/>
                      <w:szCs w:val="21"/>
                      <w:lang w:bidi="ar"/>
                    </w:rPr>
                  </w:pPr>
                  <w:r>
                    <w:rPr>
                      <w:kern w:val="0"/>
                      <w:szCs w:val="21"/>
                      <w:lang w:bidi="ar"/>
                    </w:rPr>
                    <w:t>循环冷却水系统</w:t>
                  </w:r>
                </w:p>
              </w:tc>
              <w:tc>
                <w:tcPr>
                  <w:tcW w:w="1240" w:type="pct"/>
                  <w:gridSpan w:val="2"/>
                  <w:vAlign w:val="center"/>
                </w:tcPr>
                <w:p w14:paraId="461DDB1E">
                  <w:pPr>
                    <w:widowControl/>
                    <w:jc w:val="center"/>
                    <w:rPr>
                      <w:kern w:val="0"/>
                      <w:szCs w:val="21"/>
                      <w:lang w:bidi="ar"/>
                    </w:rPr>
                  </w:pPr>
                  <w:r>
                    <w:rPr>
                      <w:kern w:val="0"/>
                      <w:szCs w:val="21"/>
                      <w:lang w:bidi="ar"/>
                    </w:rPr>
                    <w:t>循环冷却水站1：4000t/h冷却塔10台，系统能力为6×6000m</w:t>
                  </w:r>
                  <w:r>
                    <w:rPr>
                      <w:kern w:val="0"/>
                      <w:szCs w:val="21"/>
                      <w:vertAlign w:val="superscript"/>
                      <w:lang w:bidi="ar"/>
                    </w:rPr>
                    <w:t>3</w:t>
                  </w:r>
                  <w:r>
                    <w:rPr>
                      <w:kern w:val="0"/>
                      <w:szCs w:val="21"/>
                      <w:lang w:bidi="ar"/>
                    </w:rPr>
                    <w:t>/h加4×2200m</w:t>
                  </w:r>
                  <w:r>
                    <w:rPr>
                      <w:kern w:val="0"/>
                      <w:szCs w:val="21"/>
                      <w:vertAlign w:val="superscript"/>
                      <w:lang w:bidi="ar"/>
                    </w:rPr>
                    <w:t>3</w:t>
                  </w:r>
                  <w:r>
                    <w:rPr>
                      <w:kern w:val="0"/>
                      <w:szCs w:val="21"/>
                      <w:lang w:bidi="ar"/>
                    </w:rPr>
                    <w:t>/h。供水压力≥0.35MPa，回水压力≥0.15MPa；供水温度≤33℃，回水温度≤43℃；污垢系数0.000345m</w:t>
                  </w:r>
                  <w:r>
                    <w:rPr>
                      <w:kern w:val="0"/>
                      <w:szCs w:val="21"/>
                      <w:vertAlign w:val="superscript"/>
                      <w:lang w:bidi="ar"/>
                    </w:rPr>
                    <w:t>2</w:t>
                  </w:r>
                  <w:r>
                    <w:rPr>
                      <w:kern w:val="0"/>
                      <w:szCs w:val="21"/>
                      <w:lang w:bidi="ar"/>
                    </w:rPr>
                    <w:t>K/W；pH值7~8.5。补水量400m</w:t>
                  </w:r>
                  <w:r>
                    <w:rPr>
                      <w:kern w:val="0"/>
                      <w:szCs w:val="21"/>
                      <w:vertAlign w:val="superscript"/>
                      <w:lang w:bidi="ar"/>
                    </w:rPr>
                    <w:t>3</w:t>
                  </w:r>
                  <w:r>
                    <w:rPr>
                      <w:kern w:val="0"/>
                      <w:szCs w:val="21"/>
                      <w:lang w:bidi="ar"/>
                    </w:rPr>
                    <w:t>/h，循环量3</w:t>
                  </w:r>
                  <w:r>
                    <w:rPr>
                      <w:szCs w:val="21"/>
                      <w:lang w:bidi="ar"/>
                    </w:rPr>
                    <w:t>6</w:t>
                  </w:r>
                  <w:r>
                    <w:rPr>
                      <w:kern w:val="0"/>
                      <w:szCs w:val="21"/>
                      <w:lang w:bidi="ar"/>
                    </w:rPr>
                    <w:t>000m</w:t>
                  </w:r>
                  <w:r>
                    <w:rPr>
                      <w:kern w:val="0"/>
                      <w:szCs w:val="21"/>
                      <w:vertAlign w:val="superscript"/>
                      <w:lang w:bidi="ar"/>
                    </w:rPr>
                    <w:t>3</w:t>
                  </w:r>
                  <w:r>
                    <w:rPr>
                      <w:kern w:val="0"/>
                      <w:szCs w:val="21"/>
                      <w:lang w:bidi="ar"/>
                    </w:rPr>
                    <w:t>/h。</w:t>
                  </w:r>
                </w:p>
              </w:tc>
              <w:tc>
                <w:tcPr>
                  <w:tcW w:w="159" w:type="pct"/>
                  <w:vAlign w:val="center"/>
                </w:tcPr>
                <w:p w14:paraId="026BF527">
                  <w:pPr>
                    <w:jc w:val="center"/>
                    <w:rPr>
                      <w:kern w:val="0"/>
                      <w:szCs w:val="21"/>
                    </w:rPr>
                  </w:pPr>
                  <w:r>
                    <w:rPr>
                      <w:bCs/>
                      <w:szCs w:val="21"/>
                    </w:rPr>
                    <w:t>自建</w:t>
                  </w:r>
                </w:p>
              </w:tc>
              <w:tc>
                <w:tcPr>
                  <w:tcW w:w="467" w:type="pct"/>
                  <w:vAlign w:val="center"/>
                </w:tcPr>
                <w:p w14:paraId="02A89830">
                  <w:pPr>
                    <w:jc w:val="center"/>
                    <w:rPr>
                      <w:bCs/>
                      <w:szCs w:val="21"/>
                    </w:rPr>
                  </w:pPr>
                  <w:r>
                    <w:rPr>
                      <w:kern w:val="0"/>
                      <w:szCs w:val="21"/>
                      <w:lang w:bidi="ar"/>
                    </w:rPr>
                    <w:t>循环冷却水站1，已建、已验收循环量9000m</w:t>
                  </w:r>
                  <w:r>
                    <w:rPr>
                      <w:kern w:val="0"/>
                      <w:szCs w:val="21"/>
                      <w:vertAlign w:val="superscript"/>
                      <w:lang w:bidi="ar"/>
                    </w:rPr>
                    <w:t>3</w:t>
                  </w:r>
                  <w:r>
                    <w:rPr>
                      <w:kern w:val="0"/>
                      <w:szCs w:val="21"/>
                      <w:lang w:bidi="ar"/>
                    </w:rPr>
                    <w:t>/h系统能力</w:t>
                  </w:r>
                </w:p>
              </w:tc>
              <w:tc>
                <w:tcPr>
                  <w:tcW w:w="920" w:type="pct"/>
                  <w:vAlign w:val="center"/>
                </w:tcPr>
                <w:p w14:paraId="5A779595">
                  <w:pPr>
                    <w:jc w:val="center"/>
                    <w:rPr>
                      <w:kern w:val="0"/>
                      <w:szCs w:val="21"/>
                      <w:lang w:bidi="ar"/>
                    </w:rPr>
                  </w:pPr>
                  <w:r>
                    <w:rPr>
                      <w:kern w:val="0"/>
                      <w:szCs w:val="21"/>
                      <w:lang w:bidi="ar"/>
                    </w:rPr>
                    <w:t>依托现有循环冷却水站1</w:t>
                  </w:r>
                </w:p>
              </w:tc>
              <w:tc>
                <w:tcPr>
                  <w:tcW w:w="909" w:type="pct"/>
                  <w:vAlign w:val="center"/>
                </w:tcPr>
                <w:p w14:paraId="38B26C5C">
                  <w:pPr>
                    <w:jc w:val="center"/>
                    <w:rPr>
                      <w:kern w:val="0"/>
                      <w:szCs w:val="21"/>
                      <w:lang w:bidi="ar"/>
                    </w:rPr>
                  </w:pPr>
                  <w:r>
                    <w:rPr>
                      <w:kern w:val="0"/>
                      <w:szCs w:val="21"/>
                      <w:lang w:bidi="ar"/>
                    </w:rPr>
                    <w:t xml:space="preserve">依托现有循环冷却水站1 </w:t>
                  </w:r>
                </w:p>
              </w:tc>
              <w:tc>
                <w:tcPr>
                  <w:tcW w:w="909" w:type="pct"/>
                  <w:vAlign w:val="center"/>
                </w:tcPr>
                <w:p w14:paraId="770E23AE">
                  <w:pPr>
                    <w:widowControl/>
                    <w:jc w:val="center"/>
                    <w:rPr>
                      <w:kern w:val="0"/>
                      <w:szCs w:val="21"/>
                    </w:rPr>
                  </w:pPr>
                  <w:r>
                    <w:rPr>
                      <w:kern w:val="0"/>
                      <w:szCs w:val="21"/>
                      <w:lang w:bidi="ar"/>
                    </w:rPr>
                    <w:t>依托一期项目循环冷却水站1，</w:t>
                  </w:r>
                  <w:r>
                    <w:t>按照批复要求续建。</w:t>
                  </w:r>
                  <w:r>
                    <w:rPr>
                      <w:kern w:val="0"/>
                      <w:szCs w:val="21"/>
                      <w:lang w:bidi="ar"/>
                    </w:rPr>
                    <w:t>循环冷却水站1内续建</w:t>
                  </w:r>
                  <w:r>
                    <w:rPr>
                      <w:kern w:val="0"/>
                      <w:szCs w:val="21"/>
                    </w:rPr>
                    <w:t>逆流机械通风钢筋混凝土框架冷却塔，处理水量Q=4500m³/h含风机*4：N=185.0kW*4</w:t>
                  </w:r>
                </w:p>
                <w:p w14:paraId="2FF3D705">
                  <w:pPr>
                    <w:jc w:val="center"/>
                    <w:rPr>
                      <w:kern w:val="0"/>
                      <w:szCs w:val="21"/>
                      <w:lang w:bidi="ar"/>
                    </w:rPr>
                  </w:pPr>
                  <w:r>
                    <w:rPr>
                      <w:kern w:val="0"/>
                      <w:szCs w:val="21"/>
                    </w:rPr>
                    <w:t>扩建循环水冷却水供水泵 Q=6000m</w:t>
                  </w:r>
                  <w:r>
                    <w:rPr>
                      <w:kern w:val="0"/>
                      <w:szCs w:val="21"/>
                      <w:vertAlign w:val="superscript"/>
                    </w:rPr>
                    <w:t>3</w:t>
                  </w:r>
                  <w:r>
                    <w:rPr>
                      <w:kern w:val="0"/>
                      <w:szCs w:val="21"/>
                    </w:rPr>
                    <w:t>/h，H=35m，N=800kW</w:t>
                  </w:r>
                </w:p>
              </w:tc>
            </w:tr>
            <w:tr w14:paraId="77A9EA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8" w:type="pct"/>
                  <w:vMerge w:val="continue"/>
                  <w:vAlign w:val="center"/>
                </w:tcPr>
                <w:p w14:paraId="07DECF83">
                  <w:pPr>
                    <w:jc w:val="center"/>
                    <w:rPr>
                      <w:szCs w:val="21"/>
                    </w:rPr>
                  </w:pPr>
                </w:p>
              </w:tc>
              <w:tc>
                <w:tcPr>
                  <w:tcW w:w="278" w:type="pct"/>
                  <w:gridSpan w:val="2"/>
                  <w:vAlign w:val="center"/>
                </w:tcPr>
                <w:p w14:paraId="09CB799C">
                  <w:pPr>
                    <w:widowControl/>
                    <w:jc w:val="center"/>
                    <w:rPr>
                      <w:kern w:val="0"/>
                      <w:szCs w:val="21"/>
                      <w:lang w:bidi="ar"/>
                    </w:rPr>
                  </w:pPr>
                  <w:r>
                    <w:rPr>
                      <w:kern w:val="0"/>
                      <w:szCs w:val="21"/>
                      <w:lang w:bidi="ar"/>
                    </w:rPr>
                    <w:t>制冷</w:t>
                  </w:r>
                </w:p>
              </w:tc>
              <w:tc>
                <w:tcPr>
                  <w:tcW w:w="1240" w:type="pct"/>
                  <w:gridSpan w:val="2"/>
                  <w:vAlign w:val="center"/>
                </w:tcPr>
                <w:p w14:paraId="5E04FECE">
                  <w:pPr>
                    <w:widowControl/>
                    <w:jc w:val="center"/>
                    <w:rPr>
                      <w:kern w:val="0"/>
                      <w:szCs w:val="21"/>
                      <w:lang w:bidi="ar"/>
                    </w:rPr>
                  </w:pPr>
                  <w:r>
                    <w:rPr>
                      <w:kern w:val="0"/>
                      <w:szCs w:val="21"/>
                      <w:lang w:bidi="ar"/>
                    </w:rPr>
                    <w:t>冷源：设立制冷站提供冷冻水，供水温度7℃，回水温度12℃。制冷站总制冷量为25200万kcal/小时</w:t>
                  </w:r>
                </w:p>
              </w:tc>
              <w:tc>
                <w:tcPr>
                  <w:tcW w:w="159" w:type="pct"/>
                  <w:vAlign w:val="center"/>
                </w:tcPr>
                <w:p w14:paraId="00B01A54">
                  <w:pPr>
                    <w:jc w:val="center"/>
                    <w:rPr>
                      <w:kern w:val="0"/>
                      <w:szCs w:val="21"/>
                    </w:rPr>
                  </w:pPr>
                  <w:r>
                    <w:rPr>
                      <w:bCs/>
                      <w:szCs w:val="21"/>
                    </w:rPr>
                    <w:t>自建</w:t>
                  </w:r>
                </w:p>
              </w:tc>
              <w:tc>
                <w:tcPr>
                  <w:tcW w:w="467" w:type="pct"/>
                  <w:vAlign w:val="center"/>
                </w:tcPr>
                <w:p w14:paraId="7EEEB4CB">
                  <w:pPr>
                    <w:jc w:val="center"/>
                    <w:rPr>
                      <w:bCs/>
                      <w:szCs w:val="21"/>
                    </w:rPr>
                  </w:pPr>
                  <w:r>
                    <w:rPr>
                      <w:szCs w:val="21"/>
                    </w:rPr>
                    <w:t>已建、已验收</w:t>
                  </w:r>
                  <w:r>
                    <w:rPr>
                      <w:rFonts w:hint="eastAsia"/>
                      <w:szCs w:val="21"/>
                    </w:rPr>
                    <w:t>5105</w:t>
                  </w:r>
                  <w:r>
                    <w:rPr>
                      <w:kern w:val="0"/>
                      <w:szCs w:val="21"/>
                      <w:lang w:bidi="ar"/>
                    </w:rPr>
                    <w:t>万kcal/小时制冷能力</w:t>
                  </w:r>
                </w:p>
              </w:tc>
              <w:tc>
                <w:tcPr>
                  <w:tcW w:w="920" w:type="pct"/>
                  <w:vAlign w:val="center"/>
                </w:tcPr>
                <w:p w14:paraId="269ADD5D">
                  <w:pPr>
                    <w:jc w:val="center"/>
                    <w:rPr>
                      <w:kern w:val="0"/>
                      <w:szCs w:val="21"/>
                      <w:lang w:bidi="ar"/>
                    </w:rPr>
                  </w:pPr>
                  <w:r>
                    <w:rPr>
                      <w:kern w:val="0"/>
                      <w:szCs w:val="21"/>
                      <w:lang w:bidi="ar"/>
                    </w:rPr>
                    <w:t>依托现有制冷站</w:t>
                  </w:r>
                </w:p>
              </w:tc>
              <w:tc>
                <w:tcPr>
                  <w:tcW w:w="909" w:type="pct"/>
                  <w:vAlign w:val="center"/>
                </w:tcPr>
                <w:p w14:paraId="1E2B0357">
                  <w:pPr>
                    <w:jc w:val="center"/>
                    <w:rPr>
                      <w:kern w:val="0"/>
                      <w:szCs w:val="21"/>
                      <w:lang w:bidi="ar"/>
                    </w:rPr>
                  </w:pPr>
                  <w:r>
                    <w:rPr>
                      <w:kern w:val="0"/>
                      <w:szCs w:val="21"/>
                      <w:lang w:bidi="ar"/>
                    </w:rPr>
                    <w:t>依托现有制冷站</w:t>
                  </w:r>
                </w:p>
              </w:tc>
              <w:tc>
                <w:tcPr>
                  <w:tcW w:w="909" w:type="pct"/>
                  <w:vAlign w:val="center"/>
                </w:tcPr>
                <w:p w14:paraId="732BF02D">
                  <w:pPr>
                    <w:jc w:val="center"/>
                    <w:rPr>
                      <w:kern w:val="0"/>
                      <w:szCs w:val="21"/>
                      <w:lang w:bidi="ar"/>
                    </w:rPr>
                  </w:pPr>
                  <w:r>
                    <w:t>在一期一阶段已验收制冷站按照批复要求续建，新增设备，</w:t>
                  </w:r>
                  <w:r>
                    <w:rPr>
                      <w:kern w:val="0"/>
                      <w:szCs w:val="21"/>
                      <w:lang w:bidi="ar"/>
                    </w:rPr>
                    <w:t>制冷站中</w:t>
                  </w:r>
                  <w:r>
                    <w:rPr>
                      <w:kern w:val="0"/>
                      <w:szCs w:val="21"/>
                    </w:rPr>
                    <w:t>新增热水型溴化锂吸收式冷水机组（共5台），单台制冷量：4651kW，其中3台热水循环泵循环流量：400m³/h，扬程：35m。2台0.19MPa离心式空压机排气能力：220Nm³/m，额定处理气量：250Nm³/min</w:t>
                  </w:r>
                  <w:r>
                    <w:rPr>
                      <w:rFonts w:hint="eastAsia"/>
                      <w:kern w:val="0"/>
                      <w:szCs w:val="21"/>
                    </w:rPr>
                    <w:t>。建成后制冷总量达到1</w:t>
                  </w:r>
                  <w:r>
                    <w:rPr>
                      <w:rFonts w:hint="eastAsia"/>
                      <w:szCs w:val="21"/>
                    </w:rPr>
                    <w:t>0000</w:t>
                  </w:r>
                  <w:r>
                    <w:rPr>
                      <w:kern w:val="0"/>
                      <w:szCs w:val="21"/>
                      <w:lang w:bidi="ar"/>
                    </w:rPr>
                    <w:t>万kcal/小时</w:t>
                  </w:r>
                  <w:r>
                    <w:rPr>
                      <w:rFonts w:hint="eastAsia"/>
                      <w:kern w:val="0"/>
                      <w:szCs w:val="21"/>
                      <w:lang w:bidi="ar"/>
                    </w:rPr>
                    <w:t>，满足成子河西侧制冷需求。</w:t>
                  </w:r>
                </w:p>
              </w:tc>
            </w:tr>
            <w:tr w14:paraId="79ACE1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8" w:type="pct"/>
                  <w:vMerge w:val="continue"/>
                  <w:vAlign w:val="center"/>
                </w:tcPr>
                <w:p w14:paraId="4CA1AF6F">
                  <w:pPr>
                    <w:jc w:val="center"/>
                    <w:rPr>
                      <w:szCs w:val="21"/>
                    </w:rPr>
                  </w:pPr>
                </w:p>
              </w:tc>
              <w:tc>
                <w:tcPr>
                  <w:tcW w:w="278" w:type="pct"/>
                  <w:gridSpan w:val="2"/>
                  <w:vAlign w:val="center"/>
                </w:tcPr>
                <w:p w14:paraId="71D423FE">
                  <w:pPr>
                    <w:widowControl/>
                    <w:jc w:val="center"/>
                    <w:rPr>
                      <w:kern w:val="0"/>
                      <w:szCs w:val="21"/>
                      <w:lang w:bidi="ar"/>
                    </w:rPr>
                  </w:pPr>
                  <w:r>
                    <w:rPr>
                      <w:kern w:val="0"/>
                      <w:szCs w:val="21"/>
                      <w:lang w:bidi="ar"/>
                    </w:rPr>
                    <w:t>除盐水系统</w:t>
                  </w:r>
                </w:p>
              </w:tc>
              <w:tc>
                <w:tcPr>
                  <w:tcW w:w="1240" w:type="pct"/>
                  <w:gridSpan w:val="2"/>
                  <w:vAlign w:val="center"/>
                </w:tcPr>
                <w:p w14:paraId="7275ABF9">
                  <w:pPr>
                    <w:widowControl/>
                    <w:jc w:val="center"/>
                    <w:rPr>
                      <w:kern w:val="0"/>
                      <w:szCs w:val="21"/>
                      <w:lang w:bidi="ar"/>
                    </w:rPr>
                  </w:pPr>
                  <w:r>
                    <w:rPr>
                      <w:kern w:val="0"/>
                      <w:szCs w:val="21"/>
                      <w:lang w:bidi="ar"/>
                    </w:rPr>
                    <w:t>依托芮邦科技供水站（</w:t>
                  </w:r>
                  <w:r>
                    <w:rPr>
                      <w:rStyle w:val="55"/>
                      <w:rFonts w:hint="eastAsia"/>
                      <w:szCs w:val="20"/>
                    </w:rPr>
                    <w:t>除盐水设计供给能力60</w:t>
                  </w:r>
                  <w:r>
                    <w:rPr>
                      <w:rStyle w:val="55"/>
                      <w:kern w:val="0"/>
                      <w:szCs w:val="20"/>
                    </w:rPr>
                    <w:t>m³/h，芮邦科技用水</w:t>
                  </w:r>
                  <w:r>
                    <w:rPr>
                      <w:rStyle w:val="55"/>
                      <w:rFonts w:hint="eastAsia"/>
                      <w:kern w:val="0"/>
                      <w:szCs w:val="20"/>
                    </w:rPr>
                    <w:t>30</w:t>
                  </w:r>
                  <w:r>
                    <w:rPr>
                      <w:rStyle w:val="55"/>
                      <w:kern w:val="0"/>
                      <w:szCs w:val="20"/>
                    </w:rPr>
                    <w:t xml:space="preserve"> m</w:t>
                  </w:r>
                  <w:r>
                    <w:rPr>
                      <w:rStyle w:val="55"/>
                      <w:rFonts w:hint="eastAsia"/>
                      <w:kern w:val="0"/>
                      <w:szCs w:val="20"/>
                      <w:vertAlign w:val="superscript"/>
                    </w:rPr>
                    <w:t>3</w:t>
                  </w:r>
                  <w:r>
                    <w:rPr>
                      <w:rStyle w:val="55"/>
                      <w:kern w:val="0"/>
                      <w:szCs w:val="20"/>
                    </w:rPr>
                    <w:t>/h，余量</w:t>
                  </w:r>
                  <w:r>
                    <w:rPr>
                      <w:rStyle w:val="55"/>
                      <w:rFonts w:hint="eastAsia"/>
                      <w:kern w:val="0"/>
                      <w:szCs w:val="20"/>
                    </w:rPr>
                    <w:t>30</w:t>
                  </w:r>
                  <w:r>
                    <w:rPr>
                      <w:rStyle w:val="55"/>
                      <w:kern w:val="0"/>
                      <w:szCs w:val="20"/>
                    </w:rPr>
                    <w:t xml:space="preserve"> m</w:t>
                  </w:r>
                  <w:r>
                    <w:rPr>
                      <w:rStyle w:val="55"/>
                      <w:rFonts w:hint="eastAsia"/>
                      <w:kern w:val="0"/>
                      <w:szCs w:val="20"/>
                      <w:vertAlign w:val="superscript"/>
                    </w:rPr>
                    <w:t>3</w:t>
                  </w:r>
                  <w:r>
                    <w:rPr>
                      <w:rStyle w:val="55"/>
                      <w:kern w:val="0"/>
                      <w:szCs w:val="20"/>
                    </w:rPr>
                    <w:t>/h）</w:t>
                  </w:r>
                </w:p>
              </w:tc>
              <w:tc>
                <w:tcPr>
                  <w:tcW w:w="159" w:type="pct"/>
                  <w:vAlign w:val="center"/>
                </w:tcPr>
                <w:p w14:paraId="27537475">
                  <w:pPr>
                    <w:jc w:val="center"/>
                    <w:rPr>
                      <w:szCs w:val="21"/>
                    </w:rPr>
                  </w:pPr>
                  <w:r>
                    <w:rPr>
                      <w:bCs/>
                      <w:szCs w:val="21"/>
                    </w:rPr>
                    <w:t>自建</w:t>
                  </w:r>
                </w:p>
              </w:tc>
              <w:tc>
                <w:tcPr>
                  <w:tcW w:w="467" w:type="pct"/>
                  <w:vAlign w:val="center"/>
                </w:tcPr>
                <w:p w14:paraId="47A76FDD">
                  <w:pPr>
                    <w:jc w:val="center"/>
                    <w:rPr>
                      <w:bCs/>
                      <w:szCs w:val="21"/>
                    </w:rPr>
                  </w:pPr>
                  <w:r>
                    <w:rPr>
                      <w:bCs/>
                      <w:szCs w:val="21"/>
                    </w:rPr>
                    <w:t>已验收，</w:t>
                  </w:r>
                  <w:r>
                    <w:rPr>
                      <w:rFonts w:hint="eastAsia"/>
                      <w:bCs/>
                      <w:szCs w:val="21"/>
                    </w:rPr>
                    <w:t>国望高科</w:t>
                  </w:r>
                  <w:r>
                    <w:rPr>
                      <w:bCs/>
                      <w:szCs w:val="21"/>
                    </w:rPr>
                    <w:t>现有项目用水</w:t>
                  </w:r>
                  <w:r>
                    <w:rPr>
                      <w:rStyle w:val="55"/>
                      <w:rFonts w:hint="eastAsia"/>
                      <w:kern w:val="0"/>
                      <w:szCs w:val="20"/>
                    </w:rPr>
                    <w:t>15</w:t>
                  </w:r>
                  <w:r>
                    <w:rPr>
                      <w:rStyle w:val="55"/>
                      <w:kern w:val="0"/>
                      <w:szCs w:val="20"/>
                    </w:rPr>
                    <w:t xml:space="preserve"> m</w:t>
                  </w:r>
                  <w:r>
                    <w:rPr>
                      <w:rStyle w:val="55"/>
                      <w:rFonts w:hint="eastAsia"/>
                      <w:kern w:val="0"/>
                      <w:szCs w:val="20"/>
                      <w:vertAlign w:val="superscript"/>
                    </w:rPr>
                    <w:t>3</w:t>
                  </w:r>
                  <w:r>
                    <w:rPr>
                      <w:rStyle w:val="55"/>
                      <w:kern w:val="0"/>
                      <w:szCs w:val="20"/>
                    </w:rPr>
                    <w:t>/h</w:t>
                  </w:r>
                </w:p>
              </w:tc>
              <w:tc>
                <w:tcPr>
                  <w:tcW w:w="920" w:type="pct"/>
                  <w:vAlign w:val="center"/>
                </w:tcPr>
                <w:p w14:paraId="7D7B566F">
                  <w:pPr>
                    <w:jc w:val="center"/>
                    <w:rPr>
                      <w:bCs/>
                      <w:szCs w:val="21"/>
                    </w:rPr>
                  </w:pPr>
                  <w:r>
                    <w:rPr>
                      <w:rStyle w:val="55"/>
                      <w:kern w:val="0"/>
                      <w:szCs w:val="20"/>
                    </w:rPr>
                    <w:t>依托芮邦科技供水站（</w:t>
                  </w:r>
                  <w:r>
                    <w:rPr>
                      <w:rStyle w:val="55"/>
                      <w:rFonts w:hint="eastAsia"/>
                      <w:szCs w:val="20"/>
                    </w:rPr>
                    <w:t>除盐水设计供给能力60</w:t>
                  </w:r>
                  <w:r>
                    <w:rPr>
                      <w:rStyle w:val="55"/>
                      <w:kern w:val="0"/>
                      <w:szCs w:val="20"/>
                    </w:rPr>
                    <w:t>m³/h</w:t>
                  </w:r>
                  <w:r>
                    <w:rPr>
                      <w:rStyle w:val="55"/>
                      <w:rFonts w:hint="eastAsia"/>
                      <w:kern w:val="0"/>
                      <w:szCs w:val="20"/>
                    </w:rPr>
                    <w:t>、余量15</w:t>
                  </w:r>
                  <w:r>
                    <w:rPr>
                      <w:rStyle w:val="55"/>
                      <w:kern w:val="0"/>
                      <w:szCs w:val="20"/>
                    </w:rPr>
                    <w:t xml:space="preserve"> m</w:t>
                  </w:r>
                  <w:r>
                    <w:rPr>
                      <w:rStyle w:val="55"/>
                      <w:rFonts w:hint="eastAsia"/>
                      <w:kern w:val="0"/>
                      <w:szCs w:val="20"/>
                      <w:vertAlign w:val="superscript"/>
                    </w:rPr>
                    <w:t>3</w:t>
                  </w:r>
                  <w:r>
                    <w:rPr>
                      <w:rStyle w:val="55"/>
                      <w:kern w:val="0"/>
                      <w:szCs w:val="20"/>
                    </w:rPr>
                    <w:t>/h），二期项目用水需求</w:t>
                  </w:r>
                  <w:r>
                    <w:rPr>
                      <w:rStyle w:val="55"/>
                      <w:rFonts w:hint="eastAsia"/>
                      <w:kern w:val="0"/>
                      <w:szCs w:val="20"/>
                    </w:rPr>
                    <w:t>5</w:t>
                  </w:r>
                  <w:r>
                    <w:rPr>
                      <w:rStyle w:val="55"/>
                      <w:kern w:val="0"/>
                      <w:szCs w:val="20"/>
                    </w:rPr>
                    <w:t xml:space="preserve"> m</w:t>
                  </w:r>
                  <w:r>
                    <w:rPr>
                      <w:rStyle w:val="55"/>
                      <w:rFonts w:hint="eastAsia"/>
                      <w:kern w:val="0"/>
                      <w:szCs w:val="20"/>
                      <w:vertAlign w:val="superscript"/>
                    </w:rPr>
                    <w:t>3</w:t>
                  </w:r>
                  <w:r>
                    <w:rPr>
                      <w:rStyle w:val="55"/>
                      <w:kern w:val="0"/>
                      <w:szCs w:val="20"/>
                    </w:rPr>
                    <w:t>/h</w:t>
                  </w:r>
                </w:p>
              </w:tc>
              <w:tc>
                <w:tcPr>
                  <w:tcW w:w="909" w:type="pct"/>
                  <w:vAlign w:val="center"/>
                </w:tcPr>
                <w:p w14:paraId="7FAFE8C4">
                  <w:pPr>
                    <w:jc w:val="center"/>
                    <w:rPr>
                      <w:bCs/>
                      <w:szCs w:val="21"/>
                    </w:rPr>
                  </w:pPr>
                  <w:r>
                    <w:rPr>
                      <w:rStyle w:val="55"/>
                      <w:kern w:val="0"/>
                      <w:szCs w:val="20"/>
                    </w:rPr>
                    <w:t>依托芮邦科技供水站</w:t>
                  </w:r>
                  <w:r>
                    <w:rPr>
                      <w:rStyle w:val="55"/>
                      <w:rFonts w:hint="eastAsia"/>
                      <w:szCs w:val="20"/>
                    </w:rPr>
                    <w:t>除盐水设计供给能力60</w:t>
                  </w:r>
                  <w:r>
                    <w:rPr>
                      <w:rStyle w:val="55"/>
                      <w:kern w:val="0"/>
                      <w:szCs w:val="20"/>
                    </w:rPr>
                    <w:t>m</w:t>
                  </w:r>
                  <w:r>
                    <w:rPr>
                      <w:rStyle w:val="55"/>
                      <w:rFonts w:hint="eastAsia"/>
                      <w:kern w:val="0"/>
                      <w:szCs w:val="20"/>
                      <w:vertAlign w:val="superscript"/>
                    </w:rPr>
                    <w:t>3</w:t>
                  </w:r>
                  <w:r>
                    <w:rPr>
                      <w:rStyle w:val="55"/>
                      <w:kern w:val="0"/>
                      <w:szCs w:val="20"/>
                    </w:rPr>
                    <w:t>/h</w:t>
                  </w:r>
                  <w:r>
                    <w:rPr>
                      <w:rStyle w:val="55"/>
                      <w:rFonts w:hint="eastAsia"/>
                      <w:kern w:val="0"/>
                      <w:szCs w:val="20"/>
                    </w:rPr>
                    <w:t>、余量15</w:t>
                  </w:r>
                  <w:r>
                    <w:rPr>
                      <w:rStyle w:val="55"/>
                      <w:kern w:val="0"/>
                      <w:szCs w:val="20"/>
                    </w:rPr>
                    <w:t xml:space="preserve"> m</w:t>
                  </w:r>
                  <w:r>
                    <w:rPr>
                      <w:rStyle w:val="55"/>
                      <w:rFonts w:hint="eastAsia"/>
                      <w:kern w:val="0"/>
                      <w:szCs w:val="20"/>
                      <w:vertAlign w:val="superscript"/>
                    </w:rPr>
                    <w:t>3</w:t>
                  </w:r>
                  <w:r>
                    <w:rPr>
                      <w:rStyle w:val="55"/>
                      <w:kern w:val="0"/>
                      <w:szCs w:val="20"/>
                    </w:rPr>
                    <w:t>/h），三期项目用水需求</w:t>
                  </w:r>
                  <w:r>
                    <w:rPr>
                      <w:rStyle w:val="55"/>
                      <w:rFonts w:hint="eastAsia"/>
                      <w:kern w:val="0"/>
                      <w:szCs w:val="20"/>
                    </w:rPr>
                    <w:t>5</w:t>
                  </w:r>
                  <w:r>
                    <w:rPr>
                      <w:rStyle w:val="55"/>
                      <w:kern w:val="0"/>
                      <w:szCs w:val="20"/>
                    </w:rPr>
                    <w:t xml:space="preserve"> m</w:t>
                  </w:r>
                  <w:r>
                    <w:rPr>
                      <w:rStyle w:val="55"/>
                      <w:rFonts w:hint="eastAsia"/>
                      <w:kern w:val="0"/>
                      <w:szCs w:val="20"/>
                      <w:vertAlign w:val="superscript"/>
                    </w:rPr>
                    <w:t>3</w:t>
                  </w:r>
                  <w:r>
                    <w:rPr>
                      <w:rStyle w:val="55"/>
                      <w:kern w:val="0"/>
                      <w:szCs w:val="20"/>
                    </w:rPr>
                    <w:t>/h</w:t>
                  </w:r>
                </w:p>
              </w:tc>
              <w:tc>
                <w:tcPr>
                  <w:tcW w:w="909" w:type="pct"/>
                  <w:vAlign w:val="center"/>
                </w:tcPr>
                <w:p w14:paraId="1A819E91">
                  <w:pPr>
                    <w:jc w:val="center"/>
                    <w:rPr>
                      <w:bCs/>
                      <w:szCs w:val="21"/>
                    </w:rPr>
                  </w:pPr>
                  <w:r>
                    <w:rPr>
                      <w:szCs w:val="21"/>
                    </w:rPr>
                    <w:t>依托芮邦</w:t>
                  </w:r>
                  <w:r>
                    <w:rPr>
                      <w:rStyle w:val="55"/>
                      <w:kern w:val="0"/>
                      <w:szCs w:val="20"/>
                    </w:rPr>
                    <w:t>科技供水站，项目芮邦科技及国望高科已验收项目</w:t>
                  </w:r>
                  <w:r>
                    <w:rPr>
                      <w:rStyle w:val="55"/>
                      <w:rFonts w:hint="eastAsia"/>
                      <w:kern w:val="0"/>
                      <w:szCs w:val="20"/>
                    </w:rPr>
                    <w:t>除盐水</w:t>
                  </w:r>
                  <w:r>
                    <w:rPr>
                      <w:rStyle w:val="55"/>
                      <w:kern w:val="0"/>
                      <w:szCs w:val="20"/>
                    </w:rPr>
                    <w:t>水</w:t>
                  </w:r>
                  <w:r>
                    <w:rPr>
                      <w:rStyle w:val="55"/>
                      <w:rFonts w:hint="eastAsia"/>
                      <w:kern w:val="0"/>
                      <w:szCs w:val="20"/>
                    </w:rPr>
                    <w:t>45</w:t>
                  </w:r>
                  <w:r>
                    <w:rPr>
                      <w:rStyle w:val="55"/>
                      <w:kern w:val="0"/>
                      <w:szCs w:val="20"/>
                    </w:rPr>
                    <w:t>m</w:t>
                  </w:r>
                  <w:r>
                    <w:rPr>
                      <w:rStyle w:val="55"/>
                      <w:kern w:val="0"/>
                      <w:szCs w:val="20"/>
                      <w:vertAlign w:val="superscript"/>
                    </w:rPr>
                    <w:t>2</w:t>
                  </w:r>
                  <w:r>
                    <w:rPr>
                      <w:rStyle w:val="55"/>
                      <w:kern w:val="0"/>
                      <w:szCs w:val="20"/>
                    </w:rPr>
                    <w:t>/h，二期、三期项目用水需求攻击</w:t>
                  </w:r>
                  <w:r>
                    <w:rPr>
                      <w:rStyle w:val="55"/>
                      <w:rFonts w:hint="eastAsia"/>
                      <w:kern w:val="0"/>
                      <w:szCs w:val="20"/>
                    </w:rPr>
                    <w:t>10</w:t>
                  </w:r>
                  <w:r>
                    <w:rPr>
                      <w:rStyle w:val="55"/>
                      <w:kern w:val="0"/>
                      <w:szCs w:val="20"/>
                    </w:rPr>
                    <w:t xml:space="preserve"> m</w:t>
                  </w:r>
                  <w:r>
                    <w:rPr>
                      <w:rStyle w:val="55"/>
                      <w:rFonts w:hint="eastAsia"/>
                      <w:kern w:val="0"/>
                      <w:szCs w:val="20"/>
                      <w:vertAlign w:val="superscript"/>
                    </w:rPr>
                    <w:t>3</w:t>
                  </w:r>
                  <w:r>
                    <w:rPr>
                      <w:rStyle w:val="55"/>
                      <w:kern w:val="0"/>
                      <w:szCs w:val="20"/>
                    </w:rPr>
                    <w:t>/h，芮邦科技供水站</w:t>
                  </w:r>
                  <w:r>
                    <w:rPr>
                      <w:rStyle w:val="55"/>
                      <w:rFonts w:hint="eastAsia"/>
                      <w:szCs w:val="20"/>
                    </w:rPr>
                    <w:t>除盐水设计供给能力60</w:t>
                  </w:r>
                  <w:r>
                    <w:rPr>
                      <w:rStyle w:val="55"/>
                      <w:kern w:val="0"/>
                      <w:szCs w:val="20"/>
                    </w:rPr>
                    <w:t xml:space="preserve"> m</w:t>
                  </w:r>
                  <w:r>
                    <w:rPr>
                      <w:rStyle w:val="55"/>
                      <w:rFonts w:hint="eastAsia"/>
                      <w:kern w:val="0"/>
                      <w:szCs w:val="20"/>
                      <w:vertAlign w:val="superscript"/>
                    </w:rPr>
                    <w:t>3</w:t>
                  </w:r>
                  <w:r>
                    <w:rPr>
                      <w:rStyle w:val="55"/>
                      <w:kern w:val="0"/>
                      <w:szCs w:val="20"/>
                    </w:rPr>
                    <w:t>/h</w:t>
                  </w:r>
                  <w:r>
                    <w:rPr>
                      <w:rStyle w:val="55"/>
                      <w:rFonts w:hint="eastAsia"/>
                      <w:kern w:val="0"/>
                      <w:szCs w:val="20"/>
                    </w:rPr>
                    <w:t>，</w:t>
                  </w:r>
                  <w:r>
                    <w:rPr>
                      <w:rStyle w:val="55"/>
                      <w:kern w:val="0"/>
                      <w:szCs w:val="20"/>
                    </w:rPr>
                    <w:t>可满足项目需求</w:t>
                  </w:r>
                </w:p>
              </w:tc>
            </w:tr>
            <w:tr w14:paraId="0A50EC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8" w:type="pct"/>
                  <w:vMerge w:val="continue"/>
                  <w:vAlign w:val="center"/>
                </w:tcPr>
                <w:p w14:paraId="785ED64D">
                  <w:pPr>
                    <w:jc w:val="center"/>
                    <w:rPr>
                      <w:szCs w:val="21"/>
                    </w:rPr>
                  </w:pPr>
                </w:p>
              </w:tc>
              <w:tc>
                <w:tcPr>
                  <w:tcW w:w="278" w:type="pct"/>
                  <w:gridSpan w:val="2"/>
                  <w:vAlign w:val="center"/>
                </w:tcPr>
                <w:p w14:paraId="69503298">
                  <w:pPr>
                    <w:widowControl/>
                    <w:jc w:val="center"/>
                    <w:rPr>
                      <w:kern w:val="0"/>
                      <w:szCs w:val="21"/>
                      <w:lang w:bidi="ar"/>
                    </w:rPr>
                  </w:pPr>
                  <w:r>
                    <w:rPr>
                      <w:kern w:val="0"/>
                      <w:szCs w:val="21"/>
                      <w:lang w:bidi="ar"/>
                    </w:rPr>
                    <w:t>氮气系统</w:t>
                  </w:r>
                </w:p>
              </w:tc>
              <w:tc>
                <w:tcPr>
                  <w:tcW w:w="1240" w:type="pct"/>
                  <w:gridSpan w:val="2"/>
                  <w:vAlign w:val="center"/>
                </w:tcPr>
                <w:p w14:paraId="44B1DD57">
                  <w:pPr>
                    <w:widowControl/>
                    <w:jc w:val="center"/>
                    <w:rPr>
                      <w:kern w:val="0"/>
                      <w:szCs w:val="21"/>
                      <w:lang w:bidi="ar"/>
                    </w:rPr>
                  </w:pPr>
                  <w:r>
                    <w:t>动力站1：</w:t>
                  </w:r>
                  <w:r>
                    <w:rPr>
                      <w:kern w:val="0"/>
                      <w:szCs w:val="21"/>
                      <w:lang w:bidi="ar"/>
                    </w:rPr>
                    <w:t>2台400Nm</w:t>
                  </w:r>
                  <w:r>
                    <w:rPr>
                      <w:kern w:val="0"/>
                      <w:szCs w:val="21"/>
                      <w:vertAlign w:val="superscript"/>
                      <w:lang w:bidi="ar"/>
                    </w:rPr>
                    <w:t>3</w:t>
                  </w:r>
                  <w:r>
                    <w:rPr>
                      <w:kern w:val="0"/>
                      <w:szCs w:val="21"/>
                      <w:lang w:bidi="ar"/>
                    </w:rPr>
                    <w:t>-PSA型制氮机、单台产气量：400Nm³/min；1个30m</w:t>
                  </w:r>
                  <w:r>
                    <w:rPr>
                      <w:kern w:val="0"/>
                      <w:szCs w:val="21"/>
                      <w:vertAlign w:val="superscript"/>
                      <w:lang w:bidi="ar"/>
                    </w:rPr>
                    <w:t>3</w:t>
                  </w:r>
                  <w:r>
                    <w:rPr>
                      <w:kern w:val="0"/>
                      <w:szCs w:val="21"/>
                      <w:lang w:bidi="ar"/>
                    </w:rPr>
                    <w:t>液氮储罐</w:t>
                  </w:r>
                </w:p>
              </w:tc>
              <w:tc>
                <w:tcPr>
                  <w:tcW w:w="159" w:type="pct"/>
                  <w:vAlign w:val="center"/>
                </w:tcPr>
                <w:p w14:paraId="76853090">
                  <w:pPr>
                    <w:jc w:val="center"/>
                    <w:rPr>
                      <w:szCs w:val="21"/>
                    </w:rPr>
                  </w:pPr>
                  <w:r>
                    <w:rPr>
                      <w:bCs/>
                      <w:szCs w:val="21"/>
                    </w:rPr>
                    <w:t>自建</w:t>
                  </w:r>
                </w:p>
              </w:tc>
              <w:tc>
                <w:tcPr>
                  <w:tcW w:w="467" w:type="pct"/>
                  <w:vAlign w:val="center"/>
                </w:tcPr>
                <w:p w14:paraId="6EA4FBF8">
                  <w:pPr>
                    <w:jc w:val="center"/>
                    <w:rPr>
                      <w:bCs/>
                      <w:szCs w:val="21"/>
                    </w:rPr>
                  </w:pPr>
                  <w:r>
                    <w:t>已验收，</w:t>
                  </w:r>
                  <w:r>
                    <w:rPr>
                      <w:kern w:val="0"/>
                      <w:szCs w:val="21"/>
                      <w:lang w:bidi="ar"/>
                    </w:rPr>
                    <w:t>现有项目使用</w:t>
                  </w:r>
                  <w:r>
                    <w:rPr>
                      <w:kern w:val="0"/>
                      <w:szCs w:val="21"/>
                    </w:rPr>
                    <w:t>精氮和粗氮最大消耗量分别200Nm³/h和200Nm³/h</w:t>
                  </w:r>
                </w:p>
              </w:tc>
              <w:tc>
                <w:tcPr>
                  <w:tcW w:w="920" w:type="pct"/>
                  <w:vAlign w:val="center"/>
                </w:tcPr>
                <w:p w14:paraId="4A635C71">
                  <w:pPr>
                    <w:jc w:val="center"/>
                    <w:rPr>
                      <w:bCs/>
                      <w:szCs w:val="21"/>
                    </w:rPr>
                  </w:pPr>
                  <w:r>
                    <w:rPr>
                      <w:szCs w:val="21"/>
                    </w:rPr>
                    <w:t>二期项目</w:t>
                  </w:r>
                  <w:r>
                    <w:rPr>
                      <w:kern w:val="0"/>
                      <w:szCs w:val="21"/>
                    </w:rPr>
                    <w:t>精氮和粗氮最大消耗量分别为80Nm³/h和1</w:t>
                  </w:r>
                  <w:r>
                    <w:rPr>
                      <w:szCs w:val="21"/>
                    </w:rPr>
                    <w:t>0</w:t>
                  </w:r>
                  <w:r>
                    <w:rPr>
                      <w:kern w:val="0"/>
                      <w:szCs w:val="21"/>
                    </w:rPr>
                    <w:t>0Nm³/h</w:t>
                  </w:r>
                </w:p>
              </w:tc>
              <w:tc>
                <w:tcPr>
                  <w:tcW w:w="909" w:type="pct"/>
                  <w:vAlign w:val="center"/>
                </w:tcPr>
                <w:p w14:paraId="60DE44EC">
                  <w:pPr>
                    <w:jc w:val="center"/>
                    <w:rPr>
                      <w:bCs/>
                      <w:szCs w:val="21"/>
                    </w:rPr>
                  </w:pPr>
                  <w:r>
                    <w:rPr>
                      <w:szCs w:val="21"/>
                    </w:rPr>
                    <w:t>三期项目</w:t>
                  </w:r>
                  <w:r>
                    <w:rPr>
                      <w:kern w:val="0"/>
                      <w:szCs w:val="21"/>
                    </w:rPr>
                    <w:t>精氮和粗氮最大消耗量分别为100Nm³/h和1</w:t>
                  </w:r>
                  <w:r>
                    <w:rPr>
                      <w:szCs w:val="21"/>
                    </w:rPr>
                    <w:t>2</w:t>
                  </w:r>
                  <w:r>
                    <w:rPr>
                      <w:kern w:val="0"/>
                      <w:szCs w:val="21"/>
                    </w:rPr>
                    <w:t>0Nm³/h</w:t>
                  </w:r>
                </w:p>
              </w:tc>
              <w:tc>
                <w:tcPr>
                  <w:tcW w:w="909" w:type="pct"/>
                  <w:vAlign w:val="center"/>
                </w:tcPr>
                <w:p w14:paraId="4A0704D3">
                  <w:pPr>
                    <w:jc w:val="center"/>
                    <w:rPr>
                      <w:bCs/>
                      <w:szCs w:val="21"/>
                    </w:rPr>
                  </w:pPr>
                  <w:r>
                    <w:rPr>
                      <w:bCs/>
                      <w:szCs w:val="21"/>
                    </w:rPr>
                    <w:t>依托</w:t>
                  </w:r>
                  <w:r>
                    <w:t>一期一阶段已验收动力站1，制氮能力满足现有项目及二期、三期项目需求</w:t>
                  </w:r>
                </w:p>
              </w:tc>
            </w:tr>
            <w:tr w14:paraId="651FE4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8" w:type="pct"/>
                  <w:vMerge w:val="continue"/>
                  <w:vAlign w:val="center"/>
                </w:tcPr>
                <w:p w14:paraId="5D8D6F72">
                  <w:pPr>
                    <w:jc w:val="center"/>
                    <w:rPr>
                      <w:szCs w:val="21"/>
                    </w:rPr>
                  </w:pPr>
                </w:p>
              </w:tc>
              <w:tc>
                <w:tcPr>
                  <w:tcW w:w="278" w:type="pct"/>
                  <w:gridSpan w:val="2"/>
                  <w:vAlign w:val="center"/>
                </w:tcPr>
                <w:p w14:paraId="15F941CE">
                  <w:pPr>
                    <w:widowControl/>
                    <w:jc w:val="center"/>
                    <w:rPr>
                      <w:kern w:val="0"/>
                      <w:szCs w:val="21"/>
                      <w:lang w:bidi="ar"/>
                    </w:rPr>
                  </w:pPr>
                  <w:r>
                    <w:rPr>
                      <w:kern w:val="0"/>
                      <w:szCs w:val="21"/>
                      <w:lang w:bidi="ar"/>
                    </w:rPr>
                    <w:t>供热</w:t>
                  </w:r>
                </w:p>
              </w:tc>
              <w:tc>
                <w:tcPr>
                  <w:tcW w:w="1240" w:type="pct"/>
                  <w:gridSpan w:val="2"/>
                  <w:vAlign w:val="center"/>
                </w:tcPr>
                <w:p w14:paraId="165E4A10">
                  <w:pPr>
                    <w:widowControl/>
                    <w:rPr>
                      <w:kern w:val="0"/>
                      <w:szCs w:val="21"/>
                      <w:lang w:bidi="ar"/>
                    </w:rPr>
                  </w:pPr>
                  <w:r>
                    <w:rPr>
                      <w:szCs w:val="21"/>
                    </w:rPr>
                    <w:t>本工程工艺生产需要使用热媒，自建一座热媒站，</w:t>
                  </w:r>
                  <w:r>
                    <w:rPr>
                      <w:kern w:val="0"/>
                      <w:szCs w:val="21"/>
                    </w:rPr>
                    <w:t>成子河西侧地块（100万吨熔体产能）由导热油直接供热，所需热媒负荷9760万cal/h，依托厂区自备热媒站</w:t>
                  </w:r>
                  <w:r>
                    <w:rPr>
                      <w:szCs w:val="21"/>
                    </w:rPr>
                    <w:t>4×65.5t/h水煤浆导热油炉和1×40t/h水煤浆导热油炉（备用），</w:t>
                  </w:r>
                  <w:r>
                    <w:rPr>
                      <w:kern w:val="0"/>
                      <w:szCs w:val="21"/>
                    </w:rPr>
                    <w:t>设计总热媒负荷15800万cal/h（不含备用炉）。</w:t>
                  </w:r>
                  <w:r>
                    <w:rPr>
                      <w:szCs w:val="21"/>
                    </w:rPr>
                    <w:t>水煤浆导热油炉供热温度325℃，压力1.0MPa~1.2MPa；热媒系统主要由导热油炉、循环泵、膨胀罐、贮罐、加油泵组成。膨胀罐设在所在热媒管道系统最高点，贮罐在系统停止使用时贮存热媒，加油泵在系统起动前将热媒打入系统及在运行中补充热媒。经过加热的热媒油</w:t>
                  </w:r>
                  <w:r>
                    <w:rPr>
                      <w:rFonts w:hint="eastAsia"/>
                      <w:szCs w:val="21"/>
                    </w:rPr>
                    <w:t>管道输</w:t>
                  </w:r>
                  <w:r>
                    <w:rPr>
                      <w:szCs w:val="21"/>
                    </w:rPr>
                    <w:t>送至主车间后回到热媒间，经循环泵重新打入热媒炉进行加热，形成循环系统。</w:t>
                  </w:r>
                </w:p>
              </w:tc>
              <w:tc>
                <w:tcPr>
                  <w:tcW w:w="159" w:type="pct"/>
                  <w:vAlign w:val="center"/>
                </w:tcPr>
                <w:p w14:paraId="3A4C1391">
                  <w:pPr>
                    <w:jc w:val="center"/>
                    <w:rPr>
                      <w:szCs w:val="21"/>
                    </w:rPr>
                  </w:pPr>
                  <w:r>
                    <w:rPr>
                      <w:bCs/>
                      <w:szCs w:val="21"/>
                    </w:rPr>
                    <w:t>自建</w:t>
                  </w:r>
                </w:p>
              </w:tc>
              <w:tc>
                <w:tcPr>
                  <w:tcW w:w="467" w:type="pct"/>
                  <w:vAlign w:val="center"/>
                </w:tcPr>
                <w:p w14:paraId="13976DA8">
                  <w:pPr>
                    <w:jc w:val="center"/>
                    <w:rPr>
                      <w:bCs/>
                      <w:szCs w:val="21"/>
                    </w:rPr>
                  </w:pPr>
                  <w:r>
                    <w:rPr>
                      <w:bCs/>
                      <w:szCs w:val="21"/>
                    </w:rPr>
                    <w:t>热媒站已验收</w:t>
                  </w:r>
                </w:p>
              </w:tc>
              <w:tc>
                <w:tcPr>
                  <w:tcW w:w="920" w:type="pct"/>
                  <w:vAlign w:val="center"/>
                </w:tcPr>
                <w:p w14:paraId="3356808D">
                  <w:pPr>
                    <w:jc w:val="center"/>
                    <w:rPr>
                      <w:szCs w:val="21"/>
                    </w:rPr>
                  </w:pPr>
                  <w:r>
                    <w:rPr>
                      <w:bCs/>
                      <w:szCs w:val="21"/>
                    </w:rPr>
                    <w:t>现有热媒站计划于2025年底前停用，</w:t>
                  </w:r>
                  <w:r>
                    <w:rPr>
                      <w:kern w:val="0"/>
                      <w:szCs w:val="21"/>
                    </w:rPr>
                    <w:t>成子河西侧地块（100万吨熔体及纺丝产能）用热改为依托</w:t>
                  </w:r>
                  <w:r>
                    <w:rPr>
                      <w:rFonts w:hint="eastAsia"/>
                      <w:kern w:val="0"/>
                      <w:szCs w:val="21"/>
                    </w:rPr>
                    <w:t>原</w:t>
                  </w:r>
                  <w:r>
                    <w:rPr>
                      <w:kern w:val="0"/>
                      <w:szCs w:val="21"/>
                    </w:rPr>
                    <w:t>泗阳意杨环保能源有限公司集中供热中心</w:t>
                  </w:r>
                  <w:r>
                    <w:rPr>
                      <w:szCs w:val="21"/>
                    </w:rPr>
                    <w:t>循环流化床锅炉。</w:t>
                  </w:r>
                  <w:r>
                    <w:rPr>
                      <w:kern w:val="0"/>
                      <w:szCs w:val="21"/>
                    </w:rPr>
                    <w:t>供应能力660t/h（含低压蒸汽），</w:t>
                  </w:r>
                  <w:r>
                    <w:rPr>
                      <w:szCs w:val="21"/>
                    </w:rPr>
                    <w:t>出口温度540℃，压力13.7MPA。</w:t>
                  </w:r>
                </w:p>
                <w:p w14:paraId="188E75BF">
                  <w:pPr>
                    <w:jc w:val="center"/>
                    <w:rPr>
                      <w:bCs/>
                      <w:szCs w:val="21"/>
                    </w:rPr>
                  </w:pPr>
                  <w:r>
                    <w:rPr>
                      <w:szCs w:val="21"/>
                    </w:rPr>
                    <w:t>二期项目消耗蒸汽4.25 t/h</w:t>
                  </w:r>
                </w:p>
              </w:tc>
              <w:tc>
                <w:tcPr>
                  <w:tcW w:w="909" w:type="pct"/>
                  <w:vAlign w:val="center"/>
                </w:tcPr>
                <w:p w14:paraId="2C47CFAB">
                  <w:pPr>
                    <w:jc w:val="center"/>
                    <w:rPr>
                      <w:bCs/>
                      <w:szCs w:val="21"/>
                    </w:rPr>
                  </w:pPr>
                  <w:r>
                    <w:rPr>
                      <w:szCs w:val="21"/>
                    </w:rPr>
                    <w:t>三期项目消耗蒸汽5.25t/h</w:t>
                  </w:r>
                </w:p>
              </w:tc>
              <w:tc>
                <w:tcPr>
                  <w:tcW w:w="909" w:type="pct"/>
                  <w:vAlign w:val="center"/>
                </w:tcPr>
                <w:p w14:paraId="59F69E33">
                  <w:pPr>
                    <w:jc w:val="center"/>
                    <w:rPr>
                      <w:bCs/>
                      <w:szCs w:val="21"/>
                    </w:rPr>
                  </w:pPr>
                  <w:r>
                    <w:rPr>
                      <w:kern w:val="0"/>
                      <w:szCs w:val="21"/>
                    </w:rPr>
                    <w:t>泗阳意杨环保能源有限公司</w:t>
                  </w:r>
                  <w:r>
                    <w:rPr>
                      <w:szCs w:val="21"/>
                    </w:rPr>
                    <w:t>建设中，建设完成前本项目不得投产，建设完成后国望高科成子河西侧一期现有工程、二期三期项目（共计100万吨产能）蒸汽均依托</w:t>
                  </w:r>
                  <w:r>
                    <w:rPr>
                      <w:kern w:val="0"/>
                      <w:szCs w:val="21"/>
                    </w:rPr>
                    <w:t>泗阳意杨环保能源有限公司，共计消耗蒸汽24.3</w:t>
                  </w:r>
                  <w:r>
                    <w:rPr>
                      <w:szCs w:val="21"/>
                    </w:rPr>
                    <w:t>t/h，供给满足需求。</w:t>
                  </w:r>
                </w:p>
              </w:tc>
            </w:tr>
            <w:tr w14:paraId="11FE2C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8" w:type="pct"/>
                  <w:vMerge w:val="continue"/>
                  <w:vAlign w:val="center"/>
                </w:tcPr>
                <w:p w14:paraId="138E7B91">
                  <w:pPr>
                    <w:jc w:val="center"/>
                    <w:rPr>
                      <w:szCs w:val="21"/>
                    </w:rPr>
                  </w:pPr>
                </w:p>
              </w:tc>
              <w:tc>
                <w:tcPr>
                  <w:tcW w:w="278" w:type="pct"/>
                  <w:gridSpan w:val="2"/>
                  <w:vAlign w:val="center"/>
                </w:tcPr>
                <w:p w14:paraId="5C271475">
                  <w:pPr>
                    <w:widowControl/>
                    <w:jc w:val="center"/>
                    <w:rPr>
                      <w:kern w:val="0"/>
                      <w:szCs w:val="21"/>
                      <w:lang w:bidi="ar"/>
                    </w:rPr>
                  </w:pPr>
                  <w:r>
                    <w:rPr>
                      <w:kern w:val="0"/>
                      <w:szCs w:val="21"/>
                      <w:lang w:bidi="ar"/>
                    </w:rPr>
                    <w:t>压缩空气</w:t>
                  </w:r>
                </w:p>
              </w:tc>
              <w:tc>
                <w:tcPr>
                  <w:tcW w:w="1240" w:type="pct"/>
                  <w:gridSpan w:val="2"/>
                  <w:vAlign w:val="center"/>
                </w:tcPr>
                <w:p w14:paraId="6248C1D7">
                  <w:pPr>
                    <w:widowControl/>
                    <w:jc w:val="center"/>
                    <w:rPr>
                      <w:kern w:val="0"/>
                      <w:szCs w:val="21"/>
                      <w:lang w:bidi="ar"/>
                    </w:rPr>
                  </w:pPr>
                  <w:r>
                    <w:rPr>
                      <w:kern w:val="0"/>
                      <w:szCs w:val="21"/>
                      <w:lang w:bidi="ar"/>
                    </w:rPr>
                    <w:t>动力站1：2台250Nm³/min 0.8MPa离心式空气压缩机；2台250N</w:t>
                  </w:r>
                  <w:r>
                    <w:rPr>
                      <w:rStyle w:val="55"/>
                      <w:kern w:val="0"/>
                      <w:szCs w:val="20"/>
                    </w:rPr>
                    <w:t xml:space="preserve"> m</w:t>
                  </w:r>
                  <w:r>
                    <w:rPr>
                      <w:rStyle w:val="55"/>
                      <w:rFonts w:hint="eastAsia"/>
                      <w:kern w:val="0"/>
                      <w:szCs w:val="20"/>
                      <w:vertAlign w:val="superscript"/>
                    </w:rPr>
                    <w:t>3</w:t>
                  </w:r>
                  <w:r>
                    <w:rPr>
                      <w:kern w:val="0"/>
                      <w:szCs w:val="21"/>
                      <w:lang w:bidi="ar"/>
                    </w:rPr>
                    <w:t>/min 0.45MPa离心式空气压缩机；2台250N</w:t>
                  </w:r>
                  <w:r>
                    <w:rPr>
                      <w:rStyle w:val="55"/>
                      <w:kern w:val="0"/>
                      <w:szCs w:val="20"/>
                    </w:rPr>
                    <w:t xml:space="preserve"> m</w:t>
                  </w:r>
                  <w:r>
                    <w:rPr>
                      <w:rStyle w:val="55"/>
                      <w:rFonts w:hint="eastAsia"/>
                      <w:kern w:val="0"/>
                      <w:szCs w:val="20"/>
                      <w:vertAlign w:val="superscript"/>
                    </w:rPr>
                    <w:t>3</w:t>
                  </w:r>
                  <w:r>
                    <w:rPr>
                      <w:kern w:val="0"/>
                      <w:szCs w:val="21"/>
                      <w:lang w:bidi="ar"/>
                    </w:rPr>
                    <w:t>/min 0.22MPa离心式空气压缩机。</w:t>
                  </w:r>
                </w:p>
              </w:tc>
              <w:tc>
                <w:tcPr>
                  <w:tcW w:w="159" w:type="pct"/>
                  <w:vAlign w:val="center"/>
                </w:tcPr>
                <w:p w14:paraId="1C41402E">
                  <w:pPr>
                    <w:jc w:val="center"/>
                    <w:rPr>
                      <w:kern w:val="0"/>
                      <w:szCs w:val="21"/>
                    </w:rPr>
                  </w:pPr>
                  <w:r>
                    <w:rPr>
                      <w:bCs/>
                      <w:szCs w:val="21"/>
                    </w:rPr>
                    <w:t>自建</w:t>
                  </w:r>
                </w:p>
              </w:tc>
              <w:tc>
                <w:tcPr>
                  <w:tcW w:w="467" w:type="pct"/>
                  <w:vAlign w:val="center"/>
                </w:tcPr>
                <w:p w14:paraId="0E47EDD8">
                  <w:pPr>
                    <w:jc w:val="center"/>
                    <w:rPr>
                      <w:bCs/>
                      <w:szCs w:val="21"/>
                    </w:rPr>
                  </w:pPr>
                  <w:r>
                    <w:rPr>
                      <w:bCs/>
                      <w:szCs w:val="21"/>
                    </w:rPr>
                    <w:t>已验收</w:t>
                  </w:r>
                </w:p>
              </w:tc>
              <w:tc>
                <w:tcPr>
                  <w:tcW w:w="920" w:type="pct"/>
                  <w:vAlign w:val="center"/>
                </w:tcPr>
                <w:p w14:paraId="787C35BB">
                  <w:pPr>
                    <w:pStyle w:val="74"/>
                    <w:jc w:val="center"/>
                    <w:rPr>
                      <w:kern w:val="0"/>
                      <w:szCs w:val="21"/>
                    </w:rPr>
                  </w:pPr>
                  <w:r>
                    <w:t>原有动力站1北侧</w:t>
                  </w:r>
                  <w:r>
                    <w:rPr>
                      <w:kern w:val="0"/>
                      <w:szCs w:val="21"/>
                    </w:rPr>
                    <w:t>新增汽拖空压站，建筑面积7132平方米，其中厂房7132平方米。新增3台背压式汽轮机拖动空气压缩机组，1台0.19MPa，1300Nm</w:t>
                  </w:r>
                  <w:r>
                    <w:rPr>
                      <w:kern w:val="0"/>
                      <w:szCs w:val="21"/>
                      <w:vertAlign w:val="superscript"/>
                    </w:rPr>
                    <w:t>3</w:t>
                  </w:r>
                  <w:r>
                    <w:rPr>
                      <w:kern w:val="0"/>
                      <w:szCs w:val="21"/>
                    </w:rPr>
                    <w:t>/min；1台0.25MPa，2000Nm</w:t>
                  </w:r>
                  <w:r>
                    <w:rPr>
                      <w:kern w:val="0"/>
                      <w:szCs w:val="21"/>
                      <w:vertAlign w:val="superscript"/>
                    </w:rPr>
                    <w:t>3</w:t>
                  </w:r>
                  <w:r>
                    <w:rPr>
                      <w:kern w:val="0"/>
                      <w:szCs w:val="21"/>
                    </w:rPr>
                    <w:t>/min；1台0.45MPa，800Nm</w:t>
                  </w:r>
                  <w:r>
                    <w:rPr>
                      <w:kern w:val="0"/>
                      <w:szCs w:val="21"/>
                      <w:vertAlign w:val="superscript"/>
                    </w:rPr>
                    <w:t>3</w:t>
                  </w:r>
                  <w:r>
                    <w:rPr>
                      <w:kern w:val="0"/>
                      <w:szCs w:val="21"/>
                    </w:rPr>
                    <w:t>/min。</w:t>
                  </w:r>
                </w:p>
                <w:p w14:paraId="67307F49">
                  <w:pPr>
                    <w:pStyle w:val="74"/>
                    <w:jc w:val="center"/>
                    <w:rPr>
                      <w:kern w:val="0"/>
                      <w:szCs w:val="21"/>
                      <w:lang w:bidi="ar"/>
                    </w:rPr>
                  </w:pPr>
                  <w:r>
                    <w:rPr>
                      <w:kern w:val="0"/>
                      <w:szCs w:val="21"/>
                    </w:rPr>
                    <w:t>本项目0.19MPa和0.45Mpa压缩空气最大需求量350Nm</w:t>
                  </w:r>
                  <w:r>
                    <w:rPr>
                      <w:kern w:val="0"/>
                      <w:szCs w:val="21"/>
                      <w:vertAlign w:val="superscript"/>
                    </w:rPr>
                    <w:t>3</w:t>
                  </w:r>
                  <w:r>
                    <w:rPr>
                      <w:kern w:val="0"/>
                      <w:szCs w:val="21"/>
                    </w:rPr>
                    <w:t>/min，0.8MPa压空最大需求量180Nm</w:t>
                  </w:r>
                  <w:r>
                    <w:rPr>
                      <w:kern w:val="0"/>
                      <w:szCs w:val="21"/>
                      <w:vertAlign w:val="superscript"/>
                    </w:rPr>
                    <w:t>3</w:t>
                  </w:r>
                  <w:r>
                    <w:rPr>
                      <w:kern w:val="0"/>
                      <w:szCs w:val="21"/>
                    </w:rPr>
                    <w:t>/min</w:t>
                  </w:r>
                  <w:r>
                    <w:t>。</w:t>
                  </w:r>
                </w:p>
              </w:tc>
              <w:tc>
                <w:tcPr>
                  <w:tcW w:w="909" w:type="pct"/>
                  <w:vAlign w:val="center"/>
                </w:tcPr>
                <w:p w14:paraId="4A8FFF44">
                  <w:pPr>
                    <w:pStyle w:val="74"/>
                    <w:jc w:val="center"/>
                    <w:rPr>
                      <w:kern w:val="0"/>
                      <w:szCs w:val="21"/>
                    </w:rPr>
                  </w:pPr>
                  <w:r>
                    <w:rPr>
                      <w:kern w:val="0"/>
                      <w:szCs w:val="21"/>
                      <w:lang w:bidi="ar"/>
                    </w:rPr>
                    <w:t>依托二期新建</w:t>
                  </w:r>
                  <w:r>
                    <w:rPr>
                      <w:kern w:val="0"/>
                      <w:szCs w:val="21"/>
                    </w:rPr>
                    <w:t>汽拖</w:t>
                  </w:r>
                </w:p>
                <w:p w14:paraId="1140B530">
                  <w:pPr>
                    <w:pStyle w:val="74"/>
                    <w:jc w:val="center"/>
                  </w:pPr>
                  <w:r>
                    <w:rPr>
                      <w:kern w:val="0"/>
                      <w:szCs w:val="21"/>
                    </w:rPr>
                    <w:t>空压站，本项目0.19MPa和0.45Mpa压缩空气最大需求量550Nm</w:t>
                  </w:r>
                  <w:r>
                    <w:rPr>
                      <w:kern w:val="0"/>
                      <w:szCs w:val="21"/>
                      <w:vertAlign w:val="superscript"/>
                    </w:rPr>
                    <w:t>3</w:t>
                  </w:r>
                  <w:r>
                    <w:rPr>
                      <w:kern w:val="0"/>
                      <w:szCs w:val="21"/>
                    </w:rPr>
                    <w:t>/min，0.8MPa压空最大需求量120Nm</w:t>
                  </w:r>
                  <w:r>
                    <w:rPr>
                      <w:kern w:val="0"/>
                      <w:szCs w:val="21"/>
                      <w:vertAlign w:val="superscript"/>
                    </w:rPr>
                    <w:t>3</w:t>
                  </w:r>
                  <w:r>
                    <w:rPr>
                      <w:kern w:val="0"/>
                      <w:szCs w:val="21"/>
                    </w:rPr>
                    <w:t>/min</w:t>
                  </w:r>
                  <w:r>
                    <w:t>。</w:t>
                  </w:r>
                </w:p>
              </w:tc>
              <w:tc>
                <w:tcPr>
                  <w:tcW w:w="909" w:type="pct"/>
                  <w:vAlign w:val="center"/>
                </w:tcPr>
                <w:p w14:paraId="7A73B1F9">
                  <w:pPr>
                    <w:pStyle w:val="74"/>
                    <w:jc w:val="center"/>
                    <w:rPr>
                      <w:kern w:val="0"/>
                      <w:szCs w:val="21"/>
                    </w:rPr>
                  </w:pPr>
                  <w:r>
                    <w:rPr>
                      <w:kern w:val="0"/>
                      <w:szCs w:val="21"/>
                      <w:lang w:bidi="ar"/>
                    </w:rPr>
                    <w:t>新建</w:t>
                  </w:r>
                  <w:r>
                    <w:rPr>
                      <w:kern w:val="0"/>
                      <w:szCs w:val="21"/>
                    </w:rPr>
                    <w:t>汽拖</w:t>
                  </w:r>
                </w:p>
                <w:p w14:paraId="437F9EDC">
                  <w:pPr>
                    <w:jc w:val="center"/>
                    <w:rPr>
                      <w:kern w:val="0"/>
                      <w:szCs w:val="21"/>
                      <w:lang w:bidi="ar"/>
                    </w:rPr>
                  </w:pPr>
                  <w:r>
                    <w:rPr>
                      <w:kern w:val="0"/>
                      <w:szCs w:val="21"/>
                    </w:rPr>
                    <w:t>空压站</w:t>
                  </w:r>
                </w:p>
              </w:tc>
            </w:tr>
            <w:tr w14:paraId="347E35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8" w:type="pct"/>
                  <w:vMerge w:val="continue"/>
                  <w:vAlign w:val="center"/>
                </w:tcPr>
                <w:p w14:paraId="5EED99AF">
                  <w:pPr>
                    <w:jc w:val="center"/>
                    <w:rPr>
                      <w:szCs w:val="21"/>
                    </w:rPr>
                  </w:pPr>
                </w:p>
              </w:tc>
              <w:tc>
                <w:tcPr>
                  <w:tcW w:w="278" w:type="pct"/>
                  <w:gridSpan w:val="2"/>
                  <w:vAlign w:val="center"/>
                </w:tcPr>
                <w:p w14:paraId="5C2DC509">
                  <w:pPr>
                    <w:widowControl/>
                    <w:jc w:val="center"/>
                    <w:rPr>
                      <w:kern w:val="0"/>
                      <w:szCs w:val="21"/>
                      <w:lang w:bidi="ar"/>
                    </w:rPr>
                  </w:pPr>
                  <w:r>
                    <w:rPr>
                      <w:kern w:val="0"/>
                      <w:szCs w:val="21"/>
                      <w:lang w:bidi="ar"/>
                    </w:rPr>
                    <w:t>供电系统</w:t>
                  </w:r>
                </w:p>
              </w:tc>
              <w:tc>
                <w:tcPr>
                  <w:tcW w:w="1240" w:type="pct"/>
                  <w:gridSpan w:val="2"/>
                  <w:vAlign w:val="center"/>
                </w:tcPr>
                <w:p w14:paraId="62ECCAC6">
                  <w:pPr>
                    <w:widowControl/>
                    <w:jc w:val="center"/>
                    <w:rPr>
                      <w:kern w:val="0"/>
                      <w:szCs w:val="21"/>
                      <w:lang w:bidi="ar"/>
                    </w:rPr>
                  </w:pPr>
                  <w:r>
                    <w:rPr>
                      <w:kern w:val="0"/>
                      <w:szCs w:val="21"/>
                      <w:lang w:bidi="ar"/>
                    </w:rPr>
                    <w:t xml:space="preserve">成子河西侧二里桥以南地块电源直接取自220kV站，成子河西侧其他地块由动力站1、动力站2和3个35kV站 </w:t>
                  </w:r>
                </w:p>
              </w:tc>
              <w:tc>
                <w:tcPr>
                  <w:tcW w:w="159" w:type="pct"/>
                  <w:vAlign w:val="center"/>
                </w:tcPr>
                <w:p w14:paraId="312C0C56">
                  <w:pPr>
                    <w:jc w:val="center"/>
                    <w:rPr>
                      <w:kern w:val="0"/>
                      <w:szCs w:val="21"/>
                    </w:rPr>
                  </w:pPr>
                  <w:r>
                    <w:rPr>
                      <w:bCs/>
                      <w:szCs w:val="21"/>
                    </w:rPr>
                    <w:t>自建</w:t>
                  </w:r>
                </w:p>
              </w:tc>
              <w:tc>
                <w:tcPr>
                  <w:tcW w:w="467" w:type="pct"/>
                  <w:vAlign w:val="center"/>
                </w:tcPr>
                <w:p w14:paraId="01E20322">
                  <w:pPr>
                    <w:jc w:val="center"/>
                    <w:rPr>
                      <w:bCs/>
                      <w:szCs w:val="21"/>
                    </w:rPr>
                  </w:pPr>
                  <w:r>
                    <w:rPr>
                      <w:kern w:val="0"/>
                      <w:szCs w:val="21"/>
                      <w:lang w:bidi="ar"/>
                    </w:rPr>
                    <w:t>动力站1已验收（35kV）</w:t>
                  </w:r>
                </w:p>
              </w:tc>
              <w:tc>
                <w:tcPr>
                  <w:tcW w:w="920" w:type="pct"/>
                  <w:vAlign w:val="center"/>
                </w:tcPr>
                <w:p w14:paraId="569ED231">
                  <w:pPr>
                    <w:jc w:val="center"/>
                    <w:rPr>
                      <w:kern w:val="0"/>
                      <w:szCs w:val="21"/>
                      <w:lang w:bidi="ar"/>
                    </w:rPr>
                  </w:pPr>
                  <w:r>
                    <w:rPr>
                      <w:kern w:val="0"/>
                      <w:szCs w:val="21"/>
                      <w:lang w:bidi="ar"/>
                    </w:rPr>
                    <w:t>依托现有动力站1</w:t>
                  </w:r>
                  <w:r>
                    <w:rPr>
                      <w:kern w:val="0"/>
                      <w:szCs w:val="21"/>
                    </w:rPr>
                    <w:t>，年用电量0.9亿kWh</w:t>
                  </w:r>
                </w:p>
              </w:tc>
              <w:tc>
                <w:tcPr>
                  <w:tcW w:w="909" w:type="pct"/>
                  <w:vAlign w:val="center"/>
                </w:tcPr>
                <w:p w14:paraId="25F28D67">
                  <w:pPr>
                    <w:jc w:val="center"/>
                    <w:rPr>
                      <w:kern w:val="0"/>
                      <w:szCs w:val="21"/>
                      <w:lang w:bidi="ar"/>
                    </w:rPr>
                  </w:pPr>
                  <w:r>
                    <w:rPr>
                      <w:kern w:val="0"/>
                      <w:szCs w:val="21"/>
                      <w:lang w:bidi="ar"/>
                    </w:rPr>
                    <w:t>依托现有依托动力站1，</w:t>
                  </w:r>
                  <w:r>
                    <w:rPr>
                      <w:kern w:val="0"/>
                      <w:szCs w:val="21"/>
                    </w:rPr>
                    <w:t>年用电量1.1亿kWh</w:t>
                  </w:r>
                </w:p>
              </w:tc>
              <w:tc>
                <w:tcPr>
                  <w:tcW w:w="909" w:type="pct"/>
                  <w:vMerge w:val="restart"/>
                  <w:vAlign w:val="center"/>
                </w:tcPr>
                <w:p w14:paraId="65276C9A">
                  <w:pPr>
                    <w:jc w:val="center"/>
                    <w:rPr>
                      <w:kern w:val="0"/>
                      <w:szCs w:val="21"/>
                      <w:lang w:bidi="ar"/>
                    </w:rPr>
                  </w:pPr>
                  <w:r>
                    <w:rPr>
                      <w:kern w:val="0"/>
                      <w:szCs w:val="21"/>
                      <w:lang w:bidi="ar"/>
                    </w:rPr>
                    <w:t>部分依托现有依托动力站1（</w:t>
                  </w:r>
                  <w:r>
                    <w:t>在一期一阶段已验收</w:t>
                  </w:r>
                  <w:r>
                    <w:rPr>
                      <w:kern w:val="0"/>
                      <w:szCs w:val="21"/>
                    </w:rPr>
                    <w:t>变电站新增1台10KV变压器），新增光伏发电、余热发电，二期、三期项目年用电量共2亿kWh，具体电力来源根据项目需求统一调配</w:t>
                  </w:r>
                </w:p>
              </w:tc>
            </w:tr>
            <w:tr w14:paraId="0CFB4D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8" w:type="pct"/>
                  <w:vMerge w:val="continue"/>
                  <w:vAlign w:val="center"/>
                </w:tcPr>
                <w:p w14:paraId="68C5024A">
                  <w:pPr>
                    <w:jc w:val="center"/>
                    <w:rPr>
                      <w:szCs w:val="21"/>
                    </w:rPr>
                  </w:pPr>
                </w:p>
              </w:tc>
              <w:tc>
                <w:tcPr>
                  <w:tcW w:w="278" w:type="pct"/>
                  <w:gridSpan w:val="2"/>
                  <w:vAlign w:val="center"/>
                </w:tcPr>
                <w:p w14:paraId="68F5CC4A">
                  <w:pPr>
                    <w:widowControl/>
                    <w:jc w:val="center"/>
                    <w:rPr>
                      <w:kern w:val="0"/>
                      <w:szCs w:val="21"/>
                      <w:lang w:bidi="ar"/>
                    </w:rPr>
                  </w:pPr>
                  <w:r>
                    <w:rPr>
                      <w:kern w:val="0"/>
                      <w:szCs w:val="21"/>
                    </w:rPr>
                    <w:t>光伏发电</w:t>
                  </w:r>
                </w:p>
              </w:tc>
              <w:tc>
                <w:tcPr>
                  <w:tcW w:w="1240" w:type="pct"/>
                  <w:gridSpan w:val="2"/>
                  <w:vAlign w:val="center"/>
                </w:tcPr>
                <w:p w14:paraId="38AB12F1">
                  <w:pPr>
                    <w:widowControl/>
                    <w:jc w:val="center"/>
                    <w:rPr>
                      <w:kern w:val="0"/>
                      <w:szCs w:val="21"/>
                      <w:lang w:bidi="ar"/>
                    </w:rPr>
                  </w:pPr>
                  <w:r>
                    <w:rPr>
                      <w:kern w:val="0"/>
                      <w:szCs w:val="21"/>
                      <w:lang w:bidi="ar"/>
                    </w:rPr>
                    <w:t>/</w:t>
                  </w:r>
                </w:p>
              </w:tc>
              <w:tc>
                <w:tcPr>
                  <w:tcW w:w="159" w:type="pct"/>
                  <w:vAlign w:val="center"/>
                </w:tcPr>
                <w:p w14:paraId="16027C26">
                  <w:pPr>
                    <w:jc w:val="center"/>
                    <w:rPr>
                      <w:bCs/>
                      <w:szCs w:val="21"/>
                    </w:rPr>
                  </w:pPr>
                  <w:r>
                    <w:rPr>
                      <w:bCs/>
                      <w:szCs w:val="21"/>
                    </w:rPr>
                    <w:t>/</w:t>
                  </w:r>
                </w:p>
              </w:tc>
              <w:tc>
                <w:tcPr>
                  <w:tcW w:w="467" w:type="pct"/>
                  <w:vAlign w:val="center"/>
                </w:tcPr>
                <w:p w14:paraId="7861740D">
                  <w:pPr>
                    <w:jc w:val="center"/>
                    <w:rPr>
                      <w:kern w:val="0"/>
                      <w:szCs w:val="21"/>
                      <w:lang w:bidi="ar"/>
                    </w:rPr>
                  </w:pPr>
                  <w:r>
                    <w:rPr>
                      <w:kern w:val="0"/>
                      <w:szCs w:val="21"/>
                      <w:lang w:bidi="ar"/>
                    </w:rPr>
                    <w:t>/</w:t>
                  </w:r>
                </w:p>
              </w:tc>
              <w:tc>
                <w:tcPr>
                  <w:tcW w:w="920" w:type="pct"/>
                  <w:vAlign w:val="center"/>
                </w:tcPr>
                <w:p w14:paraId="4DAE040B">
                  <w:pPr>
                    <w:jc w:val="center"/>
                    <w:rPr>
                      <w:kern w:val="0"/>
                      <w:szCs w:val="21"/>
                      <w:lang w:bidi="ar"/>
                    </w:rPr>
                  </w:pPr>
                  <w:r>
                    <w:rPr>
                      <w:kern w:val="0"/>
                      <w:szCs w:val="21"/>
                    </w:rPr>
                    <w:t>于现有一期一阶段厂房与生活区的屋顶进行太阳电池组件铺设，组件容量为9915kWp，年度可发电10620000kWh</w:t>
                  </w:r>
                </w:p>
              </w:tc>
              <w:tc>
                <w:tcPr>
                  <w:tcW w:w="909" w:type="pct"/>
                  <w:vAlign w:val="center"/>
                </w:tcPr>
                <w:p w14:paraId="27DDF470">
                  <w:pPr>
                    <w:jc w:val="center"/>
                    <w:rPr>
                      <w:kern w:val="0"/>
                      <w:szCs w:val="21"/>
                      <w:lang w:bidi="ar"/>
                    </w:rPr>
                  </w:pPr>
                  <w:r>
                    <w:rPr>
                      <w:kern w:val="0"/>
                      <w:szCs w:val="21"/>
                      <w:lang w:bidi="ar"/>
                    </w:rPr>
                    <w:t>/</w:t>
                  </w:r>
                </w:p>
              </w:tc>
              <w:tc>
                <w:tcPr>
                  <w:tcW w:w="909" w:type="pct"/>
                  <w:vMerge w:val="continue"/>
                  <w:vAlign w:val="center"/>
                </w:tcPr>
                <w:p w14:paraId="08F72962">
                  <w:pPr>
                    <w:jc w:val="center"/>
                    <w:rPr>
                      <w:kern w:val="0"/>
                      <w:szCs w:val="21"/>
                      <w:lang w:bidi="ar"/>
                    </w:rPr>
                  </w:pPr>
                </w:p>
              </w:tc>
            </w:tr>
            <w:tr w14:paraId="12231D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8" w:type="pct"/>
                  <w:vMerge w:val="continue"/>
                  <w:vAlign w:val="center"/>
                </w:tcPr>
                <w:p w14:paraId="1FC6B067">
                  <w:pPr>
                    <w:jc w:val="center"/>
                    <w:rPr>
                      <w:szCs w:val="21"/>
                    </w:rPr>
                  </w:pPr>
                </w:p>
              </w:tc>
              <w:tc>
                <w:tcPr>
                  <w:tcW w:w="278" w:type="pct"/>
                  <w:gridSpan w:val="2"/>
                  <w:vAlign w:val="center"/>
                </w:tcPr>
                <w:p w14:paraId="246A355D">
                  <w:pPr>
                    <w:widowControl/>
                    <w:jc w:val="center"/>
                    <w:rPr>
                      <w:kern w:val="0"/>
                      <w:szCs w:val="21"/>
                      <w:lang w:bidi="ar"/>
                    </w:rPr>
                  </w:pPr>
                  <w:r>
                    <w:rPr>
                      <w:kern w:val="0"/>
                      <w:szCs w:val="21"/>
                    </w:rPr>
                    <w:t>余热发电系统</w:t>
                  </w:r>
                </w:p>
              </w:tc>
              <w:tc>
                <w:tcPr>
                  <w:tcW w:w="1240" w:type="pct"/>
                  <w:gridSpan w:val="2"/>
                  <w:vAlign w:val="center"/>
                </w:tcPr>
                <w:p w14:paraId="198DF160">
                  <w:pPr>
                    <w:widowControl/>
                    <w:jc w:val="center"/>
                    <w:rPr>
                      <w:kern w:val="0"/>
                      <w:szCs w:val="21"/>
                      <w:lang w:bidi="ar"/>
                    </w:rPr>
                  </w:pPr>
                  <w:r>
                    <w:rPr>
                      <w:kern w:val="0"/>
                      <w:szCs w:val="21"/>
                      <w:lang w:bidi="ar"/>
                    </w:rPr>
                    <w:t>/</w:t>
                  </w:r>
                </w:p>
              </w:tc>
              <w:tc>
                <w:tcPr>
                  <w:tcW w:w="159" w:type="pct"/>
                  <w:vAlign w:val="center"/>
                </w:tcPr>
                <w:p w14:paraId="7571B960">
                  <w:pPr>
                    <w:jc w:val="center"/>
                    <w:rPr>
                      <w:bCs/>
                      <w:szCs w:val="21"/>
                    </w:rPr>
                  </w:pPr>
                  <w:r>
                    <w:rPr>
                      <w:bCs/>
                      <w:szCs w:val="21"/>
                    </w:rPr>
                    <w:t>/</w:t>
                  </w:r>
                </w:p>
              </w:tc>
              <w:tc>
                <w:tcPr>
                  <w:tcW w:w="467" w:type="pct"/>
                  <w:vAlign w:val="center"/>
                </w:tcPr>
                <w:p w14:paraId="26E19F59">
                  <w:pPr>
                    <w:jc w:val="center"/>
                    <w:rPr>
                      <w:kern w:val="0"/>
                      <w:szCs w:val="21"/>
                      <w:lang w:bidi="ar"/>
                    </w:rPr>
                  </w:pPr>
                  <w:r>
                    <w:rPr>
                      <w:kern w:val="0"/>
                      <w:szCs w:val="21"/>
                      <w:lang w:bidi="ar"/>
                    </w:rPr>
                    <w:t>/</w:t>
                  </w:r>
                </w:p>
              </w:tc>
              <w:tc>
                <w:tcPr>
                  <w:tcW w:w="920" w:type="pct"/>
                  <w:vAlign w:val="center"/>
                </w:tcPr>
                <w:p w14:paraId="38AADC65">
                  <w:pPr>
                    <w:jc w:val="center"/>
                    <w:rPr>
                      <w:kern w:val="0"/>
                      <w:szCs w:val="21"/>
                      <w:lang w:bidi="ar"/>
                    </w:rPr>
                  </w:pPr>
                  <w:r>
                    <w:rPr>
                      <w:kern w:val="0"/>
                      <w:szCs w:val="21"/>
                    </w:rPr>
                    <w:t>换热站1、换热站2：聚酯装置工艺塔运行产生酯化蒸汽温度100.6℃左右，蒸汽压力8kPa-G，蒸汽流量 25t/h，春秋季及冬季主要使用风冷式空冷器降温，热量直接散发至空气中，新增2套发电机组（分别位于换热站1、换热站2）对蒸汽余热进行回收利用，每年产生电力1043.28万度，余热发电机组所发电力接入厂区配电柜。</w:t>
                  </w:r>
                </w:p>
              </w:tc>
              <w:tc>
                <w:tcPr>
                  <w:tcW w:w="909" w:type="pct"/>
                  <w:vAlign w:val="center"/>
                </w:tcPr>
                <w:p w14:paraId="0DD5D7FA">
                  <w:pPr>
                    <w:jc w:val="center"/>
                    <w:rPr>
                      <w:kern w:val="0"/>
                      <w:szCs w:val="21"/>
                      <w:lang w:bidi="ar"/>
                    </w:rPr>
                  </w:pPr>
                  <w:r>
                    <w:rPr>
                      <w:kern w:val="0"/>
                      <w:szCs w:val="21"/>
                      <w:lang w:bidi="ar"/>
                    </w:rPr>
                    <w:t>/</w:t>
                  </w:r>
                </w:p>
              </w:tc>
              <w:tc>
                <w:tcPr>
                  <w:tcW w:w="909" w:type="pct"/>
                  <w:vMerge w:val="continue"/>
                  <w:vAlign w:val="center"/>
                </w:tcPr>
                <w:p w14:paraId="5FCB37A8">
                  <w:pPr>
                    <w:jc w:val="center"/>
                    <w:rPr>
                      <w:kern w:val="0"/>
                      <w:szCs w:val="21"/>
                      <w:lang w:bidi="ar"/>
                    </w:rPr>
                  </w:pPr>
                </w:p>
              </w:tc>
            </w:tr>
            <w:tr w14:paraId="346893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70" w:hRule="atLeast"/>
                <w:jc w:val="center"/>
              </w:trPr>
              <w:tc>
                <w:tcPr>
                  <w:tcW w:w="118" w:type="pct"/>
                  <w:vMerge w:val="continue"/>
                  <w:vAlign w:val="center"/>
                </w:tcPr>
                <w:p w14:paraId="683BC971">
                  <w:pPr>
                    <w:jc w:val="center"/>
                    <w:rPr>
                      <w:szCs w:val="21"/>
                    </w:rPr>
                  </w:pPr>
                </w:p>
              </w:tc>
              <w:tc>
                <w:tcPr>
                  <w:tcW w:w="278" w:type="pct"/>
                  <w:gridSpan w:val="2"/>
                  <w:vAlign w:val="center"/>
                </w:tcPr>
                <w:p w14:paraId="58ABF12E">
                  <w:pPr>
                    <w:widowControl/>
                    <w:jc w:val="center"/>
                    <w:rPr>
                      <w:kern w:val="0"/>
                      <w:szCs w:val="21"/>
                      <w:lang w:bidi="ar"/>
                    </w:rPr>
                  </w:pPr>
                  <w:r>
                    <w:rPr>
                      <w:kern w:val="0"/>
                      <w:szCs w:val="21"/>
                      <w:lang w:bidi="ar"/>
                    </w:rPr>
                    <w:t>染色试验间</w:t>
                  </w:r>
                </w:p>
              </w:tc>
              <w:tc>
                <w:tcPr>
                  <w:tcW w:w="1240" w:type="pct"/>
                  <w:gridSpan w:val="2"/>
                  <w:vAlign w:val="center"/>
                </w:tcPr>
                <w:p w14:paraId="57505896">
                  <w:pPr>
                    <w:widowControl/>
                    <w:jc w:val="center"/>
                    <w:rPr>
                      <w:kern w:val="0"/>
                      <w:szCs w:val="21"/>
                      <w:lang w:bidi="ar"/>
                    </w:rPr>
                  </w:pPr>
                  <w:r>
                    <w:rPr>
                      <w:kern w:val="0"/>
                      <w:szCs w:val="21"/>
                      <w:lang w:bidi="ar"/>
                    </w:rPr>
                    <w:t>对每批丝饼抽样，织袜染色，以验证产品的染色均匀度。本项目染色试验间共配套100台染色机。</w:t>
                  </w:r>
                </w:p>
              </w:tc>
              <w:tc>
                <w:tcPr>
                  <w:tcW w:w="159" w:type="pct"/>
                  <w:vAlign w:val="center"/>
                </w:tcPr>
                <w:p w14:paraId="40635B64">
                  <w:pPr>
                    <w:jc w:val="center"/>
                    <w:rPr>
                      <w:szCs w:val="21"/>
                    </w:rPr>
                  </w:pPr>
                  <w:r>
                    <w:rPr>
                      <w:bCs/>
                      <w:szCs w:val="21"/>
                    </w:rPr>
                    <w:t>自建</w:t>
                  </w:r>
                </w:p>
              </w:tc>
              <w:tc>
                <w:tcPr>
                  <w:tcW w:w="467" w:type="pct"/>
                  <w:vAlign w:val="center"/>
                </w:tcPr>
                <w:p w14:paraId="3EB5F08F">
                  <w:pPr>
                    <w:jc w:val="center"/>
                    <w:rPr>
                      <w:bCs/>
                      <w:szCs w:val="21"/>
                    </w:rPr>
                  </w:pPr>
                  <w:r>
                    <w:rPr>
                      <w:szCs w:val="21"/>
                    </w:rPr>
                    <w:t>一阶段配备4台</w:t>
                  </w:r>
                  <w:r>
                    <w:rPr>
                      <w:kern w:val="0"/>
                      <w:szCs w:val="21"/>
                      <w:lang w:bidi="ar"/>
                    </w:rPr>
                    <w:t>染色机</w:t>
                  </w:r>
                </w:p>
              </w:tc>
              <w:tc>
                <w:tcPr>
                  <w:tcW w:w="920" w:type="pct"/>
                  <w:vAlign w:val="center"/>
                </w:tcPr>
                <w:p w14:paraId="64DA60A2">
                  <w:pPr>
                    <w:jc w:val="center"/>
                    <w:rPr>
                      <w:bCs/>
                      <w:szCs w:val="21"/>
                    </w:rPr>
                  </w:pPr>
                  <w:r>
                    <w:rPr>
                      <w:bCs/>
                      <w:szCs w:val="21"/>
                    </w:rPr>
                    <w:t>/</w:t>
                  </w:r>
                </w:p>
              </w:tc>
              <w:tc>
                <w:tcPr>
                  <w:tcW w:w="909" w:type="pct"/>
                  <w:vAlign w:val="center"/>
                </w:tcPr>
                <w:p w14:paraId="28BA1A05">
                  <w:pPr>
                    <w:jc w:val="center"/>
                    <w:rPr>
                      <w:bCs/>
                      <w:szCs w:val="21"/>
                    </w:rPr>
                  </w:pPr>
                  <w:r>
                    <w:rPr>
                      <w:bCs/>
                      <w:szCs w:val="21"/>
                    </w:rPr>
                    <w:t>/</w:t>
                  </w:r>
                </w:p>
              </w:tc>
              <w:tc>
                <w:tcPr>
                  <w:tcW w:w="909" w:type="pct"/>
                  <w:vAlign w:val="center"/>
                </w:tcPr>
                <w:p w14:paraId="0684EC44">
                  <w:pPr>
                    <w:jc w:val="center"/>
                    <w:rPr>
                      <w:bCs/>
                      <w:szCs w:val="21"/>
                    </w:rPr>
                  </w:pPr>
                  <w:r>
                    <w:rPr>
                      <w:bCs/>
                      <w:szCs w:val="21"/>
                    </w:rPr>
                    <w:t>依托现有染色实验间</w:t>
                  </w:r>
                  <w:r>
                    <w:rPr>
                      <w:kern w:val="0"/>
                      <w:szCs w:val="21"/>
                      <w:lang w:bidi="ar"/>
                    </w:rPr>
                    <w:t>（</w:t>
                  </w:r>
                  <w:r>
                    <w:t>在一期一阶段已验收</w:t>
                  </w:r>
                  <w:r>
                    <w:rPr>
                      <w:bCs/>
                      <w:szCs w:val="21"/>
                    </w:rPr>
                    <w:t>染色实验间</w:t>
                  </w:r>
                  <w:r>
                    <w:rPr>
                      <w:kern w:val="0"/>
                      <w:szCs w:val="21"/>
                    </w:rPr>
                    <w:t>新增</w:t>
                  </w:r>
                  <w:r>
                    <w:rPr>
                      <w:rFonts w:hint="eastAsia"/>
                      <w:kern w:val="0"/>
                      <w:szCs w:val="21"/>
                    </w:rPr>
                    <w:t>7</w:t>
                  </w:r>
                  <w:r>
                    <w:rPr>
                      <w:kern w:val="0"/>
                      <w:szCs w:val="21"/>
                    </w:rPr>
                    <w:t>台</w:t>
                  </w:r>
                  <w:r>
                    <w:rPr>
                      <w:rFonts w:hint="eastAsia"/>
                      <w:kern w:val="0"/>
                      <w:szCs w:val="21"/>
                    </w:rPr>
                    <w:t>染色机</w:t>
                  </w:r>
                  <w:r>
                    <w:rPr>
                      <w:kern w:val="0"/>
                      <w:szCs w:val="21"/>
                    </w:rPr>
                    <w:t>）</w:t>
                  </w:r>
                </w:p>
              </w:tc>
            </w:tr>
            <w:tr w14:paraId="2DFADD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70" w:hRule="atLeast"/>
                <w:jc w:val="center"/>
              </w:trPr>
              <w:tc>
                <w:tcPr>
                  <w:tcW w:w="118" w:type="pct"/>
                  <w:vMerge w:val="continue"/>
                  <w:vAlign w:val="center"/>
                </w:tcPr>
                <w:p w14:paraId="2AFE6B98">
                  <w:pPr>
                    <w:jc w:val="center"/>
                    <w:rPr>
                      <w:szCs w:val="21"/>
                    </w:rPr>
                  </w:pPr>
                </w:p>
              </w:tc>
              <w:tc>
                <w:tcPr>
                  <w:tcW w:w="278" w:type="pct"/>
                  <w:gridSpan w:val="2"/>
                  <w:vAlign w:val="center"/>
                </w:tcPr>
                <w:p w14:paraId="7D7270EB">
                  <w:pPr>
                    <w:widowControl/>
                    <w:jc w:val="center"/>
                    <w:rPr>
                      <w:kern w:val="0"/>
                      <w:szCs w:val="21"/>
                      <w:lang w:bidi="ar"/>
                    </w:rPr>
                  </w:pPr>
                  <w:r>
                    <w:rPr>
                      <w:szCs w:val="21"/>
                    </w:rPr>
                    <w:t>化验中心</w:t>
                  </w:r>
                </w:p>
              </w:tc>
              <w:tc>
                <w:tcPr>
                  <w:tcW w:w="1240" w:type="pct"/>
                  <w:gridSpan w:val="2"/>
                  <w:vAlign w:val="center"/>
                </w:tcPr>
                <w:p w14:paraId="2A62EB3F">
                  <w:pPr>
                    <w:widowControl/>
                    <w:jc w:val="center"/>
                    <w:rPr>
                      <w:kern w:val="0"/>
                      <w:szCs w:val="21"/>
                      <w:lang w:bidi="ar"/>
                    </w:rPr>
                  </w:pPr>
                  <w:r>
                    <w:rPr>
                      <w:kern w:val="0"/>
                      <w:szCs w:val="21"/>
                      <w:lang w:bidi="ar"/>
                    </w:rPr>
                    <w:t>使用试剂进行日常水质分析，过程品切片、酯化物的检测分析、聚酯辅剂分析、假捻纺丝油剂分析</w:t>
                  </w:r>
                </w:p>
              </w:tc>
              <w:tc>
                <w:tcPr>
                  <w:tcW w:w="159" w:type="pct"/>
                  <w:vAlign w:val="center"/>
                </w:tcPr>
                <w:p w14:paraId="2FE79DBD">
                  <w:pPr>
                    <w:jc w:val="center"/>
                    <w:rPr>
                      <w:bCs/>
                      <w:szCs w:val="21"/>
                    </w:rPr>
                  </w:pPr>
                  <w:r>
                    <w:rPr>
                      <w:bCs/>
                      <w:szCs w:val="21"/>
                    </w:rPr>
                    <w:t>自建</w:t>
                  </w:r>
                </w:p>
              </w:tc>
              <w:tc>
                <w:tcPr>
                  <w:tcW w:w="467" w:type="pct"/>
                  <w:vAlign w:val="center"/>
                </w:tcPr>
                <w:p w14:paraId="639B2AEF">
                  <w:pPr>
                    <w:jc w:val="center"/>
                    <w:rPr>
                      <w:szCs w:val="21"/>
                    </w:rPr>
                  </w:pPr>
                  <w:r>
                    <w:rPr>
                      <w:szCs w:val="21"/>
                    </w:rPr>
                    <w:t>全部在本阶段验收范围内</w:t>
                  </w:r>
                </w:p>
              </w:tc>
              <w:tc>
                <w:tcPr>
                  <w:tcW w:w="920" w:type="pct"/>
                  <w:vAlign w:val="center"/>
                </w:tcPr>
                <w:p w14:paraId="52CAF368">
                  <w:pPr>
                    <w:jc w:val="center"/>
                    <w:rPr>
                      <w:bCs/>
                      <w:szCs w:val="21"/>
                    </w:rPr>
                  </w:pPr>
                  <w:r>
                    <w:rPr>
                      <w:kern w:val="0"/>
                      <w:szCs w:val="21"/>
                    </w:rPr>
                    <w:t>依托现有化验中心</w:t>
                  </w:r>
                </w:p>
              </w:tc>
              <w:tc>
                <w:tcPr>
                  <w:tcW w:w="909" w:type="pct"/>
                  <w:vAlign w:val="center"/>
                </w:tcPr>
                <w:p w14:paraId="4EE8BBCA">
                  <w:pPr>
                    <w:jc w:val="center"/>
                    <w:rPr>
                      <w:bCs/>
                      <w:szCs w:val="21"/>
                    </w:rPr>
                  </w:pPr>
                  <w:r>
                    <w:rPr>
                      <w:kern w:val="0"/>
                      <w:szCs w:val="21"/>
                    </w:rPr>
                    <w:t>依托现有化验中心</w:t>
                  </w:r>
                </w:p>
              </w:tc>
              <w:tc>
                <w:tcPr>
                  <w:tcW w:w="909" w:type="pct"/>
                  <w:vAlign w:val="center"/>
                </w:tcPr>
                <w:p w14:paraId="51791A82">
                  <w:pPr>
                    <w:jc w:val="center"/>
                    <w:rPr>
                      <w:bCs/>
                      <w:szCs w:val="21"/>
                    </w:rPr>
                  </w:pPr>
                  <w:r>
                    <w:rPr>
                      <w:bCs/>
                      <w:szCs w:val="21"/>
                    </w:rPr>
                    <w:t>依托</w:t>
                  </w:r>
                </w:p>
              </w:tc>
            </w:tr>
            <w:tr w14:paraId="706986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18" w:type="pct"/>
                  <w:vMerge w:val="restart"/>
                  <w:vAlign w:val="center"/>
                </w:tcPr>
                <w:p w14:paraId="0C03A2B3">
                  <w:pPr>
                    <w:jc w:val="center"/>
                    <w:rPr>
                      <w:szCs w:val="21"/>
                    </w:rPr>
                  </w:pPr>
                  <w:r>
                    <w:rPr>
                      <w:szCs w:val="21"/>
                    </w:rPr>
                    <w:t>储运工程</w:t>
                  </w:r>
                </w:p>
              </w:tc>
              <w:tc>
                <w:tcPr>
                  <w:tcW w:w="278" w:type="pct"/>
                  <w:gridSpan w:val="2"/>
                  <w:vAlign w:val="center"/>
                </w:tcPr>
                <w:p w14:paraId="02856BF9">
                  <w:pPr>
                    <w:jc w:val="center"/>
                    <w:rPr>
                      <w:szCs w:val="21"/>
                    </w:rPr>
                  </w:pPr>
                  <w:r>
                    <w:rPr>
                      <w:szCs w:val="21"/>
                    </w:rPr>
                    <w:t>原料罐区</w:t>
                  </w:r>
                </w:p>
              </w:tc>
              <w:tc>
                <w:tcPr>
                  <w:tcW w:w="1240" w:type="pct"/>
                  <w:gridSpan w:val="2"/>
                  <w:vAlign w:val="center"/>
                </w:tcPr>
                <w:p w14:paraId="538BD2BF">
                  <w:pPr>
                    <w:widowControl/>
                    <w:jc w:val="center"/>
                    <w:rPr>
                      <w:szCs w:val="21"/>
                    </w:rPr>
                  </w:pPr>
                  <w:r>
                    <w:rPr>
                      <w:kern w:val="0"/>
                      <w:szCs w:val="21"/>
                      <w:lang w:bidi="ar"/>
                    </w:rPr>
                    <w:t>8个8800m</w:t>
                  </w:r>
                  <w:r>
                    <w:rPr>
                      <w:kern w:val="0"/>
                      <w:szCs w:val="21"/>
                      <w:vertAlign w:val="superscript"/>
                      <w:lang w:bidi="ar"/>
                    </w:rPr>
                    <w:t>3</w:t>
                  </w:r>
                  <w:r>
                    <w:rPr>
                      <w:kern w:val="0"/>
                      <w:szCs w:val="21"/>
                      <w:lang w:bidi="ar"/>
                    </w:rPr>
                    <w:t>乙二醇储罐，10个1000m</w:t>
                  </w:r>
                  <w:r>
                    <w:rPr>
                      <w:kern w:val="0"/>
                      <w:szCs w:val="21"/>
                      <w:vertAlign w:val="superscript"/>
                      <w:lang w:bidi="ar"/>
                    </w:rPr>
                    <w:t>3</w:t>
                  </w:r>
                  <w:r>
                    <w:rPr>
                      <w:kern w:val="0"/>
                      <w:szCs w:val="21"/>
                      <w:lang w:bidi="ar"/>
                    </w:rPr>
                    <w:t>乙二醇储罐，均为立式拱顶罐；二甘醇储罐：5个300m</w:t>
                  </w:r>
                  <w:r>
                    <w:rPr>
                      <w:kern w:val="0"/>
                      <w:szCs w:val="21"/>
                      <w:vertAlign w:val="superscript"/>
                      <w:lang w:bidi="ar"/>
                    </w:rPr>
                    <w:t>3</w:t>
                  </w:r>
                  <w:r>
                    <w:rPr>
                      <w:kern w:val="0"/>
                      <w:szCs w:val="21"/>
                      <w:lang w:bidi="ar"/>
                    </w:rPr>
                    <w:t>二甘醇立式拱顶罐储罐；乙二醇卸车缓冲罐：4个100m</w:t>
                  </w:r>
                  <w:r>
                    <w:rPr>
                      <w:kern w:val="0"/>
                      <w:szCs w:val="21"/>
                      <w:vertAlign w:val="superscript"/>
                      <w:lang w:bidi="ar"/>
                    </w:rPr>
                    <w:t>3</w:t>
                  </w:r>
                  <w:r>
                    <w:rPr>
                      <w:kern w:val="0"/>
                      <w:szCs w:val="21"/>
                      <w:lang w:bidi="ar"/>
                    </w:rPr>
                    <w:t>乙二醇卸车缓冲罐；回用EG收集罐5个300m</w:t>
                  </w:r>
                  <w:r>
                    <w:rPr>
                      <w:kern w:val="0"/>
                      <w:szCs w:val="21"/>
                      <w:vertAlign w:val="superscript"/>
                      <w:lang w:bidi="ar"/>
                    </w:rPr>
                    <w:t>3</w:t>
                  </w:r>
                  <w:r>
                    <w:rPr>
                      <w:kern w:val="0"/>
                      <w:szCs w:val="21"/>
                      <w:lang w:bidi="ar"/>
                    </w:rPr>
                    <w:t>；罐区设置了围堰。</w:t>
                  </w:r>
                </w:p>
              </w:tc>
              <w:tc>
                <w:tcPr>
                  <w:tcW w:w="159" w:type="pct"/>
                  <w:vAlign w:val="center"/>
                </w:tcPr>
                <w:p w14:paraId="3620D86F">
                  <w:pPr>
                    <w:jc w:val="center"/>
                    <w:rPr>
                      <w:szCs w:val="21"/>
                    </w:rPr>
                  </w:pPr>
                  <w:r>
                    <w:rPr>
                      <w:bCs/>
                      <w:szCs w:val="21"/>
                    </w:rPr>
                    <w:t>自建</w:t>
                  </w:r>
                </w:p>
              </w:tc>
              <w:tc>
                <w:tcPr>
                  <w:tcW w:w="467" w:type="pct"/>
                  <w:vAlign w:val="center"/>
                </w:tcPr>
                <w:p w14:paraId="251BEC26">
                  <w:pPr>
                    <w:jc w:val="center"/>
                    <w:rPr>
                      <w:bCs/>
                      <w:szCs w:val="21"/>
                    </w:rPr>
                  </w:pPr>
                  <w:r>
                    <w:rPr>
                      <w:kern w:val="0"/>
                      <w:szCs w:val="21"/>
                    </w:rPr>
                    <w:t>乙二醇储罐区</w:t>
                  </w:r>
                  <w:r>
                    <w:rPr>
                      <w:bCs/>
                      <w:szCs w:val="21"/>
                    </w:rPr>
                    <w:t>8个8800m³储罐、4个100m³乙二醇卸车缓冲罐；中间罐区1个200m³二甘醇储罐、1个300m³回用乙二醇储罐、2个1000m³乙二醇储罐，均已完成验收</w:t>
                  </w:r>
                </w:p>
              </w:tc>
              <w:tc>
                <w:tcPr>
                  <w:tcW w:w="920" w:type="pct"/>
                  <w:vAlign w:val="center"/>
                </w:tcPr>
                <w:p w14:paraId="3B3F2EC5">
                  <w:pPr>
                    <w:jc w:val="center"/>
                    <w:rPr>
                      <w:kern w:val="0"/>
                      <w:szCs w:val="21"/>
                      <w:lang w:bidi="ar"/>
                    </w:rPr>
                  </w:pPr>
                  <w:r>
                    <w:rPr>
                      <w:kern w:val="0"/>
                      <w:szCs w:val="21"/>
                      <w:lang w:bidi="ar"/>
                    </w:rPr>
                    <w:t>/</w:t>
                  </w:r>
                </w:p>
              </w:tc>
              <w:tc>
                <w:tcPr>
                  <w:tcW w:w="909" w:type="pct"/>
                  <w:vAlign w:val="center"/>
                </w:tcPr>
                <w:p w14:paraId="01F2018E">
                  <w:pPr>
                    <w:jc w:val="center"/>
                    <w:rPr>
                      <w:kern w:val="0"/>
                      <w:szCs w:val="21"/>
                      <w:lang w:bidi="ar"/>
                    </w:rPr>
                  </w:pPr>
                  <w:r>
                    <w:rPr>
                      <w:kern w:val="0"/>
                      <w:szCs w:val="21"/>
                      <w:lang w:bidi="ar"/>
                    </w:rPr>
                    <w:t>根据现有项目实际运行情况，考虑未来国望高科整体聚酯产能增加所带来的原料需求，为了降低上游乙二醇原料供给量波动对生产的影响，减缓乙二醇周转频次，适当延长储运时间，维持生产线的稳定运行。三期项目在现有罐区西侧空地新建1个乙二醇储罐</w:t>
                  </w:r>
                  <w:r>
                    <w:rPr>
                      <w:kern w:val="0"/>
                      <w:szCs w:val="21"/>
                    </w:rPr>
                    <w:t>区2（2个8800</w:t>
                  </w:r>
                  <w:r>
                    <w:rPr>
                      <w:kern w:val="0"/>
                      <w:szCs w:val="21"/>
                      <w:lang w:bidi="ar"/>
                    </w:rPr>
                    <w:t>m</w:t>
                  </w:r>
                  <w:r>
                    <w:rPr>
                      <w:kern w:val="0"/>
                      <w:szCs w:val="21"/>
                      <w:vertAlign w:val="superscript"/>
                      <w:lang w:bidi="ar"/>
                    </w:rPr>
                    <w:t>3</w:t>
                  </w:r>
                  <w:r>
                    <w:rPr>
                      <w:kern w:val="0"/>
                      <w:szCs w:val="21"/>
                      <w:lang w:bidi="ar"/>
                    </w:rPr>
                    <w:t>乙二醇储罐及配套围堰），位于现有乙二醇罐区西侧。</w:t>
                  </w:r>
                </w:p>
              </w:tc>
              <w:tc>
                <w:tcPr>
                  <w:tcW w:w="909" w:type="pct"/>
                  <w:vAlign w:val="center"/>
                </w:tcPr>
                <w:p w14:paraId="3C324ABA">
                  <w:pPr>
                    <w:jc w:val="center"/>
                    <w:rPr>
                      <w:kern w:val="0"/>
                      <w:szCs w:val="21"/>
                      <w:lang w:bidi="ar"/>
                    </w:rPr>
                  </w:pPr>
                  <w:r>
                    <w:rPr>
                      <w:kern w:val="0"/>
                      <w:szCs w:val="21"/>
                      <w:lang w:bidi="ar"/>
                    </w:rPr>
                    <w:t>新建</w:t>
                  </w:r>
                </w:p>
              </w:tc>
            </w:tr>
            <w:tr w14:paraId="1C33A4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18" w:type="pct"/>
                  <w:vMerge w:val="continue"/>
                  <w:vAlign w:val="center"/>
                </w:tcPr>
                <w:p w14:paraId="1B59F7E7">
                  <w:pPr>
                    <w:jc w:val="center"/>
                    <w:rPr>
                      <w:szCs w:val="21"/>
                    </w:rPr>
                  </w:pPr>
                </w:p>
              </w:tc>
              <w:tc>
                <w:tcPr>
                  <w:tcW w:w="278" w:type="pct"/>
                  <w:gridSpan w:val="2"/>
                  <w:vAlign w:val="center"/>
                </w:tcPr>
                <w:p w14:paraId="65882844">
                  <w:pPr>
                    <w:jc w:val="center"/>
                    <w:rPr>
                      <w:szCs w:val="21"/>
                    </w:rPr>
                  </w:pPr>
                  <w:r>
                    <w:rPr>
                      <w:szCs w:val="21"/>
                    </w:rPr>
                    <w:t>柴油储罐</w:t>
                  </w:r>
                </w:p>
              </w:tc>
              <w:tc>
                <w:tcPr>
                  <w:tcW w:w="1240" w:type="pct"/>
                  <w:gridSpan w:val="2"/>
                  <w:vAlign w:val="center"/>
                </w:tcPr>
                <w:p w14:paraId="337DA041">
                  <w:pPr>
                    <w:jc w:val="center"/>
                    <w:rPr>
                      <w:szCs w:val="21"/>
                    </w:rPr>
                  </w:pPr>
                  <w:r>
                    <w:rPr>
                      <w:szCs w:val="21"/>
                    </w:rPr>
                    <w:t>锅炉采用柴油点火，设有50m</w:t>
                  </w:r>
                  <w:r>
                    <w:rPr>
                      <w:szCs w:val="21"/>
                      <w:vertAlign w:val="superscript"/>
                    </w:rPr>
                    <w:t>3</w:t>
                  </w:r>
                  <w:r>
                    <w:rPr>
                      <w:szCs w:val="21"/>
                    </w:rPr>
                    <w:t>（Ф2.8m）储罐</w:t>
                  </w:r>
                </w:p>
              </w:tc>
              <w:tc>
                <w:tcPr>
                  <w:tcW w:w="159" w:type="pct"/>
                  <w:vAlign w:val="center"/>
                </w:tcPr>
                <w:p w14:paraId="7579B880">
                  <w:pPr>
                    <w:jc w:val="center"/>
                    <w:rPr>
                      <w:bCs/>
                      <w:szCs w:val="21"/>
                    </w:rPr>
                  </w:pPr>
                  <w:r>
                    <w:rPr>
                      <w:bCs/>
                      <w:szCs w:val="21"/>
                    </w:rPr>
                    <w:t>自建</w:t>
                  </w:r>
                </w:p>
              </w:tc>
              <w:tc>
                <w:tcPr>
                  <w:tcW w:w="467" w:type="pct"/>
                  <w:vAlign w:val="center"/>
                </w:tcPr>
                <w:p w14:paraId="59A7ED00">
                  <w:pPr>
                    <w:jc w:val="center"/>
                    <w:rPr>
                      <w:bCs/>
                      <w:szCs w:val="21"/>
                    </w:rPr>
                  </w:pPr>
                  <w:r>
                    <w:rPr>
                      <w:bCs/>
                      <w:szCs w:val="21"/>
                    </w:rPr>
                    <w:t>已验收</w:t>
                  </w:r>
                </w:p>
              </w:tc>
              <w:tc>
                <w:tcPr>
                  <w:tcW w:w="1829" w:type="pct"/>
                  <w:gridSpan w:val="2"/>
                  <w:vAlign w:val="center"/>
                </w:tcPr>
                <w:p w14:paraId="0BA8D3B5">
                  <w:pPr>
                    <w:jc w:val="center"/>
                    <w:rPr>
                      <w:bCs/>
                      <w:szCs w:val="21"/>
                    </w:rPr>
                  </w:pPr>
                  <w:r>
                    <w:rPr>
                      <w:bCs/>
                      <w:szCs w:val="21"/>
                    </w:rPr>
                    <w:t>计划与热媒站同步关停，不在本次评价范围内</w:t>
                  </w:r>
                </w:p>
              </w:tc>
              <w:tc>
                <w:tcPr>
                  <w:tcW w:w="909" w:type="pct"/>
                  <w:vAlign w:val="center"/>
                </w:tcPr>
                <w:p w14:paraId="66CE8791">
                  <w:pPr>
                    <w:jc w:val="center"/>
                    <w:rPr>
                      <w:bCs/>
                      <w:szCs w:val="21"/>
                    </w:rPr>
                  </w:pPr>
                  <w:r>
                    <w:rPr>
                      <w:bCs/>
                      <w:szCs w:val="21"/>
                    </w:rPr>
                    <w:t>/</w:t>
                  </w:r>
                </w:p>
              </w:tc>
            </w:tr>
            <w:tr w14:paraId="4F7B94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18" w:type="pct"/>
                  <w:vMerge w:val="continue"/>
                  <w:vAlign w:val="center"/>
                </w:tcPr>
                <w:p w14:paraId="042AB4BD">
                  <w:pPr>
                    <w:jc w:val="center"/>
                    <w:rPr>
                      <w:szCs w:val="21"/>
                    </w:rPr>
                  </w:pPr>
                </w:p>
              </w:tc>
              <w:tc>
                <w:tcPr>
                  <w:tcW w:w="278" w:type="pct"/>
                  <w:gridSpan w:val="2"/>
                  <w:vAlign w:val="center"/>
                </w:tcPr>
                <w:p w14:paraId="75647AD8">
                  <w:pPr>
                    <w:jc w:val="center"/>
                    <w:rPr>
                      <w:szCs w:val="21"/>
                    </w:rPr>
                  </w:pPr>
                  <w:r>
                    <w:rPr>
                      <w:szCs w:val="21"/>
                    </w:rPr>
                    <w:t>氨水储罐</w:t>
                  </w:r>
                </w:p>
              </w:tc>
              <w:tc>
                <w:tcPr>
                  <w:tcW w:w="1240" w:type="pct"/>
                  <w:gridSpan w:val="2"/>
                  <w:vAlign w:val="center"/>
                </w:tcPr>
                <w:p w14:paraId="2AC9958C">
                  <w:pPr>
                    <w:jc w:val="center"/>
                    <w:rPr>
                      <w:szCs w:val="21"/>
                    </w:rPr>
                  </w:pPr>
                  <w:r>
                    <w:rPr>
                      <w:szCs w:val="21"/>
                    </w:rPr>
                    <w:t>20%浓度氨水，设有1座150m</w:t>
                  </w:r>
                  <w:r>
                    <w:rPr>
                      <w:szCs w:val="21"/>
                      <w:vertAlign w:val="superscript"/>
                    </w:rPr>
                    <w:t>3</w:t>
                  </w:r>
                  <w:r>
                    <w:rPr>
                      <w:szCs w:val="21"/>
                    </w:rPr>
                    <w:t>储罐</w:t>
                  </w:r>
                </w:p>
              </w:tc>
              <w:tc>
                <w:tcPr>
                  <w:tcW w:w="159" w:type="pct"/>
                  <w:vAlign w:val="center"/>
                </w:tcPr>
                <w:p w14:paraId="127AF70D">
                  <w:pPr>
                    <w:jc w:val="center"/>
                    <w:rPr>
                      <w:bCs/>
                      <w:szCs w:val="21"/>
                    </w:rPr>
                  </w:pPr>
                  <w:r>
                    <w:rPr>
                      <w:bCs/>
                      <w:szCs w:val="21"/>
                    </w:rPr>
                    <w:t>新建</w:t>
                  </w:r>
                </w:p>
              </w:tc>
              <w:tc>
                <w:tcPr>
                  <w:tcW w:w="467" w:type="pct"/>
                  <w:vAlign w:val="center"/>
                </w:tcPr>
                <w:p w14:paraId="12646360">
                  <w:pPr>
                    <w:jc w:val="center"/>
                    <w:rPr>
                      <w:bCs/>
                      <w:szCs w:val="21"/>
                    </w:rPr>
                  </w:pPr>
                  <w:r>
                    <w:rPr>
                      <w:bCs/>
                      <w:szCs w:val="21"/>
                    </w:rPr>
                    <w:t>已验收</w:t>
                  </w:r>
                </w:p>
              </w:tc>
              <w:tc>
                <w:tcPr>
                  <w:tcW w:w="1829" w:type="pct"/>
                  <w:gridSpan w:val="2"/>
                  <w:vAlign w:val="center"/>
                </w:tcPr>
                <w:p w14:paraId="646E83BE">
                  <w:pPr>
                    <w:jc w:val="center"/>
                    <w:rPr>
                      <w:bCs/>
                      <w:szCs w:val="21"/>
                    </w:rPr>
                  </w:pPr>
                  <w:r>
                    <w:rPr>
                      <w:bCs/>
                      <w:szCs w:val="21"/>
                    </w:rPr>
                    <w:t>计划与热媒站同步关停，不在本次评价范围内</w:t>
                  </w:r>
                </w:p>
              </w:tc>
              <w:tc>
                <w:tcPr>
                  <w:tcW w:w="909" w:type="pct"/>
                  <w:vAlign w:val="center"/>
                </w:tcPr>
                <w:p w14:paraId="7EC10F79">
                  <w:pPr>
                    <w:jc w:val="center"/>
                    <w:rPr>
                      <w:bCs/>
                      <w:szCs w:val="21"/>
                    </w:rPr>
                  </w:pPr>
                  <w:r>
                    <w:rPr>
                      <w:bCs/>
                      <w:szCs w:val="21"/>
                    </w:rPr>
                    <w:t>/</w:t>
                  </w:r>
                </w:p>
              </w:tc>
            </w:tr>
            <w:tr w14:paraId="2FF4D6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18" w:type="pct"/>
                  <w:vMerge w:val="continue"/>
                  <w:vAlign w:val="center"/>
                </w:tcPr>
                <w:p w14:paraId="52EAF981">
                  <w:pPr>
                    <w:jc w:val="center"/>
                    <w:rPr>
                      <w:szCs w:val="21"/>
                    </w:rPr>
                  </w:pPr>
                </w:p>
              </w:tc>
              <w:tc>
                <w:tcPr>
                  <w:tcW w:w="278" w:type="pct"/>
                  <w:gridSpan w:val="2"/>
                  <w:vAlign w:val="center"/>
                </w:tcPr>
                <w:p w14:paraId="1B72BAB5">
                  <w:pPr>
                    <w:jc w:val="center"/>
                    <w:rPr>
                      <w:szCs w:val="21"/>
                    </w:rPr>
                  </w:pPr>
                  <w:r>
                    <w:rPr>
                      <w:szCs w:val="21"/>
                    </w:rPr>
                    <w:t>水煤浆储罐</w:t>
                  </w:r>
                </w:p>
              </w:tc>
              <w:tc>
                <w:tcPr>
                  <w:tcW w:w="1240" w:type="pct"/>
                  <w:gridSpan w:val="2"/>
                  <w:vAlign w:val="center"/>
                </w:tcPr>
                <w:p w14:paraId="1B717A5D">
                  <w:pPr>
                    <w:jc w:val="center"/>
                    <w:rPr>
                      <w:szCs w:val="21"/>
                    </w:rPr>
                  </w:pPr>
                  <w:r>
                    <w:rPr>
                      <w:szCs w:val="21"/>
                    </w:rPr>
                    <w:t>2×3000m</w:t>
                  </w:r>
                  <w:r>
                    <w:rPr>
                      <w:szCs w:val="21"/>
                      <w:vertAlign w:val="superscript"/>
                    </w:rPr>
                    <w:t>3</w:t>
                  </w:r>
                  <w:r>
                    <w:rPr>
                      <w:szCs w:val="21"/>
                    </w:rPr>
                    <w:t>+2×1000m</w:t>
                  </w:r>
                  <w:r>
                    <w:rPr>
                      <w:szCs w:val="21"/>
                      <w:vertAlign w:val="superscript"/>
                    </w:rPr>
                    <w:t>3</w:t>
                  </w:r>
                  <w:r>
                    <w:rPr>
                      <w:szCs w:val="21"/>
                    </w:rPr>
                    <w:t>水煤浆储罐</w:t>
                  </w:r>
                </w:p>
              </w:tc>
              <w:tc>
                <w:tcPr>
                  <w:tcW w:w="159" w:type="pct"/>
                  <w:vAlign w:val="center"/>
                </w:tcPr>
                <w:p w14:paraId="6B6FF5A2">
                  <w:pPr>
                    <w:jc w:val="center"/>
                    <w:rPr>
                      <w:bCs/>
                      <w:szCs w:val="21"/>
                    </w:rPr>
                  </w:pPr>
                  <w:r>
                    <w:rPr>
                      <w:bCs/>
                      <w:szCs w:val="21"/>
                    </w:rPr>
                    <w:t>新建</w:t>
                  </w:r>
                </w:p>
              </w:tc>
              <w:tc>
                <w:tcPr>
                  <w:tcW w:w="467" w:type="pct"/>
                  <w:vAlign w:val="center"/>
                </w:tcPr>
                <w:p w14:paraId="412F3C5E">
                  <w:pPr>
                    <w:jc w:val="center"/>
                    <w:rPr>
                      <w:bCs/>
                      <w:szCs w:val="21"/>
                    </w:rPr>
                  </w:pPr>
                  <w:r>
                    <w:rPr>
                      <w:bCs/>
                      <w:szCs w:val="21"/>
                    </w:rPr>
                    <w:t>已验收</w:t>
                  </w:r>
                </w:p>
              </w:tc>
              <w:tc>
                <w:tcPr>
                  <w:tcW w:w="1829" w:type="pct"/>
                  <w:gridSpan w:val="2"/>
                  <w:vAlign w:val="center"/>
                </w:tcPr>
                <w:p w14:paraId="41B2CECB">
                  <w:pPr>
                    <w:jc w:val="center"/>
                    <w:rPr>
                      <w:bCs/>
                      <w:szCs w:val="21"/>
                    </w:rPr>
                  </w:pPr>
                  <w:r>
                    <w:rPr>
                      <w:bCs/>
                      <w:szCs w:val="21"/>
                    </w:rPr>
                    <w:t>计划与热媒站同步关停，不在本次评价范围内</w:t>
                  </w:r>
                </w:p>
              </w:tc>
              <w:tc>
                <w:tcPr>
                  <w:tcW w:w="909" w:type="pct"/>
                  <w:vAlign w:val="center"/>
                </w:tcPr>
                <w:p w14:paraId="03B41E23">
                  <w:pPr>
                    <w:jc w:val="center"/>
                    <w:rPr>
                      <w:bCs/>
                      <w:szCs w:val="21"/>
                    </w:rPr>
                  </w:pPr>
                  <w:r>
                    <w:rPr>
                      <w:bCs/>
                      <w:szCs w:val="21"/>
                    </w:rPr>
                    <w:t>/</w:t>
                  </w:r>
                </w:p>
              </w:tc>
            </w:tr>
            <w:tr w14:paraId="6604CC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18" w:type="pct"/>
                  <w:vMerge w:val="continue"/>
                  <w:vAlign w:val="center"/>
                </w:tcPr>
                <w:p w14:paraId="5EE003EE">
                  <w:pPr>
                    <w:jc w:val="center"/>
                    <w:rPr>
                      <w:szCs w:val="21"/>
                    </w:rPr>
                  </w:pPr>
                </w:p>
              </w:tc>
              <w:tc>
                <w:tcPr>
                  <w:tcW w:w="278" w:type="pct"/>
                  <w:gridSpan w:val="2"/>
                  <w:vAlign w:val="center"/>
                </w:tcPr>
                <w:p w14:paraId="53039C6C">
                  <w:pPr>
                    <w:jc w:val="center"/>
                    <w:rPr>
                      <w:szCs w:val="21"/>
                    </w:rPr>
                  </w:pPr>
                  <w:r>
                    <w:rPr>
                      <w:szCs w:val="21"/>
                    </w:rPr>
                    <w:t>热媒储罐</w:t>
                  </w:r>
                </w:p>
              </w:tc>
              <w:tc>
                <w:tcPr>
                  <w:tcW w:w="1240" w:type="pct"/>
                  <w:gridSpan w:val="2"/>
                  <w:vAlign w:val="center"/>
                </w:tcPr>
                <w:p w14:paraId="4C94C8B4">
                  <w:pPr>
                    <w:jc w:val="center"/>
                    <w:rPr>
                      <w:szCs w:val="21"/>
                    </w:rPr>
                  </w:pPr>
                  <w:r>
                    <w:rPr>
                      <w:szCs w:val="21"/>
                    </w:rPr>
                    <w:t>3×250 m</w:t>
                  </w:r>
                  <w:r>
                    <w:rPr>
                      <w:szCs w:val="21"/>
                      <w:vertAlign w:val="superscript"/>
                    </w:rPr>
                    <w:t>3</w:t>
                  </w:r>
                  <w:r>
                    <w:rPr>
                      <w:szCs w:val="21"/>
                    </w:rPr>
                    <w:t>+1×10 m</w:t>
                  </w:r>
                  <w:r>
                    <w:rPr>
                      <w:szCs w:val="21"/>
                      <w:vertAlign w:val="superscript"/>
                    </w:rPr>
                    <w:t>3</w:t>
                  </w:r>
                  <w:r>
                    <w:rPr>
                      <w:szCs w:val="21"/>
                    </w:rPr>
                    <w:t>热媒储罐</w:t>
                  </w:r>
                </w:p>
              </w:tc>
              <w:tc>
                <w:tcPr>
                  <w:tcW w:w="159" w:type="pct"/>
                  <w:vAlign w:val="center"/>
                </w:tcPr>
                <w:p w14:paraId="02E489B2">
                  <w:pPr>
                    <w:jc w:val="center"/>
                    <w:rPr>
                      <w:bCs/>
                      <w:szCs w:val="21"/>
                    </w:rPr>
                  </w:pPr>
                  <w:r>
                    <w:rPr>
                      <w:bCs/>
                      <w:szCs w:val="21"/>
                    </w:rPr>
                    <w:t>新建</w:t>
                  </w:r>
                </w:p>
              </w:tc>
              <w:tc>
                <w:tcPr>
                  <w:tcW w:w="467" w:type="pct"/>
                  <w:vAlign w:val="center"/>
                </w:tcPr>
                <w:p w14:paraId="14831F26">
                  <w:pPr>
                    <w:jc w:val="center"/>
                    <w:rPr>
                      <w:bCs/>
                      <w:szCs w:val="21"/>
                    </w:rPr>
                  </w:pPr>
                  <w:r>
                    <w:rPr>
                      <w:bCs/>
                      <w:szCs w:val="21"/>
                    </w:rPr>
                    <w:t>已验收</w:t>
                  </w:r>
                </w:p>
              </w:tc>
              <w:tc>
                <w:tcPr>
                  <w:tcW w:w="1829" w:type="pct"/>
                  <w:gridSpan w:val="2"/>
                  <w:vAlign w:val="center"/>
                </w:tcPr>
                <w:p w14:paraId="371349E4">
                  <w:pPr>
                    <w:jc w:val="center"/>
                    <w:rPr>
                      <w:bCs/>
                      <w:szCs w:val="21"/>
                    </w:rPr>
                  </w:pPr>
                  <w:r>
                    <w:rPr>
                      <w:bCs/>
                      <w:szCs w:val="21"/>
                    </w:rPr>
                    <w:t>计划与热媒站同步关停，不在本次评价范围内</w:t>
                  </w:r>
                </w:p>
              </w:tc>
              <w:tc>
                <w:tcPr>
                  <w:tcW w:w="909" w:type="pct"/>
                  <w:vAlign w:val="center"/>
                </w:tcPr>
                <w:p w14:paraId="7A067D60">
                  <w:pPr>
                    <w:jc w:val="center"/>
                    <w:rPr>
                      <w:bCs/>
                      <w:szCs w:val="21"/>
                    </w:rPr>
                  </w:pPr>
                  <w:r>
                    <w:rPr>
                      <w:bCs/>
                      <w:szCs w:val="21"/>
                    </w:rPr>
                    <w:t>/</w:t>
                  </w:r>
                </w:p>
              </w:tc>
            </w:tr>
            <w:tr w14:paraId="7FF671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18" w:type="pct"/>
                  <w:vMerge w:val="continue"/>
                  <w:vAlign w:val="center"/>
                </w:tcPr>
                <w:p w14:paraId="61130D37">
                  <w:pPr>
                    <w:jc w:val="center"/>
                    <w:rPr>
                      <w:szCs w:val="21"/>
                    </w:rPr>
                  </w:pPr>
                </w:p>
              </w:tc>
              <w:tc>
                <w:tcPr>
                  <w:tcW w:w="278" w:type="pct"/>
                  <w:gridSpan w:val="2"/>
                  <w:vAlign w:val="center"/>
                </w:tcPr>
                <w:p w14:paraId="32EEE26E">
                  <w:pPr>
                    <w:jc w:val="center"/>
                    <w:rPr>
                      <w:szCs w:val="21"/>
                    </w:rPr>
                  </w:pPr>
                  <w:r>
                    <w:rPr>
                      <w:szCs w:val="21"/>
                    </w:rPr>
                    <w:t>原料仓库</w:t>
                  </w:r>
                </w:p>
              </w:tc>
              <w:tc>
                <w:tcPr>
                  <w:tcW w:w="1240" w:type="pct"/>
                  <w:gridSpan w:val="2"/>
                  <w:vAlign w:val="center"/>
                </w:tcPr>
                <w:p w14:paraId="11715B93">
                  <w:pPr>
                    <w:rPr>
                      <w:kern w:val="0"/>
                      <w:szCs w:val="21"/>
                      <w:lang w:bidi="ar"/>
                    </w:rPr>
                  </w:pPr>
                  <w:r>
                    <w:rPr>
                      <w:kern w:val="0"/>
                      <w:szCs w:val="21"/>
                      <w:lang w:bidi="ar"/>
                    </w:rPr>
                    <w:t>成子河西侧用地配套PTA库2个，规格分别为108*92m、125*50m；占地16186m</w:t>
                  </w:r>
                  <w:r>
                    <w:rPr>
                      <w:kern w:val="0"/>
                      <w:szCs w:val="21"/>
                      <w:vertAlign w:val="superscript"/>
                      <w:lang w:bidi="ar"/>
                    </w:rPr>
                    <w:t>2</w:t>
                  </w:r>
                  <w:r>
                    <w:rPr>
                      <w:kern w:val="0"/>
                      <w:szCs w:val="21"/>
                      <w:lang w:bidi="ar"/>
                    </w:rPr>
                    <w:t xml:space="preserve"> </w:t>
                  </w:r>
                </w:p>
              </w:tc>
              <w:tc>
                <w:tcPr>
                  <w:tcW w:w="159" w:type="pct"/>
                  <w:vAlign w:val="center"/>
                </w:tcPr>
                <w:p w14:paraId="44D2C010">
                  <w:pPr>
                    <w:jc w:val="center"/>
                    <w:rPr>
                      <w:szCs w:val="21"/>
                    </w:rPr>
                  </w:pPr>
                  <w:r>
                    <w:rPr>
                      <w:bCs/>
                      <w:szCs w:val="21"/>
                    </w:rPr>
                    <w:t>新建</w:t>
                  </w:r>
                </w:p>
              </w:tc>
              <w:tc>
                <w:tcPr>
                  <w:tcW w:w="467" w:type="pct"/>
                  <w:vAlign w:val="center"/>
                </w:tcPr>
                <w:p w14:paraId="641EFF5A">
                  <w:pPr>
                    <w:jc w:val="center"/>
                    <w:rPr>
                      <w:bCs/>
                      <w:szCs w:val="21"/>
                    </w:rPr>
                  </w:pPr>
                  <w:r>
                    <w:rPr>
                      <w:kern w:val="0"/>
                      <w:szCs w:val="21"/>
                      <w:lang w:bidi="ar"/>
                    </w:rPr>
                    <w:t>PTA库1、辅材库1、备件库1已验收</w:t>
                  </w:r>
                </w:p>
              </w:tc>
              <w:tc>
                <w:tcPr>
                  <w:tcW w:w="1829" w:type="pct"/>
                  <w:gridSpan w:val="2"/>
                  <w:vAlign w:val="center"/>
                </w:tcPr>
                <w:p w14:paraId="1436FBDC">
                  <w:pPr>
                    <w:jc w:val="center"/>
                    <w:rPr>
                      <w:kern w:val="0"/>
                      <w:szCs w:val="21"/>
                      <w:lang w:bidi="ar"/>
                    </w:rPr>
                  </w:pPr>
                  <w:r>
                    <w:rPr>
                      <w:kern w:val="0"/>
                      <w:szCs w:val="21"/>
                      <w:lang w:bidi="ar"/>
                    </w:rPr>
                    <w:t>PTA库2按照一期项目环评建设，不在本次评价范围内，其余依托已验收辅材库1、备件库1</w:t>
                  </w:r>
                </w:p>
              </w:tc>
              <w:tc>
                <w:tcPr>
                  <w:tcW w:w="909" w:type="pct"/>
                  <w:vAlign w:val="center"/>
                </w:tcPr>
                <w:p w14:paraId="1C68EA6F">
                  <w:pPr>
                    <w:jc w:val="center"/>
                    <w:rPr>
                      <w:kern w:val="0"/>
                      <w:szCs w:val="21"/>
                      <w:lang w:bidi="ar"/>
                    </w:rPr>
                  </w:pPr>
                  <w:r>
                    <w:rPr>
                      <w:kern w:val="0"/>
                      <w:szCs w:val="21"/>
                      <w:lang w:bidi="ar"/>
                    </w:rPr>
                    <w:t>一期项目续建</w:t>
                  </w:r>
                </w:p>
              </w:tc>
            </w:tr>
            <w:tr w14:paraId="317FC4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18" w:type="pct"/>
                  <w:vMerge w:val="continue"/>
                  <w:vAlign w:val="center"/>
                </w:tcPr>
                <w:p w14:paraId="2C5BD990">
                  <w:pPr>
                    <w:jc w:val="center"/>
                    <w:rPr>
                      <w:szCs w:val="21"/>
                    </w:rPr>
                  </w:pPr>
                </w:p>
              </w:tc>
              <w:tc>
                <w:tcPr>
                  <w:tcW w:w="278" w:type="pct"/>
                  <w:gridSpan w:val="2"/>
                  <w:vAlign w:val="center"/>
                </w:tcPr>
                <w:p w14:paraId="5AB63B0F">
                  <w:pPr>
                    <w:jc w:val="center"/>
                    <w:rPr>
                      <w:szCs w:val="21"/>
                    </w:rPr>
                  </w:pPr>
                  <w:r>
                    <w:rPr>
                      <w:szCs w:val="21"/>
                    </w:rPr>
                    <w:t>成品仓库</w:t>
                  </w:r>
                </w:p>
              </w:tc>
              <w:tc>
                <w:tcPr>
                  <w:tcW w:w="1240" w:type="pct"/>
                  <w:gridSpan w:val="2"/>
                  <w:vAlign w:val="center"/>
                </w:tcPr>
                <w:p w14:paraId="1C048ECF">
                  <w:pPr>
                    <w:rPr>
                      <w:kern w:val="0"/>
                      <w:szCs w:val="21"/>
                      <w:lang w:bidi="ar"/>
                    </w:rPr>
                  </w:pPr>
                  <w:r>
                    <w:rPr>
                      <w:kern w:val="0"/>
                      <w:szCs w:val="21"/>
                      <w:lang w:bidi="ar"/>
                    </w:rPr>
                    <w:t>成子河西侧用地配套立体库3个，规格分别为136*103m，130*120m，160*100m；成品库3个，占地面积合计67696 m</w:t>
                  </w:r>
                  <w:r>
                    <w:rPr>
                      <w:kern w:val="0"/>
                      <w:szCs w:val="21"/>
                      <w:vertAlign w:val="superscript"/>
                      <w:lang w:bidi="ar"/>
                    </w:rPr>
                    <w:t>2</w:t>
                  </w:r>
                  <w:r>
                    <w:rPr>
                      <w:kern w:val="0"/>
                      <w:szCs w:val="21"/>
                      <w:lang w:bidi="ar"/>
                    </w:rPr>
                    <w:t xml:space="preserve"> </w:t>
                  </w:r>
                </w:p>
              </w:tc>
              <w:tc>
                <w:tcPr>
                  <w:tcW w:w="159" w:type="pct"/>
                  <w:vAlign w:val="center"/>
                </w:tcPr>
                <w:p w14:paraId="75E7654D">
                  <w:pPr>
                    <w:jc w:val="center"/>
                    <w:rPr>
                      <w:szCs w:val="21"/>
                    </w:rPr>
                  </w:pPr>
                  <w:r>
                    <w:rPr>
                      <w:bCs/>
                      <w:szCs w:val="21"/>
                    </w:rPr>
                    <w:t>新建</w:t>
                  </w:r>
                </w:p>
              </w:tc>
              <w:tc>
                <w:tcPr>
                  <w:tcW w:w="467" w:type="pct"/>
                  <w:vAlign w:val="center"/>
                </w:tcPr>
                <w:p w14:paraId="49262D76">
                  <w:pPr>
                    <w:jc w:val="center"/>
                    <w:rPr>
                      <w:bCs/>
                      <w:szCs w:val="21"/>
                    </w:rPr>
                  </w:pPr>
                  <w:r>
                    <w:rPr>
                      <w:kern w:val="0"/>
                      <w:szCs w:val="21"/>
                      <w:lang w:bidi="ar"/>
                    </w:rPr>
                    <w:t>成子河西侧成品库1、成品库2、成品库3已验收</w:t>
                  </w:r>
                  <w:r>
                    <w:rPr>
                      <w:bCs/>
                      <w:szCs w:val="21"/>
                    </w:rPr>
                    <w:t xml:space="preserve"> </w:t>
                  </w:r>
                </w:p>
              </w:tc>
              <w:tc>
                <w:tcPr>
                  <w:tcW w:w="920" w:type="pct"/>
                  <w:vAlign w:val="center"/>
                </w:tcPr>
                <w:p w14:paraId="58AAF6AF">
                  <w:pPr>
                    <w:pStyle w:val="2"/>
                    <w:jc w:val="center"/>
                    <w:rPr>
                      <w:sz w:val="21"/>
                      <w:szCs w:val="21"/>
                    </w:rPr>
                  </w:pPr>
                  <w:r>
                    <w:rPr>
                      <w:sz w:val="21"/>
                      <w:szCs w:val="21"/>
                    </w:rPr>
                    <w:t>依托一期一阶段已验收成品库及三期新建的立体库5</w:t>
                  </w:r>
                </w:p>
              </w:tc>
              <w:tc>
                <w:tcPr>
                  <w:tcW w:w="909" w:type="pct"/>
                  <w:vAlign w:val="center"/>
                </w:tcPr>
                <w:p w14:paraId="31C68A37">
                  <w:pPr>
                    <w:tabs>
                      <w:tab w:val="left" w:pos="578"/>
                    </w:tabs>
                    <w:jc w:val="center"/>
                    <w:rPr>
                      <w:kern w:val="0"/>
                      <w:szCs w:val="21"/>
                    </w:rPr>
                  </w:pPr>
                  <w:r>
                    <w:rPr>
                      <w:kern w:val="0"/>
                      <w:szCs w:val="21"/>
                      <w:lang w:bidi="ar"/>
                    </w:rPr>
                    <w:t>新建</w:t>
                  </w:r>
                  <w:r>
                    <w:rPr>
                      <w:kern w:val="0"/>
                      <w:szCs w:val="21"/>
                    </w:rPr>
                    <w:t>立体库5：成子河西侧地块</w:t>
                  </w:r>
                  <w:r>
                    <w:rPr>
                      <w:kern w:val="0"/>
                      <w:szCs w:val="21"/>
                      <w:lang w:bidi="ar"/>
                    </w:rPr>
                    <w:t>原一期项目加弹车间1位置改为新建立体库5，</w:t>
                  </w:r>
                  <w:r>
                    <w:rPr>
                      <w:kern w:val="0"/>
                      <w:szCs w:val="21"/>
                    </w:rPr>
                    <w:t>153m*152m，占地面积23256m</w:t>
                  </w:r>
                  <w:r>
                    <w:rPr>
                      <w:kern w:val="0"/>
                      <w:szCs w:val="21"/>
                      <w:vertAlign w:val="superscript"/>
                    </w:rPr>
                    <w:t>2</w:t>
                  </w:r>
                  <w:r>
                    <w:rPr>
                      <w:kern w:val="0"/>
                      <w:szCs w:val="21"/>
                    </w:rPr>
                    <w:t>，高38.9m。</w:t>
                  </w:r>
                </w:p>
              </w:tc>
              <w:tc>
                <w:tcPr>
                  <w:tcW w:w="909" w:type="pct"/>
                  <w:vAlign w:val="center"/>
                </w:tcPr>
                <w:p w14:paraId="28B13660">
                  <w:pPr>
                    <w:tabs>
                      <w:tab w:val="left" w:pos="578"/>
                    </w:tabs>
                    <w:jc w:val="center"/>
                    <w:rPr>
                      <w:kern w:val="0"/>
                      <w:szCs w:val="21"/>
                      <w:lang w:bidi="ar"/>
                    </w:rPr>
                  </w:pPr>
                  <w:r>
                    <w:rPr>
                      <w:kern w:val="0"/>
                      <w:szCs w:val="21"/>
                      <w:lang w:bidi="ar"/>
                    </w:rPr>
                    <w:t>部分新建，部分依托</w:t>
                  </w:r>
                </w:p>
              </w:tc>
            </w:tr>
            <w:tr w14:paraId="200E48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18" w:type="pct"/>
                  <w:vMerge w:val="continue"/>
                  <w:vAlign w:val="center"/>
                </w:tcPr>
                <w:p w14:paraId="0DB1F5CA">
                  <w:pPr>
                    <w:jc w:val="center"/>
                    <w:rPr>
                      <w:szCs w:val="21"/>
                    </w:rPr>
                  </w:pPr>
                </w:p>
              </w:tc>
              <w:tc>
                <w:tcPr>
                  <w:tcW w:w="278" w:type="pct"/>
                  <w:gridSpan w:val="2"/>
                  <w:vAlign w:val="center"/>
                </w:tcPr>
                <w:p w14:paraId="7F2F035F">
                  <w:pPr>
                    <w:jc w:val="center"/>
                    <w:rPr>
                      <w:szCs w:val="21"/>
                    </w:rPr>
                  </w:pPr>
                  <w:r>
                    <w:rPr>
                      <w:szCs w:val="21"/>
                    </w:rPr>
                    <w:t>危险化学品仓库</w:t>
                  </w:r>
                </w:p>
              </w:tc>
              <w:tc>
                <w:tcPr>
                  <w:tcW w:w="1240" w:type="pct"/>
                  <w:gridSpan w:val="2"/>
                  <w:vAlign w:val="center"/>
                </w:tcPr>
                <w:p w14:paraId="49A14E2B">
                  <w:pPr>
                    <w:rPr>
                      <w:kern w:val="0"/>
                      <w:szCs w:val="21"/>
                      <w:lang w:bidi="ar"/>
                    </w:rPr>
                  </w:pPr>
                  <w:r>
                    <w:rPr>
                      <w:kern w:val="0"/>
                      <w:szCs w:val="21"/>
                      <w:lang w:bidi="ar"/>
                    </w:rPr>
                    <w:t>化验中心北侧新增危险化学品仓库1个，720</w:t>
                  </w:r>
                  <w:r>
                    <w:rPr>
                      <w:bCs/>
                      <w:szCs w:val="28"/>
                    </w:rPr>
                    <w:t xml:space="preserve"> m</w:t>
                  </w:r>
                  <w:r>
                    <w:rPr>
                      <w:bCs/>
                      <w:szCs w:val="28"/>
                      <w:vertAlign w:val="superscript"/>
                    </w:rPr>
                    <w:t>2</w:t>
                  </w:r>
                  <w:r>
                    <w:rPr>
                      <w:kern w:val="0"/>
                      <w:szCs w:val="21"/>
                      <w:lang w:bidi="ar"/>
                    </w:rPr>
                    <w:t>。在纺丝车间1、2分别于</w:t>
                  </w:r>
                  <w:r>
                    <w:rPr>
                      <w:bCs/>
                      <w:szCs w:val="28"/>
                    </w:rPr>
                    <w:t>4F设</w:t>
                  </w:r>
                  <w:r>
                    <w:rPr>
                      <w:szCs w:val="21"/>
                    </w:rPr>
                    <w:t>危险化学品</w:t>
                  </w:r>
                  <w:r>
                    <w:rPr>
                      <w:bCs/>
                      <w:szCs w:val="28"/>
                    </w:rPr>
                    <w:t>房间，162m</w:t>
                  </w:r>
                  <w:r>
                    <w:rPr>
                      <w:bCs/>
                      <w:szCs w:val="28"/>
                      <w:vertAlign w:val="superscript"/>
                    </w:rPr>
                    <w:t>2</w:t>
                  </w:r>
                  <w:r>
                    <w:rPr>
                      <w:bCs/>
                      <w:szCs w:val="28"/>
                    </w:rPr>
                    <w:t>；</w:t>
                  </w:r>
                  <w:r>
                    <w:rPr>
                      <w:kern w:val="0"/>
                      <w:szCs w:val="21"/>
                      <w:lang w:bidi="ar"/>
                    </w:rPr>
                    <w:t>纺丝车间1、2</w:t>
                  </w:r>
                  <w:r>
                    <w:rPr>
                      <w:szCs w:val="21"/>
                    </w:rPr>
                    <w:t>分别</w:t>
                  </w:r>
                  <w:r>
                    <w:rPr>
                      <w:bCs/>
                      <w:szCs w:val="28"/>
                    </w:rPr>
                    <w:t xml:space="preserve"> 3F设</w:t>
                  </w:r>
                  <w:r>
                    <w:rPr>
                      <w:szCs w:val="21"/>
                    </w:rPr>
                    <w:t>危险化学品</w:t>
                  </w:r>
                  <w:r>
                    <w:rPr>
                      <w:bCs/>
                      <w:szCs w:val="28"/>
                    </w:rPr>
                    <w:t>房，94m</w:t>
                  </w:r>
                  <w:r>
                    <w:rPr>
                      <w:bCs/>
                      <w:szCs w:val="28"/>
                      <w:vertAlign w:val="superscript"/>
                    </w:rPr>
                    <w:t>2</w:t>
                  </w:r>
                  <w:r>
                    <w:rPr>
                      <w:bCs/>
                      <w:szCs w:val="28"/>
                    </w:rPr>
                    <w:t>。</w:t>
                  </w:r>
                </w:p>
              </w:tc>
              <w:tc>
                <w:tcPr>
                  <w:tcW w:w="159" w:type="pct"/>
                  <w:vAlign w:val="center"/>
                </w:tcPr>
                <w:p w14:paraId="4C40AECC">
                  <w:pPr>
                    <w:jc w:val="center"/>
                    <w:rPr>
                      <w:bCs/>
                      <w:szCs w:val="21"/>
                    </w:rPr>
                  </w:pPr>
                  <w:r>
                    <w:rPr>
                      <w:bCs/>
                      <w:szCs w:val="21"/>
                    </w:rPr>
                    <w:t>新建</w:t>
                  </w:r>
                </w:p>
              </w:tc>
              <w:tc>
                <w:tcPr>
                  <w:tcW w:w="467" w:type="pct"/>
                  <w:vAlign w:val="center"/>
                </w:tcPr>
                <w:p w14:paraId="687EA684">
                  <w:pPr>
                    <w:jc w:val="center"/>
                    <w:rPr>
                      <w:kern w:val="0"/>
                      <w:szCs w:val="21"/>
                      <w:lang w:bidi="ar"/>
                    </w:rPr>
                  </w:pPr>
                  <w:r>
                    <w:rPr>
                      <w:kern w:val="0"/>
                      <w:szCs w:val="21"/>
                      <w:lang w:bidi="ar"/>
                    </w:rPr>
                    <w:t>危险化学品仓库已验收，纺丝车间1的</w:t>
                  </w:r>
                  <w:r>
                    <w:rPr>
                      <w:szCs w:val="21"/>
                    </w:rPr>
                    <w:t>危险化学品</w:t>
                  </w:r>
                  <w:r>
                    <w:rPr>
                      <w:bCs/>
                      <w:szCs w:val="28"/>
                    </w:rPr>
                    <w:t>房已完成验收</w:t>
                  </w:r>
                </w:p>
              </w:tc>
              <w:tc>
                <w:tcPr>
                  <w:tcW w:w="920" w:type="pct"/>
                  <w:vAlign w:val="center"/>
                </w:tcPr>
                <w:p w14:paraId="5DC7110F">
                  <w:pPr>
                    <w:tabs>
                      <w:tab w:val="left" w:pos="578"/>
                    </w:tabs>
                    <w:jc w:val="center"/>
                    <w:rPr>
                      <w:kern w:val="0"/>
                      <w:szCs w:val="21"/>
                      <w:lang w:bidi="ar"/>
                    </w:rPr>
                  </w:pPr>
                  <w:r>
                    <w:rPr>
                      <w:kern w:val="0"/>
                      <w:szCs w:val="21"/>
                      <w:lang w:bidi="ar"/>
                    </w:rPr>
                    <w:t>依托一期一阶段已验收</w:t>
                  </w:r>
                  <w:r>
                    <w:rPr>
                      <w:rFonts w:hint="eastAsia"/>
                      <w:kern w:val="0"/>
                      <w:szCs w:val="21"/>
                      <w:lang w:bidi="ar"/>
                    </w:rPr>
                    <w:t>的</w:t>
                  </w:r>
                  <w:r>
                    <w:rPr>
                      <w:kern w:val="0"/>
                      <w:szCs w:val="21"/>
                      <w:lang w:bidi="ar"/>
                    </w:rPr>
                    <w:t>1个危险化学品仓库，依托三期项目</w:t>
                  </w:r>
                  <w:r>
                    <w:rPr>
                      <w:rFonts w:hint="eastAsia"/>
                      <w:kern w:val="0"/>
                      <w:szCs w:val="21"/>
                      <w:lang w:bidi="ar"/>
                    </w:rPr>
                    <w:t>新建</w:t>
                  </w:r>
                  <w:r>
                    <w:rPr>
                      <w:bCs/>
                      <w:szCs w:val="28"/>
                    </w:rPr>
                    <w:t>2间</w:t>
                  </w:r>
                  <w:r>
                    <w:rPr>
                      <w:szCs w:val="21"/>
                    </w:rPr>
                    <w:t>危险化学品</w:t>
                  </w:r>
                  <w:r>
                    <w:rPr>
                      <w:bCs/>
                      <w:szCs w:val="28"/>
                    </w:rPr>
                    <w:t>房</w:t>
                  </w:r>
                </w:p>
              </w:tc>
              <w:tc>
                <w:tcPr>
                  <w:tcW w:w="909" w:type="pct"/>
                  <w:vAlign w:val="center"/>
                </w:tcPr>
                <w:p w14:paraId="38E656FF">
                  <w:pPr>
                    <w:tabs>
                      <w:tab w:val="left" w:pos="578"/>
                    </w:tabs>
                    <w:jc w:val="center"/>
                    <w:rPr>
                      <w:kern w:val="0"/>
                      <w:szCs w:val="21"/>
                      <w:lang w:bidi="ar"/>
                    </w:rPr>
                  </w:pPr>
                  <w:r>
                    <w:rPr>
                      <w:kern w:val="0"/>
                      <w:szCs w:val="21"/>
                      <w:lang w:bidi="ar"/>
                    </w:rPr>
                    <w:t>依托一期一阶段已验收危险化学品仓库1个，占地720</w:t>
                  </w:r>
                  <w:r>
                    <w:rPr>
                      <w:bCs/>
                      <w:szCs w:val="28"/>
                    </w:rPr>
                    <w:t>m</w:t>
                  </w:r>
                  <w:r>
                    <w:rPr>
                      <w:bCs/>
                      <w:szCs w:val="28"/>
                      <w:vertAlign w:val="superscript"/>
                    </w:rPr>
                    <w:t>2</w:t>
                  </w:r>
                  <w:r>
                    <w:rPr>
                      <w:kern w:val="0"/>
                      <w:szCs w:val="21"/>
                      <w:lang w:bidi="ar"/>
                    </w:rPr>
                    <w:t>。</w:t>
                  </w:r>
                </w:p>
                <w:p w14:paraId="77A459B6">
                  <w:pPr>
                    <w:tabs>
                      <w:tab w:val="left" w:pos="578"/>
                    </w:tabs>
                    <w:jc w:val="center"/>
                    <w:rPr>
                      <w:kern w:val="0"/>
                      <w:szCs w:val="21"/>
                      <w:lang w:bidi="ar"/>
                    </w:rPr>
                  </w:pPr>
                  <w:r>
                    <w:rPr>
                      <w:kern w:val="0"/>
                      <w:szCs w:val="21"/>
                      <w:lang w:bidi="ar"/>
                    </w:rPr>
                    <w:t>纺丝车间2：四层西侧</w:t>
                  </w:r>
                  <w:r>
                    <w:rPr>
                      <w:rFonts w:hint="eastAsia"/>
                      <w:kern w:val="0"/>
                      <w:szCs w:val="21"/>
                      <w:lang w:bidi="ar"/>
                    </w:rPr>
                    <w:t>新增</w:t>
                  </w:r>
                  <w:r>
                    <w:rPr>
                      <w:szCs w:val="21"/>
                    </w:rPr>
                    <w:t>危险化学品</w:t>
                  </w:r>
                  <w:r>
                    <w:rPr>
                      <w:bCs/>
                      <w:szCs w:val="28"/>
                    </w:rPr>
                    <w:t>房1间</w:t>
                  </w:r>
                  <w:r>
                    <w:rPr>
                      <w:rFonts w:hint="eastAsia"/>
                      <w:bCs/>
                      <w:szCs w:val="28"/>
                    </w:rPr>
                    <w:t>，</w:t>
                  </w:r>
                  <w:r>
                    <w:rPr>
                      <w:bCs/>
                      <w:szCs w:val="28"/>
                    </w:rPr>
                    <w:t>16m</w:t>
                  </w:r>
                  <w:r>
                    <w:rPr>
                      <w:bCs/>
                      <w:szCs w:val="28"/>
                      <w:vertAlign w:val="superscript"/>
                    </w:rPr>
                    <w:t>2</w:t>
                  </w:r>
                  <w:r>
                    <w:rPr>
                      <w:rFonts w:hint="eastAsia"/>
                      <w:bCs/>
                      <w:szCs w:val="28"/>
                    </w:rPr>
                    <w:t>；</w:t>
                  </w:r>
                  <w:r>
                    <w:rPr>
                      <w:bCs/>
                      <w:szCs w:val="28"/>
                    </w:rPr>
                    <w:t>三层西侧新增</w:t>
                  </w:r>
                  <w:r>
                    <w:rPr>
                      <w:szCs w:val="21"/>
                    </w:rPr>
                    <w:t>危险化学品</w:t>
                  </w:r>
                  <w:r>
                    <w:rPr>
                      <w:bCs/>
                      <w:szCs w:val="28"/>
                    </w:rPr>
                    <w:t>房1间</w:t>
                  </w:r>
                  <w:r>
                    <w:rPr>
                      <w:rFonts w:hint="eastAsia"/>
                      <w:bCs/>
                      <w:szCs w:val="28"/>
                    </w:rPr>
                    <w:t>，</w:t>
                  </w:r>
                  <w:r>
                    <w:rPr>
                      <w:bCs/>
                      <w:szCs w:val="28"/>
                    </w:rPr>
                    <w:t>64m</w:t>
                  </w:r>
                  <w:r>
                    <w:rPr>
                      <w:bCs/>
                      <w:szCs w:val="28"/>
                      <w:vertAlign w:val="superscript"/>
                    </w:rPr>
                    <w:t>2</w:t>
                  </w:r>
                </w:p>
              </w:tc>
              <w:tc>
                <w:tcPr>
                  <w:tcW w:w="909" w:type="pct"/>
                  <w:vAlign w:val="center"/>
                </w:tcPr>
                <w:p w14:paraId="77129C97">
                  <w:pPr>
                    <w:tabs>
                      <w:tab w:val="left" w:pos="578"/>
                    </w:tabs>
                    <w:jc w:val="center"/>
                    <w:rPr>
                      <w:kern w:val="0"/>
                      <w:szCs w:val="21"/>
                      <w:lang w:bidi="ar"/>
                    </w:rPr>
                  </w:pPr>
                  <w:r>
                    <w:rPr>
                      <w:kern w:val="0"/>
                      <w:szCs w:val="21"/>
                      <w:lang w:bidi="ar"/>
                    </w:rPr>
                    <w:t>部分新建，部分依托</w:t>
                  </w:r>
                </w:p>
              </w:tc>
            </w:tr>
            <w:tr w14:paraId="697BB4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18" w:type="pct"/>
                  <w:vMerge w:val="continue"/>
                  <w:vAlign w:val="center"/>
                </w:tcPr>
                <w:p w14:paraId="5EF71279">
                  <w:pPr>
                    <w:jc w:val="center"/>
                    <w:rPr>
                      <w:szCs w:val="21"/>
                    </w:rPr>
                  </w:pPr>
                </w:p>
              </w:tc>
              <w:tc>
                <w:tcPr>
                  <w:tcW w:w="278" w:type="pct"/>
                  <w:gridSpan w:val="2"/>
                  <w:vAlign w:val="center"/>
                </w:tcPr>
                <w:p w14:paraId="478C8785">
                  <w:pPr>
                    <w:jc w:val="center"/>
                    <w:rPr>
                      <w:szCs w:val="21"/>
                    </w:rPr>
                  </w:pPr>
                  <w:r>
                    <w:rPr>
                      <w:szCs w:val="21"/>
                    </w:rPr>
                    <w:t>撬装加油一体化设备</w:t>
                  </w:r>
                </w:p>
              </w:tc>
              <w:tc>
                <w:tcPr>
                  <w:tcW w:w="1240" w:type="pct"/>
                  <w:gridSpan w:val="2"/>
                  <w:vAlign w:val="center"/>
                </w:tcPr>
                <w:p w14:paraId="7537D1CE">
                  <w:pPr>
                    <w:jc w:val="center"/>
                    <w:rPr>
                      <w:kern w:val="0"/>
                      <w:szCs w:val="21"/>
                      <w:lang w:bidi="ar"/>
                    </w:rPr>
                  </w:pPr>
                  <w:r>
                    <w:rPr>
                      <w:kern w:val="0"/>
                      <w:szCs w:val="21"/>
                      <w:lang w:bidi="ar"/>
                    </w:rPr>
                    <w:t>/</w:t>
                  </w:r>
                </w:p>
              </w:tc>
              <w:tc>
                <w:tcPr>
                  <w:tcW w:w="159" w:type="pct"/>
                  <w:vAlign w:val="center"/>
                </w:tcPr>
                <w:p w14:paraId="7978B987">
                  <w:pPr>
                    <w:jc w:val="center"/>
                    <w:rPr>
                      <w:bCs/>
                      <w:szCs w:val="21"/>
                    </w:rPr>
                  </w:pPr>
                  <w:r>
                    <w:rPr>
                      <w:bCs/>
                      <w:szCs w:val="21"/>
                    </w:rPr>
                    <w:t>/</w:t>
                  </w:r>
                </w:p>
              </w:tc>
              <w:tc>
                <w:tcPr>
                  <w:tcW w:w="467" w:type="pct"/>
                  <w:vAlign w:val="center"/>
                </w:tcPr>
                <w:p w14:paraId="27726D40">
                  <w:pPr>
                    <w:jc w:val="center"/>
                    <w:rPr>
                      <w:kern w:val="0"/>
                      <w:szCs w:val="21"/>
                      <w:lang w:bidi="ar"/>
                    </w:rPr>
                  </w:pPr>
                  <w:r>
                    <w:rPr>
                      <w:kern w:val="0"/>
                      <w:szCs w:val="21"/>
                      <w:lang w:bidi="ar"/>
                    </w:rPr>
                    <w:t>/</w:t>
                  </w:r>
                </w:p>
              </w:tc>
              <w:tc>
                <w:tcPr>
                  <w:tcW w:w="920" w:type="pct"/>
                  <w:vAlign w:val="center"/>
                </w:tcPr>
                <w:p w14:paraId="6BD5F7CE">
                  <w:pPr>
                    <w:tabs>
                      <w:tab w:val="left" w:pos="578"/>
                    </w:tabs>
                    <w:jc w:val="center"/>
                    <w:rPr>
                      <w:kern w:val="0"/>
                      <w:szCs w:val="21"/>
                      <w:lang w:bidi="ar"/>
                    </w:rPr>
                  </w:pPr>
                  <w:r>
                    <w:rPr>
                      <w:kern w:val="0"/>
                      <w:szCs w:val="21"/>
                      <w:lang w:bidi="ar"/>
                    </w:rPr>
                    <w:t>/</w:t>
                  </w:r>
                </w:p>
              </w:tc>
              <w:tc>
                <w:tcPr>
                  <w:tcW w:w="909" w:type="pct"/>
                  <w:vAlign w:val="center"/>
                </w:tcPr>
                <w:p w14:paraId="0A908596">
                  <w:pPr>
                    <w:tabs>
                      <w:tab w:val="left" w:pos="578"/>
                    </w:tabs>
                    <w:jc w:val="center"/>
                    <w:rPr>
                      <w:kern w:val="0"/>
                      <w:szCs w:val="21"/>
                      <w:lang w:bidi="ar"/>
                    </w:rPr>
                  </w:pPr>
                  <w:r>
                    <w:rPr>
                      <w:kern w:val="0"/>
                      <w:szCs w:val="21"/>
                      <w:lang w:bidi="ar"/>
                    </w:rPr>
                    <w:t>新增一台撬装加油一体化设备，设计最大贮存能力35吨柴油，设置有 1 个 35m</w:t>
                  </w:r>
                  <w:r>
                    <w:rPr>
                      <w:kern w:val="0"/>
                      <w:szCs w:val="21"/>
                      <w:vertAlign w:val="superscript"/>
                      <w:lang w:bidi="ar"/>
                    </w:rPr>
                    <w:t>3</w:t>
                  </w:r>
                  <w:r>
                    <w:rPr>
                      <w:kern w:val="0"/>
                      <w:szCs w:val="21"/>
                      <w:lang w:bidi="ar"/>
                    </w:rPr>
                    <w:t>（分2个隔仓）的 ZS阻隔防爆柴油储油罐、2 台双枪加油机，配套建设卸油及加油油气回收系统等附属设备，年储存加注柴油量500t/a。用于贮存整个厂区货物转移用叉车、货车所需燃料，位于一期一阶段已验收水煤浆储罐东侧。</w:t>
                  </w:r>
                </w:p>
              </w:tc>
              <w:tc>
                <w:tcPr>
                  <w:tcW w:w="909" w:type="pct"/>
                  <w:vAlign w:val="center"/>
                </w:tcPr>
                <w:p w14:paraId="656186C2">
                  <w:pPr>
                    <w:tabs>
                      <w:tab w:val="left" w:pos="578"/>
                    </w:tabs>
                    <w:jc w:val="center"/>
                    <w:rPr>
                      <w:kern w:val="0"/>
                      <w:szCs w:val="21"/>
                      <w:lang w:bidi="ar"/>
                    </w:rPr>
                  </w:pPr>
                  <w:r>
                    <w:rPr>
                      <w:kern w:val="0"/>
                      <w:szCs w:val="21"/>
                      <w:lang w:bidi="ar"/>
                    </w:rPr>
                    <w:t>新增</w:t>
                  </w:r>
                </w:p>
              </w:tc>
            </w:tr>
            <w:tr w14:paraId="25D5AD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18" w:type="pct"/>
                  <w:vMerge w:val="continue"/>
                  <w:vAlign w:val="center"/>
                </w:tcPr>
                <w:p w14:paraId="49C15A39">
                  <w:pPr>
                    <w:jc w:val="center"/>
                    <w:rPr>
                      <w:szCs w:val="21"/>
                    </w:rPr>
                  </w:pPr>
                </w:p>
              </w:tc>
              <w:tc>
                <w:tcPr>
                  <w:tcW w:w="278" w:type="pct"/>
                  <w:gridSpan w:val="2"/>
                  <w:vAlign w:val="center"/>
                </w:tcPr>
                <w:p w14:paraId="19AF0B89">
                  <w:pPr>
                    <w:jc w:val="center"/>
                    <w:rPr>
                      <w:szCs w:val="21"/>
                    </w:rPr>
                  </w:pPr>
                  <w:r>
                    <w:rPr>
                      <w:szCs w:val="21"/>
                    </w:rPr>
                    <w:t>运输</w:t>
                  </w:r>
                </w:p>
              </w:tc>
              <w:tc>
                <w:tcPr>
                  <w:tcW w:w="1240" w:type="pct"/>
                  <w:gridSpan w:val="2"/>
                  <w:vAlign w:val="center"/>
                </w:tcPr>
                <w:p w14:paraId="6B5A3D8A">
                  <w:pPr>
                    <w:jc w:val="center"/>
                    <w:rPr>
                      <w:szCs w:val="21"/>
                    </w:rPr>
                  </w:pPr>
                  <w:r>
                    <w:rPr>
                      <w:szCs w:val="21"/>
                    </w:rPr>
                    <w:t>乙二醇、PTA、水煤浆经码头水运输送，其他原料、产品采用汽车运输。</w:t>
                  </w:r>
                </w:p>
              </w:tc>
              <w:tc>
                <w:tcPr>
                  <w:tcW w:w="159" w:type="pct"/>
                  <w:vAlign w:val="center"/>
                </w:tcPr>
                <w:p w14:paraId="7FF7CEDD">
                  <w:pPr>
                    <w:jc w:val="center"/>
                    <w:rPr>
                      <w:szCs w:val="21"/>
                    </w:rPr>
                  </w:pPr>
                  <w:r>
                    <w:rPr>
                      <w:szCs w:val="21"/>
                    </w:rPr>
                    <w:t>依托</w:t>
                  </w:r>
                </w:p>
              </w:tc>
              <w:tc>
                <w:tcPr>
                  <w:tcW w:w="467" w:type="pct"/>
                  <w:vAlign w:val="center"/>
                </w:tcPr>
                <w:p w14:paraId="60C7FEAD">
                  <w:pPr>
                    <w:jc w:val="center"/>
                    <w:rPr>
                      <w:szCs w:val="21"/>
                    </w:rPr>
                  </w:pPr>
                  <w:r>
                    <w:rPr>
                      <w:szCs w:val="21"/>
                    </w:rPr>
                    <w:t>依托国望码头</w:t>
                  </w:r>
                </w:p>
              </w:tc>
              <w:tc>
                <w:tcPr>
                  <w:tcW w:w="920" w:type="pct"/>
                  <w:vAlign w:val="center"/>
                </w:tcPr>
                <w:p w14:paraId="73821F91">
                  <w:pPr>
                    <w:jc w:val="center"/>
                    <w:rPr>
                      <w:szCs w:val="21"/>
                    </w:rPr>
                  </w:pPr>
                  <w:r>
                    <w:rPr>
                      <w:szCs w:val="21"/>
                    </w:rPr>
                    <w:t>本项目使用原料：聚酯熔体通过厂内管道从聚酯车间2送至纺丝车间2，液碱通过汽车运输</w:t>
                  </w:r>
                </w:p>
              </w:tc>
              <w:tc>
                <w:tcPr>
                  <w:tcW w:w="909" w:type="pct"/>
                  <w:vAlign w:val="center"/>
                </w:tcPr>
                <w:p w14:paraId="6201ED04">
                  <w:pPr>
                    <w:jc w:val="center"/>
                    <w:rPr>
                      <w:szCs w:val="21"/>
                    </w:rPr>
                  </w:pPr>
                  <w:r>
                    <w:rPr>
                      <w:szCs w:val="21"/>
                    </w:rPr>
                    <w:t>本项目使用原料：聚酯熔体通过厂内管道从聚酯车间2送至纺丝车间2、</w:t>
                  </w:r>
                  <w:r>
                    <w:rPr>
                      <w:rFonts w:hint="eastAsia"/>
                      <w:szCs w:val="21"/>
                    </w:rPr>
                    <w:t>外购</w:t>
                  </w:r>
                  <w:r>
                    <w:rPr>
                      <w:szCs w:val="21"/>
                    </w:rPr>
                    <w:t>PA6切片、PBT切片、液碱等通过汽车运输</w:t>
                  </w:r>
                </w:p>
              </w:tc>
              <w:tc>
                <w:tcPr>
                  <w:tcW w:w="909" w:type="pct"/>
                  <w:vAlign w:val="center"/>
                </w:tcPr>
                <w:p w14:paraId="7EEEAFA8">
                  <w:pPr>
                    <w:jc w:val="center"/>
                    <w:rPr>
                      <w:szCs w:val="21"/>
                    </w:rPr>
                  </w:pPr>
                  <w:r>
                    <w:rPr>
                      <w:szCs w:val="21"/>
                    </w:rPr>
                    <w:t>/</w:t>
                  </w:r>
                </w:p>
              </w:tc>
            </w:tr>
            <w:tr w14:paraId="600521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590" w:hRule="atLeast"/>
                <w:jc w:val="center"/>
              </w:trPr>
              <w:tc>
                <w:tcPr>
                  <w:tcW w:w="118" w:type="pct"/>
                  <w:vMerge w:val="restart"/>
                  <w:vAlign w:val="center"/>
                </w:tcPr>
                <w:p w14:paraId="117C4F4E">
                  <w:pPr>
                    <w:jc w:val="center"/>
                    <w:rPr>
                      <w:szCs w:val="21"/>
                    </w:rPr>
                  </w:pPr>
                  <w:r>
                    <w:rPr>
                      <w:szCs w:val="21"/>
                    </w:rPr>
                    <w:t>环保设施</w:t>
                  </w:r>
                </w:p>
              </w:tc>
              <w:tc>
                <w:tcPr>
                  <w:tcW w:w="278" w:type="pct"/>
                  <w:gridSpan w:val="2"/>
                  <w:vAlign w:val="center"/>
                </w:tcPr>
                <w:p w14:paraId="68FB3083">
                  <w:pPr>
                    <w:jc w:val="center"/>
                    <w:rPr>
                      <w:szCs w:val="21"/>
                    </w:rPr>
                  </w:pPr>
                  <w:r>
                    <w:rPr>
                      <w:szCs w:val="21"/>
                    </w:rPr>
                    <w:t>酯化废水乙醛回收装置</w:t>
                  </w:r>
                </w:p>
              </w:tc>
              <w:tc>
                <w:tcPr>
                  <w:tcW w:w="1240" w:type="pct"/>
                  <w:gridSpan w:val="2"/>
                  <w:vAlign w:val="center"/>
                </w:tcPr>
                <w:p w14:paraId="0780EEE1">
                  <w:pPr>
                    <w:jc w:val="center"/>
                    <w:rPr>
                      <w:szCs w:val="21"/>
                    </w:rPr>
                  </w:pPr>
                  <w:r>
                    <w:rPr>
                      <w:szCs w:val="21"/>
                    </w:rPr>
                    <w:t>设置两套乙醛回收装置，分别对应处理150万吨聚酯产能聚酯装置产生的聚酯废水W1。单套回收装置处理废水量约30万吨/年，聚酯废水W1通过汽提、精馏、二次汽提处理后，对高浓度酯化废水预处理的同时，回收部分乙醛、乙二醇，乙醛达到《工业用乙醛(HG/T5149-2017)》中的优等品的相关要求，作为副产品外售，乙二醇回用至至按需至聚酯装置工艺塔。</w:t>
                  </w:r>
                </w:p>
              </w:tc>
              <w:tc>
                <w:tcPr>
                  <w:tcW w:w="159" w:type="pct"/>
                  <w:vAlign w:val="center"/>
                </w:tcPr>
                <w:p w14:paraId="7858E6AE">
                  <w:pPr>
                    <w:jc w:val="center"/>
                    <w:rPr>
                      <w:szCs w:val="21"/>
                    </w:rPr>
                  </w:pPr>
                  <w:r>
                    <w:rPr>
                      <w:szCs w:val="21"/>
                    </w:rPr>
                    <w:t>自建</w:t>
                  </w:r>
                </w:p>
              </w:tc>
              <w:tc>
                <w:tcPr>
                  <w:tcW w:w="467" w:type="pct"/>
                  <w:vAlign w:val="center"/>
                </w:tcPr>
                <w:p w14:paraId="0596A337">
                  <w:pPr>
                    <w:jc w:val="center"/>
                    <w:rPr>
                      <w:szCs w:val="21"/>
                    </w:rPr>
                  </w:pPr>
                  <w:r>
                    <w:rPr>
                      <w:szCs w:val="21"/>
                    </w:rPr>
                    <w:t>已验收</w:t>
                  </w:r>
                </w:p>
              </w:tc>
              <w:tc>
                <w:tcPr>
                  <w:tcW w:w="1829" w:type="pct"/>
                  <w:gridSpan w:val="2"/>
                  <w:vAlign w:val="center"/>
                </w:tcPr>
                <w:p w14:paraId="7F002E26">
                  <w:pPr>
                    <w:jc w:val="center"/>
                    <w:rPr>
                      <w:bCs/>
                      <w:szCs w:val="21"/>
                    </w:rPr>
                  </w:pPr>
                  <w:r>
                    <w:rPr>
                      <w:bCs/>
                      <w:szCs w:val="21"/>
                    </w:rPr>
                    <w:t>聚酯车间2按照一期项目环评建设，其产生的酯化废水回收情况已于国望高科《PET 酯化废水预处理项目环境影响报告表》进行评价，不在本项目评价范围</w:t>
                  </w:r>
                </w:p>
              </w:tc>
              <w:tc>
                <w:tcPr>
                  <w:tcW w:w="909" w:type="pct"/>
                  <w:vAlign w:val="center"/>
                </w:tcPr>
                <w:p w14:paraId="44F75859">
                  <w:pPr>
                    <w:jc w:val="center"/>
                    <w:rPr>
                      <w:bCs/>
                      <w:szCs w:val="21"/>
                    </w:rPr>
                  </w:pPr>
                  <w:r>
                    <w:rPr>
                      <w:bCs/>
                      <w:szCs w:val="21"/>
                    </w:rPr>
                    <w:t>依托PET 酯化废水预处理项目</w:t>
                  </w:r>
                </w:p>
              </w:tc>
            </w:tr>
            <w:tr w14:paraId="168B29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18" w:type="pct"/>
                  <w:vMerge w:val="continue"/>
                  <w:vAlign w:val="center"/>
                </w:tcPr>
                <w:p w14:paraId="3FE5FD0A">
                  <w:pPr>
                    <w:jc w:val="center"/>
                    <w:rPr>
                      <w:szCs w:val="21"/>
                    </w:rPr>
                  </w:pPr>
                </w:p>
              </w:tc>
              <w:tc>
                <w:tcPr>
                  <w:tcW w:w="278" w:type="pct"/>
                  <w:gridSpan w:val="2"/>
                  <w:vAlign w:val="center"/>
                </w:tcPr>
                <w:p w14:paraId="75292D0A">
                  <w:pPr>
                    <w:jc w:val="center"/>
                    <w:rPr>
                      <w:szCs w:val="21"/>
                    </w:rPr>
                  </w:pPr>
                  <w:r>
                    <w:rPr>
                      <w:szCs w:val="21"/>
                    </w:rPr>
                    <w:t>乙醛回收汽提塔废气和聚酯真空系统不凝气焚烧系统</w:t>
                  </w:r>
                </w:p>
              </w:tc>
              <w:tc>
                <w:tcPr>
                  <w:tcW w:w="1240" w:type="pct"/>
                  <w:gridSpan w:val="2"/>
                  <w:vAlign w:val="center"/>
                </w:tcPr>
                <w:p w14:paraId="47B1D29E">
                  <w:pPr>
                    <w:jc w:val="center"/>
                    <w:rPr>
                      <w:szCs w:val="21"/>
                    </w:rPr>
                  </w:pPr>
                  <w:r>
                    <w:rPr>
                      <w:szCs w:val="21"/>
                    </w:rPr>
                    <w:t>乙醛回收汽提塔废气和聚酯真空系统不凝气分别经收集后送厂区热媒炉区焚烧处理，焚烧后乙醛、乙二醇废气污染物去除率可达99.8%以上。</w:t>
                  </w:r>
                </w:p>
              </w:tc>
              <w:tc>
                <w:tcPr>
                  <w:tcW w:w="159" w:type="pct"/>
                  <w:vAlign w:val="center"/>
                </w:tcPr>
                <w:p w14:paraId="0BE9C627">
                  <w:pPr>
                    <w:jc w:val="center"/>
                    <w:rPr>
                      <w:szCs w:val="21"/>
                    </w:rPr>
                  </w:pPr>
                  <w:r>
                    <w:rPr>
                      <w:szCs w:val="21"/>
                    </w:rPr>
                    <w:t>依托厂区热媒炉区</w:t>
                  </w:r>
                </w:p>
              </w:tc>
              <w:tc>
                <w:tcPr>
                  <w:tcW w:w="467" w:type="pct"/>
                  <w:vAlign w:val="center"/>
                </w:tcPr>
                <w:p w14:paraId="226375F9">
                  <w:pPr>
                    <w:jc w:val="center"/>
                    <w:rPr>
                      <w:szCs w:val="21"/>
                    </w:rPr>
                  </w:pPr>
                  <w:r>
                    <w:rPr>
                      <w:szCs w:val="21"/>
                    </w:rPr>
                    <w:t>已验收</w:t>
                  </w:r>
                </w:p>
              </w:tc>
              <w:tc>
                <w:tcPr>
                  <w:tcW w:w="1829" w:type="pct"/>
                  <w:gridSpan w:val="2"/>
                  <w:vAlign w:val="center"/>
                </w:tcPr>
                <w:p w14:paraId="5CB1A6F3">
                  <w:pPr>
                    <w:jc w:val="center"/>
                    <w:rPr>
                      <w:szCs w:val="21"/>
                    </w:rPr>
                  </w:pPr>
                  <w:r>
                    <w:rPr>
                      <w:bCs/>
                      <w:szCs w:val="21"/>
                    </w:rPr>
                    <w:t>热媒站停用后，</w:t>
                  </w:r>
                  <w:r>
                    <w:rPr>
                      <w:szCs w:val="21"/>
                    </w:rPr>
                    <w:t>乙醛回收汽提塔废气和聚酯真空系统不凝气分别经收集后送</w:t>
                  </w:r>
                  <w:r>
                    <w:rPr>
                      <w:kern w:val="0"/>
                      <w:szCs w:val="21"/>
                    </w:rPr>
                    <w:t>泗阳意杨环保能源有限公司焚烧处理。</w:t>
                  </w:r>
                  <w:r>
                    <w:t>真空系统不凝气主要含有乙醛，乙醛回收汽提塔废气主要含有乙醛和乙二醇，乙醛和乙二醇均属于易燃烧气体，</w:t>
                  </w:r>
                  <w:r>
                    <w:rPr>
                      <w:kern w:val="0"/>
                      <w:szCs w:val="21"/>
                    </w:rPr>
                    <w:t>泗阳意杨环保能源有限公司</w:t>
                  </w:r>
                  <w:r>
                    <w:rPr>
                      <w:szCs w:val="21"/>
                    </w:rPr>
                    <w:t>循环流化床锅炉</w:t>
                  </w:r>
                  <w:r>
                    <w:t>的炉膛温度可以达到1000℃以上，乙醛在</w:t>
                  </w:r>
                  <w:r>
                    <w:rPr>
                      <w:szCs w:val="21"/>
                    </w:rPr>
                    <w:t>循环流化床锅炉</w:t>
                  </w:r>
                  <w:r>
                    <w:t>中的去除</w:t>
                  </w:r>
                  <w:r>
                    <w:rPr>
                      <w:rFonts w:hint="eastAsia"/>
                    </w:rPr>
                    <w:t>后能够达标排放</w:t>
                  </w:r>
                  <w:r>
                    <w:t>。</w:t>
                  </w:r>
                  <w:r>
                    <w:rPr>
                      <w:kern w:val="0"/>
                      <w:szCs w:val="21"/>
                    </w:rPr>
                    <w:t>该变动对应环保手续的办理尚在进行中，不在本次评价范围内</w:t>
                  </w:r>
                  <w:r>
                    <w:rPr>
                      <w:rFonts w:hint="eastAsia"/>
                      <w:kern w:val="0"/>
                      <w:szCs w:val="21"/>
                    </w:rPr>
                    <w:t>。</w:t>
                  </w:r>
                </w:p>
              </w:tc>
              <w:tc>
                <w:tcPr>
                  <w:tcW w:w="909" w:type="pct"/>
                  <w:vAlign w:val="center"/>
                </w:tcPr>
                <w:p w14:paraId="265E9BC9">
                  <w:pPr>
                    <w:jc w:val="center"/>
                    <w:rPr>
                      <w:szCs w:val="21"/>
                    </w:rPr>
                  </w:pPr>
                  <w:r>
                    <w:rPr>
                      <w:szCs w:val="21"/>
                    </w:rPr>
                    <w:t>依托</w:t>
                  </w:r>
                  <w:r>
                    <w:rPr>
                      <w:kern w:val="0"/>
                      <w:szCs w:val="21"/>
                    </w:rPr>
                    <w:t>泗阳意杨环保能源有限公司</w:t>
                  </w:r>
                  <w:r>
                    <w:rPr>
                      <w:rFonts w:hint="eastAsia"/>
                      <w:kern w:val="0"/>
                      <w:szCs w:val="21"/>
                    </w:rPr>
                    <w:t>处理，</w:t>
                  </w:r>
                  <w:r>
                    <w:rPr>
                      <w:szCs w:val="21"/>
                    </w:rPr>
                    <w:t>不在本次评价范围内。</w:t>
                  </w:r>
                </w:p>
              </w:tc>
            </w:tr>
            <w:tr w14:paraId="1CEB67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18" w:type="pct"/>
                  <w:vMerge w:val="continue"/>
                  <w:vAlign w:val="center"/>
                </w:tcPr>
                <w:p w14:paraId="73D2C852">
                  <w:pPr>
                    <w:jc w:val="center"/>
                    <w:rPr>
                      <w:szCs w:val="21"/>
                    </w:rPr>
                  </w:pPr>
                </w:p>
              </w:tc>
              <w:tc>
                <w:tcPr>
                  <w:tcW w:w="118" w:type="pct"/>
                  <w:vMerge w:val="restart"/>
                  <w:vAlign w:val="center"/>
                </w:tcPr>
                <w:p w14:paraId="785BF057">
                  <w:pPr>
                    <w:jc w:val="center"/>
                    <w:rPr>
                      <w:szCs w:val="21"/>
                    </w:rPr>
                  </w:pPr>
                  <w:r>
                    <w:rPr>
                      <w:szCs w:val="21"/>
                    </w:rPr>
                    <w:t>水煤浆导热油锅炉烟气</w:t>
                  </w:r>
                </w:p>
              </w:tc>
              <w:tc>
                <w:tcPr>
                  <w:tcW w:w="160" w:type="pct"/>
                  <w:vAlign w:val="center"/>
                </w:tcPr>
                <w:p w14:paraId="7A2031DD">
                  <w:pPr>
                    <w:jc w:val="center"/>
                    <w:rPr>
                      <w:szCs w:val="21"/>
                    </w:rPr>
                  </w:pPr>
                  <w:r>
                    <w:rPr>
                      <w:szCs w:val="21"/>
                    </w:rPr>
                    <w:t>脱硝设施</w:t>
                  </w:r>
                </w:p>
              </w:tc>
              <w:tc>
                <w:tcPr>
                  <w:tcW w:w="1240" w:type="pct"/>
                  <w:gridSpan w:val="2"/>
                  <w:vAlign w:val="center"/>
                </w:tcPr>
                <w:p w14:paraId="4025D9A8">
                  <w:pPr>
                    <w:jc w:val="center"/>
                    <w:rPr>
                      <w:szCs w:val="21"/>
                    </w:rPr>
                  </w:pPr>
                  <w:r>
                    <w:rPr>
                      <w:szCs w:val="21"/>
                    </w:rPr>
                    <w:t>每1台水煤浆锅炉配一套处理设施，采用SCR脱硝，设计脱硝效率不低于92%。</w:t>
                  </w:r>
                </w:p>
              </w:tc>
              <w:tc>
                <w:tcPr>
                  <w:tcW w:w="159" w:type="pct"/>
                  <w:vMerge w:val="restart"/>
                  <w:vAlign w:val="center"/>
                </w:tcPr>
                <w:p w14:paraId="071BCAF1">
                  <w:pPr>
                    <w:jc w:val="center"/>
                    <w:rPr>
                      <w:szCs w:val="21"/>
                    </w:rPr>
                  </w:pPr>
                  <w:r>
                    <w:rPr>
                      <w:szCs w:val="21"/>
                    </w:rPr>
                    <w:t>自建</w:t>
                  </w:r>
                </w:p>
              </w:tc>
              <w:tc>
                <w:tcPr>
                  <w:tcW w:w="467" w:type="pct"/>
                  <w:vAlign w:val="center"/>
                </w:tcPr>
                <w:p w14:paraId="504528E9">
                  <w:pPr>
                    <w:jc w:val="center"/>
                    <w:rPr>
                      <w:szCs w:val="21"/>
                    </w:rPr>
                  </w:pPr>
                  <w:r>
                    <w:rPr>
                      <w:szCs w:val="21"/>
                    </w:rPr>
                    <w:t>已验收</w:t>
                  </w:r>
                </w:p>
              </w:tc>
              <w:tc>
                <w:tcPr>
                  <w:tcW w:w="1829" w:type="pct"/>
                  <w:gridSpan w:val="2"/>
                  <w:vAlign w:val="center"/>
                </w:tcPr>
                <w:p w14:paraId="083F56AD">
                  <w:pPr>
                    <w:jc w:val="center"/>
                    <w:rPr>
                      <w:szCs w:val="21"/>
                    </w:rPr>
                  </w:pPr>
                  <w:r>
                    <w:rPr>
                      <w:szCs w:val="21"/>
                    </w:rPr>
                    <w:t>计划与热媒站一同停用</w:t>
                  </w:r>
                </w:p>
              </w:tc>
              <w:tc>
                <w:tcPr>
                  <w:tcW w:w="909" w:type="pct"/>
                  <w:vAlign w:val="center"/>
                </w:tcPr>
                <w:p w14:paraId="00ECF122">
                  <w:pPr>
                    <w:jc w:val="center"/>
                    <w:rPr>
                      <w:szCs w:val="21"/>
                    </w:rPr>
                  </w:pPr>
                  <w:r>
                    <w:rPr>
                      <w:szCs w:val="21"/>
                    </w:rPr>
                    <w:t>/</w:t>
                  </w:r>
                </w:p>
              </w:tc>
            </w:tr>
            <w:tr w14:paraId="08B495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18" w:type="pct"/>
                  <w:vMerge w:val="continue"/>
                  <w:vAlign w:val="center"/>
                </w:tcPr>
                <w:p w14:paraId="0DE9359A">
                  <w:pPr>
                    <w:jc w:val="center"/>
                    <w:rPr>
                      <w:szCs w:val="21"/>
                    </w:rPr>
                  </w:pPr>
                </w:p>
              </w:tc>
              <w:tc>
                <w:tcPr>
                  <w:tcW w:w="118" w:type="pct"/>
                  <w:vMerge w:val="continue"/>
                  <w:vAlign w:val="center"/>
                </w:tcPr>
                <w:p w14:paraId="46BA199E">
                  <w:pPr>
                    <w:jc w:val="center"/>
                    <w:rPr>
                      <w:szCs w:val="21"/>
                    </w:rPr>
                  </w:pPr>
                </w:p>
              </w:tc>
              <w:tc>
                <w:tcPr>
                  <w:tcW w:w="160" w:type="pct"/>
                  <w:vAlign w:val="center"/>
                </w:tcPr>
                <w:p w14:paraId="6C759B39">
                  <w:pPr>
                    <w:jc w:val="center"/>
                    <w:rPr>
                      <w:szCs w:val="21"/>
                    </w:rPr>
                  </w:pPr>
                  <w:r>
                    <w:rPr>
                      <w:szCs w:val="21"/>
                    </w:rPr>
                    <w:t>除尘设施</w:t>
                  </w:r>
                </w:p>
              </w:tc>
              <w:tc>
                <w:tcPr>
                  <w:tcW w:w="1240" w:type="pct"/>
                  <w:gridSpan w:val="2"/>
                  <w:vAlign w:val="center"/>
                </w:tcPr>
                <w:p w14:paraId="76D0D38A">
                  <w:pPr>
                    <w:jc w:val="center"/>
                    <w:rPr>
                      <w:szCs w:val="21"/>
                    </w:rPr>
                  </w:pPr>
                  <w:r>
                    <w:rPr>
                      <w:szCs w:val="21"/>
                    </w:rPr>
                    <w:t>每1台水煤浆锅炉配一套处理设施，静电、湿电除尘器除尘+湿法脱硫协同除尘，综合除尘效率不低于99.95%。</w:t>
                  </w:r>
                </w:p>
              </w:tc>
              <w:tc>
                <w:tcPr>
                  <w:tcW w:w="159" w:type="pct"/>
                  <w:vMerge w:val="continue"/>
                  <w:vAlign w:val="center"/>
                </w:tcPr>
                <w:p w14:paraId="44503C76">
                  <w:pPr>
                    <w:jc w:val="center"/>
                    <w:rPr>
                      <w:szCs w:val="21"/>
                    </w:rPr>
                  </w:pPr>
                </w:p>
              </w:tc>
              <w:tc>
                <w:tcPr>
                  <w:tcW w:w="467" w:type="pct"/>
                  <w:vAlign w:val="center"/>
                </w:tcPr>
                <w:p w14:paraId="552C40ED">
                  <w:pPr>
                    <w:jc w:val="center"/>
                    <w:rPr>
                      <w:szCs w:val="21"/>
                    </w:rPr>
                  </w:pPr>
                  <w:r>
                    <w:rPr>
                      <w:szCs w:val="21"/>
                    </w:rPr>
                    <w:t>已验收</w:t>
                  </w:r>
                </w:p>
              </w:tc>
              <w:tc>
                <w:tcPr>
                  <w:tcW w:w="1829" w:type="pct"/>
                  <w:gridSpan w:val="2"/>
                  <w:vAlign w:val="center"/>
                </w:tcPr>
                <w:p w14:paraId="1DC39792">
                  <w:pPr>
                    <w:jc w:val="center"/>
                    <w:rPr>
                      <w:szCs w:val="21"/>
                    </w:rPr>
                  </w:pPr>
                  <w:r>
                    <w:rPr>
                      <w:szCs w:val="21"/>
                    </w:rPr>
                    <w:t>计划与热媒站一同停用</w:t>
                  </w:r>
                </w:p>
              </w:tc>
              <w:tc>
                <w:tcPr>
                  <w:tcW w:w="909" w:type="pct"/>
                  <w:vAlign w:val="center"/>
                </w:tcPr>
                <w:p w14:paraId="739A7CD9">
                  <w:pPr>
                    <w:jc w:val="center"/>
                    <w:rPr>
                      <w:szCs w:val="21"/>
                    </w:rPr>
                  </w:pPr>
                  <w:r>
                    <w:rPr>
                      <w:szCs w:val="21"/>
                    </w:rPr>
                    <w:t>/</w:t>
                  </w:r>
                </w:p>
              </w:tc>
            </w:tr>
            <w:tr w14:paraId="363587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18" w:type="pct"/>
                  <w:vMerge w:val="continue"/>
                  <w:vAlign w:val="center"/>
                </w:tcPr>
                <w:p w14:paraId="12DC300E">
                  <w:pPr>
                    <w:jc w:val="center"/>
                    <w:rPr>
                      <w:szCs w:val="21"/>
                    </w:rPr>
                  </w:pPr>
                </w:p>
              </w:tc>
              <w:tc>
                <w:tcPr>
                  <w:tcW w:w="118" w:type="pct"/>
                  <w:vMerge w:val="continue"/>
                  <w:vAlign w:val="center"/>
                </w:tcPr>
                <w:p w14:paraId="242C4D46">
                  <w:pPr>
                    <w:jc w:val="center"/>
                    <w:rPr>
                      <w:szCs w:val="21"/>
                    </w:rPr>
                  </w:pPr>
                </w:p>
              </w:tc>
              <w:tc>
                <w:tcPr>
                  <w:tcW w:w="160" w:type="pct"/>
                  <w:vAlign w:val="center"/>
                </w:tcPr>
                <w:p w14:paraId="529D3525">
                  <w:pPr>
                    <w:jc w:val="center"/>
                    <w:rPr>
                      <w:szCs w:val="21"/>
                    </w:rPr>
                  </w:pPr>
                  <w:r>
                    <w:rPr>
                      <w:szCs w:val="21"/>
                    </w:rPr>
                    <w:t>脱硫设施</w:t>
                  </w:r>
                </w:p>
              </w:tc>
              <w:tc>
                <w:tcPr>
                  <w:tcW w:w="1240" w:type="pct"/>
                  <w:gridSpan w:val="2"/>
                  <w:vAlign w:val="center"/>
                </w:tcPr>
                <w:p w14:paraId="740CA78D">
                  <w:pPr>
                    <w:jc w:val="center"/>
                    <w:rPr>
                      <w:szCs w:val="21"/>
                    </w:rPr>
                  </w:pPr>
                  <w:r>
                    <w:rPr>
                      <w:szCs w:val="21"/>
                    </w:rPr>
                    <w:t>水煤浆机组设置2座脱硫塔，分别配一套石灰石-石膏湿法脱硫处理设施，设计脱硫效率不小于98%。</w:t>
                  </w:r>
                </w:p>
              </w:tc>
              <w:tc>
                <w:tcPr>
                  <w:tcW w:w="159" w:type="pct"/>
                  <w:vMerge w:val="continue"/>
                  <w:vAlign w:val="center"/>
                </w:tcPr>
                <w:p w14:paraId="2484C7A2">
                  <w:pPr>
                    <w:jc w:val="center"/>
                    <w:rPr>
                      <w:szCs w:val="21"/>
                    </w:rPr>
                  </w:pPr>
                </w:p>
              </w:tc>
              <w:tc>
                <w:tcPr>
                  <w:tcW w:w="467" w:type="pct"/>
                  <w:vAlign w:val="center"/>
                </w:tcPr>
                <w:p w14:paraId="14EB4BA0">
                  <w:pPr>
                    <w:jc w:val="center"/>
                    <w:rPr>
                      <w:szCs w:val="21"/>
                    </w:rPr>
                  </w:pPr>
                  <w:r>
                    <w:rPr>
                      <w:szCs w:val="21"/>
                    </w:rPr>
                    <w:t>已验收</w:t>
                  </w:r>
                </w:p>
              </w:tc>
              <w:tc>
                <w:tcPr>
                  <w:tcW w:w="1829" w:type="pct"/>
                  <w:gridSpan w:val="2"/>
                  <w:vAlign w:val="center"/>
                </w:tcPr>
                <w:p w14:paraId="21C0EE54">
                  <w:pPr>
                    <w:jc w:val="center"/>
                    <w:rPr>
                      <w:szCs w:val="21"/>
                    </w:rPr>
                  </w:pPr>
                  <w:r>
                    <w:rPr>
                      <w:szCs w:val="21"/>
                    </w:rPr>
                    <w:t>计划与热媒站一同停用</w:t>
                  </w:r>
                </w:p>
              </w:tc>
              <w:tc>
                <w:tcPr>
                  <w:tcW w:w="909" w:type="pct"/>
                  <w:vAlign w:val="center"/>
                </w:tcPr>
                <w:p w14:paraId="0183BEA6">
                  <w:pPr>
                    <w:jc w:val="center"/>
                    <w:rPr>
                      <w:szCs w:val="21"/>
                    </w:rPr>
                  </w:pPr>
                  <w:r>
                    <w:rPr>
                      <w:szCs w:val="21"/>
                    </w:rPr>
                    <w:t>/</w:t>
                  </w:r>
                </w:p>
              </w:tc>
            </w:tr>
            <w:tr w14:paraId="3682FA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18" w:type="pct"/>
                  <w:vMerge w:val="continue"/>
                  <w:vAlign w:val="center"/>
                </w:tcPr>
                <w:p w14:paraId="3E935F46">
                  <w:pPr>
                    <w:jc w:val="center"/>
                    <w:rPr>
                      <w:szCs w:val="21"/>
                    </w:rPr>
                  </w:pPr>
                </w:p>
              </w:tc>
              <w:tc>
                <w:tcPr>
                  <w:tcW w:w="118" w:type="pct"/>
                  <w:vMerge w:val="continue"/>
                  <w:vAlign w:val="center"/>
                </w:tcPr>
                <w:p w14:paraId="36BAD360">
                  <w:pPr>
                    <w:jc w:val="center"/>
                    <w:rPr>
                      <w:szCs w:val="21"/>
                    </w:rPr>
                  </w:pPr>
                </w:p>
              </w:tc>
              <w:tc>
                <w:tcPr>
                  <w:tcW w:w="160" w:type="pct"/>
                  <w:vAlign w:val="center"/>
                </w:tcPr>
                <w:p w14:paraId="384BE6A3">
                  <w:pPr>
                    <w:jc w:val="center"/>
                    <w:rPr>
                      <w:szCs w:val="21"/>
                    </w:rPr>
                  </w:pPr>
                  <w:r>
                    <w:rPr>
                      <w:szCs w:val="21"/>
                    </w:rPr>
                    <w:t>烟囱</w:t>
                  </w:r>
                </w:p>
              </w:tc>
              <w:tc>
                <w:tcPr>
                  <w:tcW w:w="1240" w:type="pct"/>
                  <w:gridSpan w:val="2"/>
                  <w:vAlign w:val="center"/>
                </w:tcPr>
                <w:p w14:paraId="52DBD01C">
                  <w:pPr>
                    <w:jc w:val="center"/>
                    <w:rPr>
                      <w:szCs w:val="21"/>
                    </w:rPr>
                  </w:pPr>
                  <w:r>
                    <w:rPr>
                      <w:szCs w:val="21"/>
                    </w:rPr>
                    <w:t>水煤浆站设1座75m排烟囱，内径为3.5m。</w:t>
                  </w:r>
                </w:p>
              </w:tc>
              <w:tc>
                <w:tcPr>
                  <w:tcW w:w="159" w:type="pct"/>
                  <w:vMerge w:val="continue"/>
                  <w:vAlign w:val="center"/>
                </w:tcPr>
                <w:p w14:paraId="55CB944B">
                  <w:pPr>
                    <w:jc w:val="center"/>
                    <w:rPr>
                      <w:szCs w:val="21"/>
                    </w:rPr>
                  </w:pPr>
                </w:p>
              </w:tc>
              <w:tc>
                <w:tcPr>
                  <w:tcW w:w="467" w:type="pct"/>
                  <w:vAlign w:val="center"/>
                </w:tcPr>
                <w:p w14:paraId="7E04DE14">
                  <w:pPr>
                    <w:jc w:val="center"/>
                    <w:rPr>
                      <w:szCs w:val="21"/>
                    </w:rPr>
                  </w:pPr>
                  <w:r>
                    <w:rPr>
                      <w:szCs w:val="21"/>
                    </w:rPr>
                    <w:t>已验收</w:t>
                  </w:r>
                  <w:r>
                    <w:rPr>
                      <w:rFonts w:hint="eastAsia"/>
                      <w:szCs w:val="21"/>
                    </w:rPr>
                    <w:t>,水煤浆锅炉烟囱DA001</w:t>
                  </w:r>
                </w:p>
              </w:tc>
              <w:tc>
                <w:tcPr>
                  <w:tcW w:w="1829" w:type="pct"/>
                  <w:gridSpan w:val="2"/>
                  <w:vAlign w:val="center"/>
                </w:tcPr>
                <w:p w14:paraId="1BC8A77E">
                  <w:pPr>
                    <w:jc w:val="center"/>
                    <w:rPr>
                      <w:szCs w:val="21"/>
                    </w:rPr>
                  </w:pPr>
                  <w:r>
                    <w:rPr>
                      <w:szCs w:val="21"/>
                    </w:rPr>
                    <w:t>计划与热媒站一同停用</w:t>
                  </w:r>
                </w:p>
              </w:tc>
              <w:tc>
                <w:tcPr>
                  <w:tcW w:w="909" w:type="pct"/>
                  <w:vAlign w:val="center"/>
                </w:tcPr>
                <w:p w14:paraId="7BCE5AEC">
                  <w:pPr>
                    <w:jc w:val="center"/>
                    <w:rPr>
                      <w:szCs w:val="21"/>
                    </w:rPr>
                  </w:pPr>
                  <w:r>
                    <w:rPr>
                      <w:szCs w:val="21"/>
                    </w:rPr>
                    <w:t>/</w:t>
                  </w:r>
                </w:p>
              </w:tc>
            </w:tr>
            <w:tr w14:paraId="486E8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8" w:hRule="atLeast"/>
                <w:jc w:val="center"/>
              </w:trPr>
              <w:tc>
                <w:tcPr>
                  <w:tcW w:w="118" w:type="pct"/>
                  <w:vMerge w:val="continue"/>
                  <w:vAlign w:val="center"/>
                </w:tcPr>
                <w:p w14:paraId="59DF8059">
                  <w:pPr>
                    <w:jc w:val="center"/>
                    <w:rPr>
                      <w:szCs w:val="21"/>
                    </w:rPr>
                  </w:pPr>
                </w:p>
              </w:tc>
              <w:tc>
                <w:tcPr>
                  <w:tcW w:w="278" w:type="pct"/>
                  <w:gridSpan w:val="2"/>
                  <w:vAlign w:val="center"/>
                </w:tcPr>
                <w:p w14:paraId="6E4BC4C6">
                  <w:pPr>
                    <w:jc w:val="center"/>
                    <w:rPr>
                      <w:szCs w:val="21"/>
                    </w:rPr>
                  </w:pPr>
                  <w:r>
                    <w:rPr>
                      <w:szCs w:val="21"/>
                    </w:rPr>
                    <w:t>PTA投料车间布袋除尘器</w:t>
                  </w:r>
                </w:p>
              </w:tc>
              <w:tc>
                <w:tcPr>
                  <w:tcW w:w="1240" w:type="pct"/>
                  <w:gridSpan w:val="2"/>
                  <w:vAlign w:val="center"/>
                </w:tcPr>
                <w:p w14:paraId="6BC8D617">
                  <w:pPr>
                    <w:rPr>
                      <w:szCs w:val="21"/>
                    </w:rPr>
                  </w:pPr>
                  <w:r>
                    <w:rPr>
                      <w:szCs w:val="21"/>
                    </w:rPr>
                    <w:t>在各PTA投料车间的PTA投料口设置布袋除尘器捕集PTA粉尘，收集效率为95%，收集后的处理效率为99%，除尘后的废气分别经车间顶部1根15m排气筒排放。</w:t>
                  </w:r>
                </w:p>
              </w:tc>
              <w:tc>
                <w:tcPr>
                  <w:tcW w:w="159" w:type="pct"/>
                  <w:vAlign w:val="center"/>
                </w:tcPr>
                <w:p w14:paraId="12CA1B6E">
                  <w:pPr>
                    <w:jc w:val="center"/>
                    <w:rPr>
                      <w:szCs w:val="21"/>
                    </w:rPr>
                  </w:pPr>
                  <w:r>
                    <w:rPr>
                      <w:szCs w:val="21"/>
                    </w:rPr>
                    <w:t>自建</w:t>
                  </w:r>
                </w:p>
              </w:tc>
              <w:tc>
                <w:tcPr>
                  <w:tcW w:w="467" w:type="pct"/>
                  <w:vAlign w:val="center"/>
                </w:tcPr>
                <w:p w14:paraId="6E8B142A">
                  <w:pPr>
                    <w:jc w:val="center"/>
                    <w:rPr>
                      <w:szCs w:val="21"/>
                    </w:rPr>
                  </w:pPr>
                  <w:r>
                    <w:rPr>
                      <w:szCs w:val="21"/>
                    </w:rPr>
                    <w:t>PTA投料车间1，1个排气筒</w:t>
                  </w:r>
                  <w:r>
                    <w:rPr>
                      <w:rFonts w:hint="eastAsia"/>
                      <w:szCs w:val="21"/>
                    </w:rPr>
                    <w:t>（DA002）</w:t>
                  </w:r>
                </w:p>
              </w:tc>
              <w:tc>
                <w:tcPr>
                  <w:tcW w:w="1829" w:type="pct"/>
                  <w:gridSpan w:val="2"/>
                  <w:vAlign w:val="center"/>
                </w:tcPr>
                <w:p w14:paraId="68917ADA">
                  <w:pPr>
                    <w:jc w:val="center"/>
                    <w:rPr>
                      <w:szCs w:val="21"/>
                    </w:rPr>
                  </w:pPr>
                  <w:r>
                    <w:rPr>
                      <w:rFonts w:hint="eastAsia"/>
                      <w:szCs w:val="21"/>
                    </w:rPr>
                    <w:t>续建</w:t>
                  </w:r>
                  <w:r>
                    <w:rPr>
                      <w:szCs w:val="21"/>
                    </w:rPr>
                    <w:t>PTA投料车间2（1个排气筒）</w:t>
                  </w:r>
                  <w:r>
                    <w:rPr>
                      <w:rFonts w:hint="eastAsia"/>
                      <w:szCs w:val="21"/>
                    </w:rPr>
                    <w:t>，</w:t>
                  </w:r>
                  <w:r>
                    <w:rPr>
                      <w:szCs w:val="21"/>
                    </w:rPr>
                    <w:t>不在本次评价范围</w:t>
                  </w:r>
                </w:p>
              </w:tc>
              <w:tc>
                <w:tcPr>
                  <w:tcW w:w="909" w:type="pct"/>
                  <w:vAlign w:val="center"/>
                </w:tcPr>
                <w:p w14:paraId="3022F71B">
                  <w:pPr>
                    <w:jc w:val="center"/>
                    <w:rPr>
                      <w:szCs w:val="21"/>
                    </w:rPr>
                  </w:pPr>
                  <w:r>
                    <w:rPr>
                      <w:szCs w:val="21"/>
                    </w:rPr>
                    <w:t>依托一期项目成子河西侧续建工程，不在本次评价范围内</w:t>
                  </w:r>
                </w:p>
              </w:tc>
            </w:tr>
            <w:tr w14:paraId="238F4E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8" w:hRule="atLeast"/>
                <w:jc w:val="center"/>
              </w:trPr>
              <w:tc>
                <w:tcPr>
                  <w:tcW w:w="118" w:type="pct"/>
                  <w:vMerge w:val="continue"/>
                  <w:vAlign w:val="center"/>
                </w:tcPr>
                <w:p w14:paraId="54611125">
                  <w:pPr>
                    <w:jc w:val="center"/>
                    <w:rPr>
                      <w:szCs w:val="21"/>
                    </w:rPr>
                  </w:pPr>
                </w:p>
              </w:tc>
              <w:tc>
                <w:tcPr>
                  <w:tcW w:w="278" w:type="pct"/>
                  <w:gridSpan w:val="2"/>
                  <w:vAlign w:val="center"/>
                </w:tcPr>
                <w:p w14:paraId="2ADB8D90">
                  <w:pPr>
                    <w:jc w:val="center"/>
                    <w:rPr>
                      <w:szCs w:val="21"/>
                    </w:rPr>
                  </w:pPr>
                  <w:r>
                    <w:rPr>
                      <w:szCs w:val="21"/>
                    </w:rPr>
                    <w:t>纺丝车间油剂废气处理装置</w:t>
                  </w:r>
                </w:p>
              </w:tc>
              <w:tc>
                <w:tcPr>
                  <w:tcW w:w="1240" w:type="pct"/>
                  <w:gridSpan w:val="2"/>
                  <w:vAlign w:val="center"/>
                </w:tcPr>
                <w:p w14:paraId="43D28DFA">
                  <w:pPr>
                    <w:rPr>
                      <w:szCs w:val="21"/>
                    </w:rPr>
                  </w:pPr>
                  <w:r>
                    <w:rPr>
                      <w:szCs w:val="21"/>
                    </w:rPr>
                    <w:t>1.纺丝车间油剂经车间通风系统收集后，由设在车间屋顶的POY-24套油气分离装置（去除率约80%），烟气温度为常温；排气筒内径为600mm，排气高度26m。</w:t>
                  </w:r>
                </w:p>
                <w:p w14:paraId="7F9D804A">
                  <w:pPr>
                    <w:rPr>
                      <w:szCs w:val="21"/>
                    </w:rPr>
                  </w:pPr>
                  <w:r>
                    <w:rPr>
                      <w:szCs w:val="21"/>
                    </w:rPr>
                    <w:t>2.纺丝车间油剂经车间通风系统收集后，由设在车间屋顶的FDY油烟分离装置20套；排气筒内径为1000mm，排气高度26m。</w:t>
                  </w:r>
                </w:p>
              </w:tc>
              <w:tc>
                <w:tcPr>
                  <w:tcW w:w="159" w:type="pct"/>
                  <w:vAlign w:val="center"/>
                </w:tcPr>
                <w:p w14:paraId="584F9A3B">
                  <w:pPr>
                    <w:jc w:val="center"/>
                    <w:rPr>
                      <w:szCs w:val="21"/>
                    </w:rPr>
                  </w:pPr>
                  <w:r>
                    <w:rPr>
                      <w:szCs w:val="21"/>
                    </w:rPr>
                    <w:t>自建</w:t>
                  </w:r>
                </w:p>
              </w:tc>
              <w:tc>
                <w:tcPr>
                  <w:tcW w:w="467" w:type="pct"/>
                  <w:vAlign w:val="center"/>
                </w:tcPr>
                <w:p w14:paraId="00DCB350">
                  <w:pPr>
                    <w:jc w:val="center"/>
                    <w:rPr>
                      <w:szCs w:val="21"/>
                    </w:rPr>
                  </w:pPr>
                  <w:r>
                    <w:rPr>
                      <w:szCs w:val="21"/>
                    </w:rPr>
                    <w:t>纺丝车间1中POY</w:t>
                  </w:r>
                  <w:r>
                    <w:rPr>
                      <w:rFonts w:hint="eastAsia"/>
                      <w:szCs w:val="21"/>
                    </w:rPr>
                    <w:t>2</w:t>
                  </w:r>
                  <w:r>
                    <w:rPr>
                      <w:szCs w:val="21"/>
                    </w:rPr>
                    <w:t>套油气分离装置</w:t>
                  </w:r>
                  <w:r>
                    <w:rPr>
                      <w:rFonts w:hint="eastAsia"/>
                      <w:szCs w:val="21"/>
                    </w:rPr>
                    <w:t>2</w:t>
                  </w:r>
                  <w:r>
                    <w:rPr>
                      <w:szCs w:val="21"/>
                    </w:rPr>
                    <w:t>个排气筒</w:t>
                  </w:r>
                  <w:r>
                    <w:rPr>
                      <w:rFonts w:hint="eastAsia"/>
                      <w:szCs w:val="21"/>
                    </w:rPr>
                    <w:t>DA003、DA004</w:t>
                  </w:r>
                  <w:r>
                    <w:rPr>
                      <w:szCs w:val="21"/>
                    </w:rPr>
                    <w:t>；</w:t>
                  </w:r>
                </w:p>
                <w:p w14:paraId="2DD7AA6D">
                  <w:pPr>
                    <w:jc w:val="center"/>
                    <w:rPr>
                      <w:szCs w:val="21"/>
                    </w:rPr>
                  </w:pPr>
                  <w:r>
                    <w:rPr>
                      <w:szCs w:val="21"/>
                    </w:rPr>
                    <w:t>FDY2套</w:t>
                  </w:r>
                  <w:r>
                    <w:rPr>
                      <w:rFonts w:hint="eastAsia"/>
                      <w:szCs w:val="21"/>
                    </w:rPr>
                    <w:t>DA005、DA006</w:t>
                  </w:r>
                </w:p>
              </w:tc>
              <w:tc>
                <w:tcPr>
                  <w:tcW w:w="920" w:type="pct"/>
                  <w:vAlign w:val="center"/>
                </w:tcPr>
                <w:p w14:paraId="45B1F170">
                  <w:pPr>
                    <w:jc w:val="center"/>
                    <w:rPr>
                      <w:kern w:val="0"/>
                      <w:szCs w:val="21"/>
                    </w:rPr>
                  </w:pPr>
                  <w:r>
                    <w:t>纺丝油剂废气：</w:t>
                  </w:r>
                  <w:r>
                    <w:rPr>
                      <w:kern w:val="0"/>
                      <w:szCs w:val="21"/>
                    </w:rPr>
                    <w:t>二期项目POY生产线设置1套“静电式油气分离装置+26m排气筒DA010（内径1m）”，设计风量20000</w:t>
                  </w:r>
                  <w:r>
                    <w:rPr>
                      <w:rFonts w:eastAsiaTheme="majorEastAsia"/>
                      <w:kern w:val="0"/>
                      <w:szCs w:val="21"/>
                    </w:rPr>
                    <w:t>m</w:t>
                  </w:r>
                  <w:r>
                    <w:rPr>
                      <w:rFonts w:eastAsiaTheme="majorEastAsia"/>
                      <w:kern w:val="0"/>
                      <w:szCs w:val="21"/>
                      <w:vertAlign w:val="superscript"/>
                    </w:rPr>
                    <w:t>3</w:t>
                  </w:r>
                  <w:r>
                    <w:rPr>
                      <w:rFonts w:eastAsiaTheme="majorEastAsia"/>
                      <w:kern w:val="0"/>
                      <w:szCs w:val="21"/>
                    </w:rPr>
                    <w:t>/h，FDY生产线设置2套</w:t>
                  </w:r>
                  <w:r>
                    <w:rPr>
                      <w:kern w:val="0"/>
                      <w:szCs w:val="21"/>
                    </w:rPr>
                    <w:t>“静电式油气分离装置+26m排气筒（DA011、DA012、内径1m）”，设计风量分别为25000</w:t>
                  </w:r>
                  <w:r>
                    <w:rPr>
                      <w:rFonts w:eastAsiaTheme="majorEastAsia"/>
                      <w:kern w:val="0"/>
                      <w:szCs w:val="21"/>
                    </w:rPr>
                    <w:t>m</w:t>
                  </w:r>
                  <w:r>
                    <w:rPr>
                      <w:rFonts w:eastAsiaTheme="majorEastAsia"/>
                      <w:kern w:val="0"/>
                      <w:szCs w:val="21"/>
                      <w:vertAlign w:val="superscript"/>
                    </w:rPr>
                    <w:t>3</w:t>
                  </w:r>
                  <w:r>
                    <w:rPr>
                      <w:rFonts w:eastAsiaTheme="majorEastAsia"/>
                      <w:kern w:val="0"/>
                      <w:szCs w:val="21"/>
                    </w:rPr>
                    <w:t>/h</w:t>
                  </w:r>
                  <w:r>
                    <w:rPr>
                      <w:rFonts w:hint="eastAsia"/>
                      <w:kern w:val="0"/>
                      <w:szCs w:val="21"/>
                    </w:rPr>
                    <w:t>。</w:t>
                  </w:r>
                </w:p>
                <w:p w14:paraId="568832DC">
                  <w:pPr>
                    <w:pStyle w:val="2"/>
                  </w:pPr>
                </w:p>
              </w:tc>
              <w:tc>
                <w:tcPr>
                  <w:tcW w:w="909" w:type="pct"/>
                  <w:vAlign w:val="center"/>
                </w:tcPr>
                <w:p w14:paraId="421409EC">
                  <w:pPr>
                    <w:pStyle w:val="74"/>
                    <w:rPr>
                      <w:kern w:val="0"/>
                      <w:szCs w:val="21"/>
                    </w:rPr>
                  </w:pPr>
                  <w:r>
                    <w:t>1、纺丝油剂废气：</w:t>
                  </w:r>
                  <w:r>
                    <w:rPr>
                      <w:kern w:val="0"/>
                      <w:szCs w:val="21"/>
                    </w:rPr>
                    <w:t>三期项目POY、BEY、涤锦生产线共用1套“静电式油气分离装置+26m排气筒DA013”，设计风量20000</w:t>
                  </w:r>
                  <w:r>
                    <w:rPr>
                      <w:rFonts w:eastAsiaTheme="majorEastAsia"/>
                      <w:kern w:val="0"/>
                      <w:szCs w:val="21"/>
                    </w:rPr>
                    <w:t>m</w:t>
                  </w:r>
                  <w:r>
                    <w:rPr>
                      <w:rFonts w:eastAsiaTheme="majorEastAsia"/>
                      <w:kern w:val="0"/>
                      <w:szCs w:val="21"/>
                      <w:vertAlign w:val="superscript"/>
                    </w:rPr>
                    <w:t>3</w:t>
                  </w:r>
                  <w:r>
                    <w:rPr>
                      <w:rFonts w:eastAsiaTheme="majorEastAsia"/>
                      <w:kern w:val="0"/>
                      <w:szCs w:val="21"/>
                    </w:rPr>
                    <w:t>/h，三期项目FDY生产线设置2套</w:t>
                  </w:r>
                  <w:r>
                    <w:rPr>
                      <w:kern w:val="0"/>
                      <w:szCs w:val="21"/>
                    </w:rPr>
                    <w:t>“静电式油气分离装置+26m排气筒（DA014、DA015，内径1m）”，设计风量分别为25000</w:t>
                  </w:r>
                  <w:r>
                    <w:rPr>
                      <w:rFonts w:eastAsiaTheme="majorEastAsia"/>
                      <w:kern w:val="0"/>
                      <w:szCs w:val="21"/>
                    </w:rPr>
                    <w:t>m</w:t>
                  </w:r>
                  <w:r>
                    <w:rPr>
                      <w:rFonts w:eastAsiaTheme="majorEastAsia"/>
                      <w:kern w:val="0"/>
                      <w:szCs w:val="21"/>
                      <w:vertAlign w:val="superscript"/>
                    </w:rPr>
                    <w:t>3</w:t>
                  </w:r>
                  <w:r>
                    <w:rPr>
                      <w:rFonts w:eastAsiaTheme="majorEastAsia"/>
                      <w:kern w:val="0"/>
                      <w:szCs w:val="21"/>
                    </w:rPr>
                    <w:t>/h</w:t>
                  </w:r>
                  <w:r>
                    <w:rPr>
                      <w:kern w:val="0"/>
                      <w:szCs w:val="21"/>
                    </w:rPr>
                    <w:t>；</w:t>
                  </w:r>
                </w:p>
                <w:p w14:paraId="15CD8112">
                  <w:pPr>
                    <w:pStyle w:val="74"/>
                    <w:rPr>
                      <w:rFonts w:eastAsiaTheme="majorEastAsia"/>
                      <w:kern w:val="0"/>
                      <w:szCs w:val="21"/>
                    </w:rPr>
                  </w:pPr>
                  <w:r>
                    <w:rPr>
                      <w:kern w:val="0"/>
                      <w:szCs w:val="21"/>
                    </w:rPr>
                    <w:t>2、切片干燥废气：三期项目BEY与涤锦生产线切片结晶干燥过程产生的废气，BEY与涤锦生产线分别设置1套“旋风分离器+布袋除尘+26m排气筒（DA016、DA017、内径1m）”，设计风量均为20000</w:t>
                  </w:r>
                  <w:r>
                    <w:rPr>
                      <w:rFonts w:eastAsiaTheme="majorEastAsia"/>
                      <w:kern w:val="0"/>
                      <w:szCs w:val="21"/>
                    </w:rPr>
                    <w:t>m</w:t>
                  </w:r>
                  <w:r>
                    <w:rPr>
                      <w:rFonts w:eastAsiaTheme="majorEastAsia"/>
                      <w:kern w:val="0"/>
                      <w:szCs w:val="21"/>
                      <w:vertAlign w:val="superscript"/>
                    </w:rPr>
                    <w:t>3</w:t>
                  </w:r>
                  <w:r>
                    <w:rPr>
                      <w:rFonts w:eastAsiaTheme="majorEastAsia"/>
                      <w:kern w:val="0"/>
                      <w:szCs w:val="21"/>
                    </w:rPr>
                    <w:t>/h；</w:t>
                  </w:r>
                </w:p>
                <w:p w14:paraId="07DD5D52">
                  <w:pPr>
                    <w:jc w:val="center"/>
                    <w:rPr>
                      <w:szCs w:val="21"/>
                    </w:rPr>
                  </w:pPr>
                  <w:r>
                    <w:rPr>
                      <w:kern w:val="0"/>
                      <w:szCs w:val="21"/>
                    </w:rPr>
                    <w:t>3、废丝回收废气： 2条废丝生产线分别设置1套油烟净化器+1根26m排气筒（DA018、DA019，内径0.5m），设计风量均为9000m</w:t>
                  </w:r>
                  <w:r>
                    <w:rPr>
                      <w:kern w:val="0"/>
                      <w:szCs w:val="21"/>
                      <w:vertAlign w:val="superscript"/>
                    </w:rPr>
                    <w:t>3</w:t>
                  </w:r>
                  <w:r>
                    <w:rPr>
                      <w:kern w:val="0"/>
                      <w:szCs w:val="21"/>
                    </w:rPr>
                    <w:t>/h</w:t>
                  </w:r>
                </w:p>
              </w:tc>
              <w:tc>
                <w:tcPr>
                  <w:tcW w:w="909" w:type="pct"/>
                  <w:vAlign w:val="center"/>
                </w:tcPr>
                <w:p w14:paraId="5251B4BB">
                  <w:pPr>
                    <w:jc w:val="center"/>
                    <w:rPr>
                      <w:szCs w:val="21"/>
                    </w:rPr>
                  </w:pPr>
                </w:p>
              </w:tc>
            </w:tr>
            <w:tr w14:paraId="112437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8" w:hRule="atLeast"/>
                <w:jc w:val="center"/>
              </w:trPr>
              <w:tc>
                <w:tcPr>
                  <w:tcW w:w="118" w:type="pct"/>
                  <w:vMerge w:val="continue"/>
                  <w:vAlign w:val="center"/>
                </w:tcPr>
                <w:p w14:paraId="4BC8A1D9">
                  <w:pPr>
                    <w:jc w:val="center"/>
                    <w:rPr>
                      <w:szCs w:val="21"/>
                    </w:rPr>
                  </w:pPr>
                </w:p>
              </w:tc>
              <w:tc>
                <w:tcPr>
                  <w:tcW w:w="278" w:type="pct"/>
                  <w:gridSpan w:val="2"/>
                  <w:vAlign w:val="center"/>
                </w:tcPr>
                <w:p w14:paraId="6AF5EB7B">
                  <w:pPr>
                    <w:jc w:val="center"/>
                    <w:rPr>
                      <w:bCs/>
                      <w:szCs w:val="21"/>
                    </w:rPr>
                  </w:pPr>
                  <w:r>
                    <w:rPr>
                      <w:bCs/>
                      <w:szCs w:val="21"/>
                    </w:rPr>
                    <w:t>化验中心实验废气处理装置</w:t>
                  </w:r>
                </w:p>
              </w:tc>
              <w:tc>
                <w:tcPr>
                  <w:tcW w:w="1240" w:type="pct"/>
                  <w:gridSpan w:val="2"/>
                  <w:vAlign w:val="center"/>
                </w:tcPr>
                <w:p w14:paraId="7757ABDE">
                  <w:pPr>
                    <w:jc w:val="center"/>
                    <w:rPr>
                      <w:szCs w:val="21"/>
                    </w:rPr>
                  </w:pPr>
                  <w:r>
                    <w:rPr>
                      <w:bCs/>
                      <w:szCs w:val="21"/>
                    </w:rPr>
                    <w:t>3套实验废气收集系统，3套水喷淋+活性炭吸附装置、3个排气筒</w:t>
                  </w:r>
                </w:p>
              </w:tc>
              <w:tc>
                <w:tcPr>
                  <w:tcW w:w="159" w:type="pct"/>
                  <w:vAlign w:val="center"/>
                </w:tcPr>
                <w:p w14:paraId="796949EC">
                  <w:pPr>
                    <w:jc w:val="center"/>
                    <w:rPr>
                      <w:szCs w:val="21"/>
                    </w:rPr>
                  </w:pPr>
                  <w:r>
                    <w:rPr>
                      <w:szCs w:val="21"/>
                    </w:rPr>
                    <w:t>自建</w:t>
                  </w:r>
                </w:p>
              </w:tc>
              <w:tc>
                <w:tcPr>
                  <w:tcW w:w="467" w:type="pct"/>
                  <w:vAlign w:val="center"/>
                </w:tcPr>
                <w:p w14:paraId="5745E0B0">
                  <w:pPr>
                    <w:jc w:val="center"/>
                    <w:rPr>
                      <w:bCs/>
                      <w:szCs w:val="21"/>
                    </w:rPr>
                  </w:pPr>
                  <w:r>
                    <w:rPr>
                      <w:bCs/>
                      <w:szCs w:val="21"/>
                    </w:rPr>
                    <w:t>已验收</w:t>
                  </w:r>
                  <w:r>
                    <w:rPr>
                      <w:rFonts w:hint="eastAsia"/>
                      <w:bCs/>
                      <w:szCs w:val="21"/>
                    </w:rPr>
                    <w:t>，</w:t>
                  </w:r>
                  <w:r>
                    <w:rPr>
                      <w:rFonts w:hint="eastAsia" w:ascii="宋体" w:hAnsi="宋体"/>
                    </w:rPr>
                    <w:t>化验中心废气排口</w:t>
                  </w:r>
                  <w:r>
                    <w:t>DA007~ DA009</w:t>
                  </w:r>
                </w:p>
              </w:tc>
              <w:tc>
                <w:tcPr>
                  <w:tcW w:w="920" w:type="pct"/>
                  <w:vAlign w:val="center"/>
                </w:tcPr>
                <w:p w14:paraId="2EC9A6D1">
                  <w:pPr>
                    <w:jc w:val="center"/>
                    <w:rPr>
                      <w:szCs w:val="21"/>
                    </w:rPr>
                  </w:pPr>
                  <w:r>
                    <w:rPr>
                      <w:szCs w:val="21"/>
                    </w:rPr>
                    <w:t>/</w:t>
                  </w:r>
                </w:p>
              </w:tc>
              <w:tc>
                <w:tcPr>
                  <w:tcW w:w="909" w:type="pct"/>
                  <w:vAlign w:val="center"/>
                </w:tcPr>
                <w:p w14:paraId="09116277">
                  <w:pPr>
                    <w:jc w:val="center"/>
                    <w:rPr>
                      <w:szCs w:val="21"/>
                    </w:rPr>
                  </w:pPr>
                  <w:r>
                    <w:rPr>
                      <w:szCs w:val="21"/>
                    </w:rPr>
                    <w:t>/</w:t>
                  </w:r>
                </w:p>
              </w:tc>
              <w:tc>
                <w:tcPr>
                  <w:tcW w:w="909" w:type="pct"/>
                  <w:vAlign w:val="center"/>
                </w:tcPr>
                <w:p w14:paraId="7AFB2E18">
                  <w:pPr>
                    <w:jc w:val="center"/>
                    <w:rPr>
                      <w:szCs w:val="21"/>
                    </w:rPr>
                  </w:pPr>
                  <w:r>
                    <w:rPr>
                      <w:szCs w:val="21"/>
                    </w:rPr>
                    <w:t>/</w:t>
                  </w:r>
                </w:p>
              </w:tc>
            </w:tr>
            <w:tr w14:paraId="112258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8" w:type="pct"/>
                  <w:vMerge w:val="continue"/>
                  <w:vAlign w:val="center"/>
                </w:tcPr>
                <w:p w14:paraId="357C4D85">
                  <w:pPr>
                    <w:jc w:val="center"/>
                    <w:rPr>
                      <w:szCs w:val="21"/>
                    </w:rPr>
                  </w:pPr>
                </w:p>
              </w:tc>
              <w:tc>
                <w:tcPr>
                  <w:tcW w:w="278" w:type="pct"/>
                  <w:gridSpan w:val="2"/>
                  <w:vAlign w:val="center"/>
                </w:tcPr>
                <w:p w14:paraId="7CB6AFB2">
                  <w:pPr>
                    <w:jc w:val="center"/>
                    <w:rPr>
                      <w:szCs w:val="21"/>
                    </w:rPr>
                  </w:pPr>
                  <w:r>
                    <w:rPr>
                      <w:szCs w:val="21"/>
                    </w:rPr>
                    <w:t>污水预处理站</w:t>
                  </w:r>
                </w:p>
              </w:tc>
              <w:tc>
                <w:tcPr>
                  <w:tcW w:w="1240" w:type="pct"/>
                  <w:gridSpan w:val="2"/>
                  <w:vAlign w:val="center"/>
                </w:tcPr>
                <w:p w14:paraId="077F2B57">
                  <w:pPr>
                    <w:jc w:val="center"/>
                    <w:rPr>
                      <w:szCs w:val="21"/>
                    </w:rPr>
                  </w:pPr>
                  <w:r>
                    <w:rPr>
                      <w:szCs w:val="21"/>
                    </w:rPr>
                    <w:t>乙醛回收装置聚酯废水全部接入芮邦科技有限公司，其余废水中成子河西侧地块内生产及生活废水（占比约33%）经分类收集后</w:t>
                  </w:r>
                  <w:r>
                    <w:rPr>
                      <w:rFonts w:hint="eastAsia"/>
                      <w:szCs w:val="21"/>
                    </w:rPr>
                    <w:t>管道输</w:t>
                  </w:r>
                  <w:r>
                    <w:rPr>
                      <w:szCs w:val="21"/>
                    </w:rPr>
                    <w:t>送至芮邦科技厂区污水站分质预处理，各股废水分质</w:t>
                  </w:r>
                  <w:r>
                    <w:rPr>
                      <w:rFonts w:hint="eastAsia"/>
                      <w:szCs w:val="21"/>
                    </w:rPr>
                    <w:t>管道输</w:t>
                  </w:r>
                  <w:r>
                    <w:rPr>
                      <w:szCs w:val="21"/>
                    </w:rPr>
                    <w:t>送至污水站混合调节池混合后，采用“活性污泥+兼氧好氧”的好氧生化处理工艺和“陶粒过滤+活性炭过滤+精密过滤+反渗透”中水回用深度处理工艺，活性炭过滤器出水中的40%和反渗透淡水在清水池内混合后作为中水回用，中水回用率为80%，反渗透浓水（占比20%）进入除锑系统处理达标后排入市政管网由泗阳县木业园区污水处理厂集中处理，尾水执行《城镇污水处理厂污染物排放标准》（GB18918-2002）中一级A标准，排入小长河，最终进入</w:t>
                  </w:r>
                  <w:r>
                    <w:rPr>
                      <w:rFonts w:hint="eastAsia"/>
                      <w:szCs w:val="21"/>
                    </w:rPr>
                    <w:t>黄河故道（原</w:t>
                  </w:r>
                  <w:r>
                    <w:rPr>
                      <w:szCs w:val="21"/>
                    </w:rPr>
                    <w:t>废黄河</w:t>
                  </w:r>
                  <w:r>
                    <w:rPr>
                      <w:rFonts w:hint="eastAsia"/>
                      <w:szCs w:val="21"/>
                    </w:rPr>
                    <w:t>）</w:t>
                  </w:r>
                  <w:r>
                    <w:rPr>
                      <w:szCs w:val="21"/>
                    </w:rPr>
                    <w:t>。</w:t>
                  </w:r>
                </w:p>
              </w:tc>
              <w:tc>
                <w:tcPr>
                  <w:tcW w:w="159" w:type="pct"/>
                  <w:vAlign w:val="center"/>
                </w:tcPr>
                <w:p w14:paraId="34AE5CD5">
                  <w:pPr>
                    <w:jc w:val="center"/>
                    <w:rPr>
                      <w:szCs w:val="21"/>
                    </w:rPr>
                  </w:pPr>
                  <w:r>
                    <w:rPr>
                      <w:szCs w:val="21"/>
                    </w:rPr>
                    <w:t>依托</w:t>
                  </w:r>
                </w:p>
              </w:tc>
              <w:tc>
                <w:tcPr>
                  <w:tcW w:w="467" w:type="pct"/>
                  <w:vAlign w:val="center"/>
                </w:tcPr>
                <w:p w14:paraId="202C2202">
                  <w:pPr>
                    <w:jc w:val="center"/>
                    <w:rPr>
                      <w:szCs w:val="21"/>
                    </w:rPr>
                  </w:pPr>
                  <w:r>
                    <w:rPr>
                      <w:szCs w:val="21"/>
                    </w:rPr>
                    <w:t>依托芮邦科技污水站</w:t>
                  </w:r>
                </w:p>
              </w:tc>
              <w:tc>
                <w:tcPr>
                  <w:tcW w:w="1829" w:type="pct"/>
                  <w:gridSpan w:val="2"/>
                  <w:vAlign w:val="center"/>
                </w:tcPr>
                <w:p w14:paraId="58217D45">
                  <w:pPr>
                    <w:jc w:val="center"/>
                    <w:rPr>
                      <w:szCs w:val="21"/>
                    </w:rPr>
                  </w:pPr>
                  <w:r>
                    <w:t>本项目在厂区内扩建，不涉及工艺废水新增。新增的纺丝组件清洗（含锑）废水W1、纺丝组件清洗废水W2、油烟净化装置冲洗废水W3</w:t>
                  </w:r>
                  <w:r>
                    <w:rPr>
                      <w:szCs w:val="21"/>
                    </w:rPr>
                    <w:t>经分类收集后</w:t>
                  </w:r>
                  <w:r>
                    <w:rPr>
                      <w:rFonts w:hint="eastAsia"/>
                      <w:szCs w:val="21"/>
                    </w:rPr>
                    <w:t>接管</w:t>
                  </w:r>
                  <w:r>
                    <w:rPr>
                      <w:szCs w:val="21"/>
                    </w:rPr>
                    <w:t>至江苏芮邦科技有限公司厂区污水站分质预处理</w:t>
                  </w:r>
                  <w:r>
                    <w:t>后</w:t>
                  </w:r>
                  <w:r>
                    <w:rPr>
                      <w:szCs w:val="21"/>
                    </w:rPr>
                    <w:t>各股废水分质</w:t>
                  </w:r>
                  <w:r>
                    <w:rPr>
                      <w:rFonts w:hint="eastAsia"/>
                      <w:szCs w:val="21"/>
                    </w:rPr>
                    <w:t>管道输</w:t>
                  </w:r>
                  <w:r>
                    <w:rPr>
                      <w:szCs w:val="21"/>
                    </w:rPr>
                    <w:t>送至污水站混合调节池混合后，采用“活性污泥+兼氧好氧”的好氧生化处理工艺和“陶粒过滤+活性炭过滤+精密过滤+反渗透”中水回用深度处理工艺，活性炭过滤器出水中的40%和反渗透淡水在清水池内混合后作为中水回用，中水回用率为80%，反渗透浓水（占比20%）进入除锑系统处理达标后排入市政管网由</w:t>
                  </w:r>
                  <w:r>
                    <w:rPr>
                      <w:szCs w:val="28"/>
                    </w:rPr>
                    <w:t>泗阳高新区污水处理厂（一期）</w:t>
                  </w:r>
                  <w:r>
                    <w:rPr>
                      <w:szCs w:val="21"/>
                    </w:rPr>
                    <w:t>（泗阳泗清水务有限公司）集中处理，尾水执行《城镇污水处理厂污染物排放标准》（GB18918-2002）中一级A标准，排入小长河，最终进入</w:t>
                  </w:r>
                  <w:r>
                    <w:rPr>
                      <w:rFonts w:hint="eastAsia"/>
                      <w:szCs w:val="21"/>
                    </w:rPr>
                    <w:t>黄河故道（原</w:t>
                  </w:r>
                  <w:r>
                    <w:rPr>
                      <w:szCs w:val="21"/>
                    </w:rPr>
                    <w:t>废黄河</w:t>
                  </w:r>
                  <w:r>
                    <w:rPr>
                      <w:rFonts w:hint="eastAsia"/>
                      <w:szCs w:val="21"/>
                    </w:rPr>
                    <w:t>）</w:t>
                  </w:r>
                  <w:r>
                    <w:rPr>
                      <w:szCs w:val="21"/>
                    </w:rPr>
                    <w:t>。</w:t>
                  </w:r>
                </w:p>
              </w:tc>
              <w:tc>
                <w:tcPr>
                  <w:tcW w:w="909" w:type="pct"/>
                  <w:vAlign w:val="center"/>
                </w:tcPr>
                <w:p w14:paraId="17CF920A">
                  <w:pPr>
                    <w:jc w:val="center"/>
                    <w:rPr>
                      <w:szCs w:val="21"/>
                    </w:rPr>
                  </w:pPr>
                  <w:r>
                    <w:rPr>
                      <w:szCs w:val="21"/>
                    </w:rPr>
                    <w:t>依托芮邦科技污水站</w:t>
                  </w:r>
                </w:p>
              </w:tc>
            </w:tr>
            <w:tr w14:paraId="50A5E1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8" w:type="pct"/>
                  <w:vMerge w:val="continue"/>
                  <w:vAlign w:val="center"/>
                </w:tcPr>
                <w:p w14:paraId="6DAB3D82">
                  <w:pPr>
                    <w:jc w:val="center"/>
                    <w:rPr>
                      <w:szCs w:val="21"/>
                    </w:rPr>
                  </w:pPr>
                </w:p>
              </w:tc>
              <w:tc>
                <w:tcPr>
                  <w:tcW w:w="278" w:type="pct"/>
                  <w:gridSpan w:val="2"/>
                  <w:vAlign w:val="center"/>
                </w:tcPr>
                <w:p w14:paraId="5D6397D7">
                  <w:pPr>
                    <w:jc w:val="center"/>
                    <w:rPr>
                      <w:szCs w:val="21"/>
                    </w:rPr>
                  </w:pPr>
                  <w:r>
                    <w:rPr>
                      <w:szCs w:val="21"/>
                    </w:rPr>
                    <w:t>废丝回收生产线</w:t>
                  </w:r>
                </w:p>
              </w:tc>
              <w:tc>
                <w:tcPr>
                  <w:tcW w:w="1240" w:type="pct"/>
                  <w:gridSpan w:val="2"/>
                  <w:vAlign w:val="center"/>
                </w:tcPr>
                <w:p w14:paraId="50C4F76F">
                  <w:pPr>
                    <w:jc w:val="center"/>
                    <w:rPr>
                      <w:szCs w:val="21"/>
                    </w:rPr>
                  </w:pPr>
                  <w:r>
                    <w:rPr>
                      <w:szCs w:val="21"/>
                    </w:rPr>
                    <w:t>/</w:t>
                  </w:r>
                </w:p>
              </w:tc>
              <w:tc>
                <w:tcPr>
                  <w:tcW w:w="159" w:type="pct"/>
                  <w:vAlign w:val="center"/>
                </w:tcPr>
                <w:p w14:paraId="2F553F7B">
                  <w:pPr>
                    <w:jc w:val="center"/>
                    <w:rPr>
                      <w:szCs w:val="21"/>
                    </w:rPr>
                  </w:pPr>
                  <w:r>
                    <w:rPr>
                      <w:szCs w:val="21"/>
                    </w:rPr>
                    <w:t>/</w:t>
                  </w:r>
                </w:p>
              </w:tc>
              <w:tc>
                <w:tcPr>
                  <w:tcW w:w="467" w:type="pct"/>
                  <w:vAlign w:val="center"/>
                </w:tcPr>
                <w:p w14:paraId="74712992">
                  <w:pPr>
                    <w:jc w:val="center"/>
                    <w:rPr>
                      <w:szCs w:val="21"/>
                    </w:rPr>
                  </w:pPr>
                  <w:r>
                    <w:rPr>
                      <w:szCs w:val="21"/>
                    </w:rPr>
                    <w:t>/</w:t>
                  </w:r>
                </w:p>
              </w:tc>
              <w:tc>
                <w:tcPr>
                  <w:tcW w:w="920" w:type="pct"/>
                  <w:vAlign w:val="center"/>
                </w:tcPr>
                <w:p w14:paraId="3454C8B7">
                  <w:pPr>
                    <w:jc w:val="center"/>
                  </w:pPr>
                  <w:r>
                    <w:t>/</w:t>
                  </w:r>
                </w:p>
              </w:tc>
              <w:tc>
                <w:tcPr>
                  <w:tcW w:w="909" w:type="pct"/>
                  <w:vAlign w:val="center"/>
                </w:tcPr>
                <w:p w14:paraId="33A4E5EE">
                  <w:pPr>
                    <w:jc w:val="center"/>
                  </w:pPr>
                  <w:r>
                    <w:t>2条1.2万吨/年涤纶废丝回收生产线，形成年回收2.4万吨</w:t>
                  </w:r>
                  <w:r>
                    <w:rPr>
                      <w:bCs/>
                      <w:szCs w:val="20"/>
                    </w:rPr>
                    <w:t>摩擦料</w:t>
                  </w:r>
                  <w:r>
                    <w:t>回收能力。位于一阶段50万吨纺丝车间1一层北侧，占地750m</w:t>
                  </w:r>
                  <w:r>
                    <w:rPr>
                      <w:vertAlign w:val="superscript"/>
                    </w:rPr>
                    <w:t>2</w:t>
                  </w:r>
                  <w:r>
                    <w:t>。回收后的摩擦料作为一般固废外售综合利用</w:t>
                  </w:r>
                </w:p>
              </w:tc>
              <w:tc>
                <w:tcPr>
                  <w:tcW w:w="909" w:type="pct"/>
                  <w:vAlign w:val="center"/>
                </w:tcPr>
                <w:p w14:paraId="58159FF2">
                  <w:pPr>
                    <w:jc w:val="center"/>
                    <w:rPr>
                      <w:szCs w:val="21"/>
                    </w:rPr>
                  </w:pPr>
                  <w:r>
                    <w:rPr>
                      <w:szCs w:val="21"/>
                    </w:rPr>
                    <w:t>新建</w:t>
                  </w:r>
                </w:p>
              </w:tc>
            </w:tr>
            <w:tr w14:paraId="2BD17F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8" w:type="pct"/>
                  <w:vMerge w:val="continue"/>
                  <w:vAlign w:val="center"/>
                </w:tcPr>
                <w:p w14:paraId="06C8DC7F">
                  <w:pPr>
                    <w:jc w:val="center"/>
                    <w:rPr>
                      <w:szCs w:val="21"/>
                    </w:rPr>
                  </w:pPr>
                </w:p>
              </w:tc>
              <w:tc>
                <w:tcPr>
                  <w:tcW w:w="278" w:type="pct"/>
                  <w:gridSpan w:val="2"/>
                  <w:vAlign w:val="center"/>
                </w:tcPr>
                <w:p w14:paraId="62BFA450">
                  <w:pPr>
                    <w:jc w:val="center"/>
                    <w:rPr>
                      <w:szCs w:val="21"/>
                    </w:rPr>
                  </w:pPr>
                  <w:r>
                    <w:rPr>
                      <w:szCs w:val="21"/>
                    </w:rPr>
                    <w:t>一般工业固体废物暂存场</w:t>
                  </w:r>
                </w:p>
              </w:tc>
              <w:tc>
                <w:tcPr>
                  <w:tcW w:w="1240" w:type="pct"/>
                  <w:gridSpan w:val="2"/>
                  <w:vAlign w:val="center"/>
                </w:tcPr>
                <w:p w14:paraId="6D0F8965">
                  <w:pPr>
                    <w:jc w:val="center"/>
                    <w:rPr>
                      <w:szCs w:val="21"/>
                    </w:rPr>
                  </w:pPr>
                  <w:r>
                    <w:rPr>
                      <w:szCs w:val="21"/>
                    </w:rPr>
                    <w:t>成子河西侧纺丝废丝房共2个，总面积1020 m</w:t>
                  </w:r>
                  <w:r>
                    <w:rPr>
                      <w:szCs w:val="21"/>
                      <w:vertAlign w:val="superscript"/>
                    </w:rPr>
                    <w:t>2</w:t>
                  </w:r>
                  <w:r>
                    <w:rPr>
                      <w:szCs w:val="21"/>
                    </w:rPr>
                    <w:t xml:space="preserve"> </w:t>
                  </w:r>
                </w:p>
              </w:tc>
              <w:tc>
                <w:tcPr>
                  <w:tcW w:w="159" w:type="pct"/>
                  <w:vAlign w:val="center"/>
                </w:tcPr>
                <w:p w14:paraId="0816DCF5">
                  <w:pPr>
                    <w:jc w:val="center"/>
                    <w:rPr>
                      <w:szCs w:val="21"/>
                    </w:rPr>
                  </w:pPr>
                  <w:r>
                    <w:rPr>
                      <w:szCs w:val="21"/>
                    </w:rPr>
                    <w:t>自建</w:t>
                  </w:r>
                </w:p>
              </w:tc>
              <w:tc>
                <w:tcPr>
                  <w:tcW w:w="467" w:type="pct"/>
                  <w:vAlign w:val="center"/>
                </w:tcPr>
                <w:p w14:paraId="702760D1">
                  <w:pPr>
                    <w:jc w:val="center"/>
                    <w:rPr>
                      <w:szCs w:val="21"/>
                    </w:rPr>
                  </w:pPr>
                  <w:r>
                    <w:rPr>
                      <w:szCs w:val="21"/>
                    </w:rPr>
                    <w:t>已验收纺丝车间1一楼废丝房，占地面积510 m</w:t>
                  </w:r>
                  <w:r>
                    <w:rPr>
                      <w:szCs w:val="21"/>
                      <w:vertAlign w:val="superscript"/>
                    </w:rPr>
                    <w:t>2</w:t>
                  </w:r>
                </w:p>
              </w:tc>
              <w:tc>
                <w:tcPr>
                  <w:tcW w:w="920" w:type="pct"/>
                  <w:vAlign w:val="center"/>
                </w:tcPr>
                <w:p w14:paraId="31BA2C82">
                  <w:pPr>
                    <w:jc w:val="center"/>
                    <w:rPr>
                      <w:szCs w:val="21"/>
                    </w:rPr>
                  </w:pPr>
                  <w:r>
                    <w:t>纺丝车间2一楼东侧新增1个废丝暂存仓库，占地面积分别为210</w:t>
                  </w:r>
                  <w:r>
                    <w:rPr>
                      <w:snapToGrid w:val="0"/>
                      <w:kern w:val="0"/>
                      <w:szCs w:val="21"/>
                    </w:rPr>
                    <w:t>m</w:t>
                  </w:r>
                  <w:r>
                    <w:rPr>
                      <w:snapToGrid w:val="0"/>
                      <w:kern w:val="0"/>
                      <w:szCs w:val="21"/>
                      <w:vertAlign w:val="superscript"/>
                    </w:rPr>
                    <w:t>2</w:t>
                  </w:r>
                </w:p>
              </w:tc>
              <w:tc>
                <w:tcPr>
                  <w:tcW w:w="909" w:type="pct"/>
                  <w:vAlign w:val="center"/>
                </w:tcPr>
                <w:p w14:paraId="4E4A575C">
                  <w:pPr>
                    <w:jc w:val="center"/>
                    <w:rPr>
                      <w:szCs w:val="21"/>
                    </w:rPr>
                  </w:pPr>
                  <w:r>
                    <w:t>纺丝车间2一楼西侧新增1个废丝暂存仓库，190</w:t>
                  </w:r>
                  <w:r>
                    <w:rPr>
                      <w:snapToGrid w:val="0"/>
                      <w:kern w:val="0"/>
                      <w:szCs w:val="21"/>
                    </w:rPr>
                    <w:t>m</w:t>
                  </w:r>
                  <w:r>
                    <w:rPr>
                      <w:snapToGrid w:val="0"/>
                      <w:kern w:val="0"/>
                      <w:szCs w:val="21"/>
                      <w:vertAlign w:val="superscript"/>
                    </w:rPr>
                    <w:t>2</w:t>
                  </w:r>
                </w:p>
              </w:tc>
              <w:tc>
                <w:tcPr>
                  <w:tcW w:w="909" w:type="pct"/>
                  <w:vAlign w:val="center"/>
                </w:tcPr>
                <w:p w14:paraId="15063FFD">
                  <w:pPr>
                    <w:jc w:val="center"/>
                    <w:rPr>
                      <w:szCs w:val="21"/>
                    </w:rPr>
                  </w:pPr>
                  <w:r>
                    <w:rPr>
                      <w:szCs w:val="21"/>
                    </w:rPr>
                    <w:t>新建</w:t>
                  </w:r>
                </w:p>
              </w:tc>
            </w:tr>
            <w:tr w14:paraId="2A02E2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8" w:type="pct"/>
                  <w:vMerge w:val="continue"/>
                  <w:vAlign w:val="center"/>
                </w:tcPr>
                <w:p w14:paraId="1F0369F8">
                  <w:pPr>
                    <w:jc w:val="center"/>
                    <w:rPr>
                      <w:szCs w:val="21"/>
                    </w:rPr>
                  </w:pPr>
                </w:p>
              </w:tc>
              <w:tc>
                <w:tcPr>
                  <w:tcW w:w="278" w:type="pct"/>
                  <w:gridSpan w:val="2"/>
                  <w:vAlign w:val="center"/>
                </w:tcPr>
                <w:p w14:paraId="6104FF92">
                  <w:pPr>
                    <w:jc w:val="center"/>
                    <w:rPr>
                      <w:szCs w:val="21"/>
                    </w:rPr>
                  </w:pPr>
                  <w:r>
                    <w:rPr>
                      <w:szCs w:val="21"/>
                    </w:rPr>
                    <w:t>热媒站一般工业固体废物暂存间</w:t>
                  </w:r>
                </w:p>
              </w:tc>
              <w:tc>
                <w:tcPr>
                  <w:tcW w:w="1240" w:type="pct"/>
                  <w:gridSpan w:val="2"/>
                  <w:vAlign w:val="center"/>
                </w:tcPr>
                <w:p w14:paraId="17CD71E3">
                  <w:pPr>
                    <w:jc w:val="center"/>
                  </w:pPr>
                  <w:r>
                    <w:t>360m</w:t>
                  </w:r>
                  <w:r>
                    <w:rPr>
                      <w:rFonts w:hint="eastAsia"/>
                      <w:vertAlign w:val="superscript"/>
                    </w:rPr>
                    <w:t>2</w:t>
                  </w:r>
                </w:p>
              </w:tc>
              <w:tc>
                <w:tcPr>
                  <w:tcW w:w="159" w:type="pct"/>
                  <w:vAlign w:val="center"/>
                </w:tcPr>
                <w:p w14:paraId="3F96CFE1">
                  <w:pPr>
                    <w:jc w:val="center"/>
                    <w:rPr>
                      <w:szCs w:val="21"/>
                    </w:rPr>
                  </w:pPr>
                  <w:r>
                    <w:rPr>
                      <w:szCs w:val="21"/>
                    </w:rPr>
                    <w:t>自建</w:t>
                  </w:r>
                </w:p>
              </w:tc>
              <w:tc>
                <w:tcPr>
                  <w:tcW w:w="467" w:type="pct"/>
                  <w:vAlign w:val="center"/>
                </w:tcPr>
                <w:p w14:paraId="17B1D058">
                  <w:pPr>
                    <w:jc w:val="center"/>
                    <w:rPr>
                      <w:szCs w:val="21"/>
                    </w:rPr>
                  </w:pPr>
                  <w:r>
                    <w:rPr>
                      <w:szCs w:val="21"/>
                    </w:rPr>
                    <w:t>已验收</w:t>
                  </w:r>
                </w:p>
              </w:tc>
              <w:tc>
                <w:tcPr>
                  <w:tcW w:w="1829" w:type="pct"/>
                  <w:gridSpan w:val="2"/>
                  <w:vAlign w:val="center"/>
                </w:tcPr>
                <w:p w14:paraId="1B927F23">
                  <w:pPr>
                    <w:jc w:val="center"/>
                    <w:rPr>
                      <w:szCs w:val="21"/>
                    </w:rPr>
                  </w:pPr>
                  <w:r>
                    <w:rPr>
                      <w:szCs w:val="21"/>
                    </w:rPr>
                    <w:t>计划与热媒站一同停用，不在本项目评价范围内</w:t>
                  </w:r>
                </w:p>
              </w:tc>
              <w:tc>
                <w:tcPr>
                  <w:tcW w:w="909" w:type="pct"/>
                  <w:vAlign w:val="center"/>
                </w:tcPr>
                <w:p w14:paraId="5E2419E9">
                  <w:pPr>
                    <w:jc w:val="center"/>
                    <w:rPr>
                      <w:szCs w:val="21"/>
                    </w:rPr>
                  </w:pPr>
                  <w:r>
                    <w:rPr>
                      <w:szCs w:val="21"/>
                    </w:rPr>
                    <w:t>/</w:t>
                  </w:r>
                </w:p>
              </w:tc>
            </w:tr>
            <w:tr w14:paraId="2CD216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8" w:type="pct"/>
                  <w:vMerge w:val="continue"/>
                  <w:vAlign w:val="center"/>
                </w:tcPr>
                <w:p w14:paraId="4BB16C75">
                  <w:pPr>
                    <w:jc w:val="center"/>
                    <w:rPr>
                      <w:szCs w:val="21"/>
                    </w:rPr>
                  </w:pPr>
                </w:p>
              </w:tc>
              <w:tc>
                <w:tcPr>
                  <w:tcW w:w="278" w:type="pct"/>
                  <w:gridSpan w:val="2"/>
                  <w:vAlign w:val="center"/>
                </w:tcPr>
                <w:p w14:paraId="709AAA54">
                  <w:pPr>
                    <w:jc w:val="center"/>
                    <w:rPr>
                      <w:szCs w:val="21"/>
                    </w:rPr>
                  </w:pPr>
                  <w:r>
                    <w:rPr>
                      <w:szCs w:val="21"/>
                    </w:rPr>
                    <w:t>危废暂存场</w:t>
                  </w:r>
                </w:p>
              </w:tc>
              <w:tc>
                <w:tcPr>
                  <w:tcW w:w="1240" w:type="pct"/>
                  <w:gridSpan w:val="2"/>
                  <w:vAlign w:val="center"/>
                </w:tcPr>
                <w:p w14:paraId="788552F2">
                  <w:pPr>
                    <w:jc w:val="center"/>
                    <w:rPr>
                      <w:szCs w:val="21"/>
                    </w:rPr>
                  </w:pPr>
                  <w:r>
                    <w:rPr>
                      <w:bCs/>
                      <w:szCs w:val="21"/>
                    </w:rPr>
                    <w:t>成子河西侧，</w:t>
                  </w:r>
                  <w:r>
                    <w:rPr>
                      <w:snapToGrid w:val="0"/>
                      <w:kern w:val="0"/>
                      <w:szCs w:val="21"/>
                    </w:rPr>
                    <w:t>租用芮邦</w:t>
                  </w:r>
                  <w:r>
                    <w:rPr>
                      <w:rFonts w:hint="eastAsia"/>
                      <w:snapToGrid w:val="0"/>
                      <w:kern w:val="0"/>
                      <w:szCs w:val="21"/>
                    </w:rPr>
                    <w:t>科技</w:t>
                  </w:r>
                  <w:r>
                    <w:rPr>
                      <w:snapToGrid w:val="0"/>
                      <w:kern w:val="0"/>
                      <w:szCs w:val="21"/>
                    </w:rPr>
                    <w:t>厂区土地，新建危废暂存库1个，占地面积589</w:t>
                  </w:r>
                  <w:r>
                    <w:rPr>
                      <w:szCs w:val="21"/>
                    </w:rPr>
                    <w:t xml:space="preserve"> m</w:t>
                  </w:r>
                  <w:r>
                    <w:rPr>
                      <w:szCs w:val="21"/>
                      <w:vertAlign w:val="superscript"/>
                    </w:rPr>
                    <w:t>2</w:t>
                  </w:r>
                </w:p>
              </w:tc>
              <w:tc>
                <w:tcPr>
                  <w:tcW w:w="159" w:type="pct"/>
                  <w:vAlign w:val="center"/>
                </w:tcPr>
                <w:p w14:paraId="2DCC06A0">
                  <w:pPr>
                    <w:jc w:val="center"/>
                    <w:rPr>
                      <w:b/>
                      <w:szCs w:val="21"/>
                    </w:rPr>
                  </w:pPr>
                  <w:r>
                    <w:rPr>
                      <w:szCs w:val="21"/>
                    </w:rPr>
                    <w:t>自建</w:t>
                  </w:r>
                </w:p>
              </w:tc>
              <w:tc>
                <w:tcPr>
                  <w:tcW w:w="467" w:type="pct"/>
                  <w:vAlign w:val="center"/>
                </w:tcPr>
                <w:p w14:paraId="0726F395">
                  <w:pPr>
                    <w:jc w:val="center"/>
                    <w:rPr>
                      <w:szCs w:val="21"/>
                    </w:rPr>
                  </w:pPr>
                  <w:r>
                    <w:rPr>
                      <w:bCs/>
                      <w:szCs w:val="21"/>
                    </w:rPr>
                    <w:t>已验收</w:t>
                  </w:r>
                </w:p>
              </w:tc>
              <w:tc>
                <w:tcPr>
                  <w:tcW w:w="1829" w:type="pct"/>
                  <w:gridSpan w:val="2"/>
                  <w:vAlign w:val="center"/>
                </w:tcPr>
                <w:p w14:paraId="7C5B4B3B">
                  <w:pPr>
                    <w:jc w:val="center"/>
                    <w:rPr>
                      <w:bCs/>
                      <w:szCs w:val="21"/>
                    </w:rPr>
                  </w:pPr>
                  <w:r>
                    <w:rPr>
                      <w:bCs/>
                      <w:szCs w:val="21"/>
                    </w:rPr>
                    <w:t>依托已验收</w:t>
                  </w:r>
                  <w:r>
                    <w:rPr>
                      <w:snapToGrid w:val="0"/>
                      <w:kern w:val="0"/>
                      <w:szCs w:val="21"/>
                    </w:rPr>
                    <w:t>危废暂存库，占地面积589</w:t>
                  </w:r>
                  <w:r>
                    <w:rPr>
                      <w:szCs w:val="21"/>
                    </w:rPr>
                    <w:t xml:space="preserve"> m</w:t>
                  </w:r>
                  <w:r>
                    <w:rPr>
                      <w:szCs w:val="21"/>
                      <w:vertAlign w:val="superscript"/>
                    </w:rPr>
                    <w:t>2</w:t>
                  </w:r>
                </w:p>
              </w:tc>
              <w:tc>
                <w:tcPr>
                  <w:tcW w:w="909" w:type="pct"/>
                  <w:vAlign w:val="center"/>
                </w:tcPr>
                <w:p w14:paraId="556207CD">
                  <w:pPr>
                    <w:jc w:val="center"/>
                    <w:rPr>
                      <w:bCs/>
                      <w:szCs w:val="21"/>
                    </w:rPr>
                  </w:pPr>
                  <w:r>
                    <w:rPr>
                      <w:bCs/>
                      <w:szCs w:val="21"/>
                    </w:rPr>
                    <w:t>依托</w:t>
                  </w:r>
                </w:p>
              </w:tc>
            </w:tr>
            <w:tr w14:paraId="3714C9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8" w:type="pct"/>
                  <w:vMerge w:val="continue"/>
                  <w:vAlign w:val="center"/>
                </w:tcPr>
                <w:p w14:paraId="12B8A360">
                  <w:pPr>
                    <w:jc w:val="center"/>
                    <w:rPr>
                      <w:szCs w:val="21"/>
                    </w:rPr>
                  </w:pPr>
                </w:p>
              </w:tc>
              <w:tc>
                <w:tcPr>
                  <w:tcW w:w="278" w:type="pct"/>
                  <w:gridSpan w:val="2"/>
                  <w:vAlign w:val="center"/>
                </w:tcPr>
                <w:p w14:paraId="50606687">
                  <w:pPr>
                    <w:jc w:val="center"/>
                    <w:rPr>
                      <w:szCs w:val="21"/>
                    </w:rPr>
                  </w:pPr>
                  <w:r>
                    <w:rPr>
                      <w:szCs w:val="21"/>
                    </w:rPr>
                    <w:t>消防水池</w:t>
                  </w:r>
                </w:p>
              </w:tc>
              <w:tc>
                <w:tcPr>
                  <w:tcW w:w="1240" w:type="pct"/>
                  <w:gridSpan w:val="2"/>
                  <w:vAlign w:val="center"/>
                </w:tcPr>
                <w:p w14:paraId="1D4A1BEB">
                  <w:pPr>
                    <w:jc w:val="center"/>
                    <w:rPr>
                      <w:bCs/>
                      <w:szCs w:val="21"/>
                    </w:rPr>
                  </w:pPr>
                  <w:r>
                    <w:rPr>
                      <w:bCs/>
                      <w:szCs w:val="21"/>
                    </w:rPr>
                    <w:t>成子河西侧地块依托芮邦</w:t>
                  </w:r>
                  <w:r>
                    <w:rPr>
                      <w:rFonts w:hint="eastAsia"/>
                      <w:bCs/>
                      <w:szCs w:val="21"/>
                    </w:rPr>
                    <w:t>科技</w:t>
                  </w:r>
                  <w:r>
                    <w:rPr>
                      <w:bCs/>
                      <w:szCs w:val="21"/>
                    </w:rPr>
                    <w:t>厂区</w:t>
                  </w:r>
                  <w:r>
                    <w:rPr>
                      <w:kern w:val="0"/>
                      <w:szCs w:val="21"/>
                    </w:rPr>
                    <w:t>内综合给水站供给，站内设置消防水池2座，消防水总贮水量为2700m</w:t>
                  </w:r>
                  <w:r>
                    <w:rPr>
                      <w:kern w:val="0"/>
                      <w:szCs w:val="21"/>
                      <w:vertAlign w:val="superscript"/>
                    </w:rPr>
                    <w:t>3</w:t>
                  </w:r>
                  <w:r>
                    <w:rPr>
                      <w:kern w:val="0"/>
                      <w:szCs w:val="21"/>
                    </w:rPr>
                    <w:t>，南罐区一座5000m³消防水池。</w:t>
                  </w:r>
                </w:p>
              </w:tc>
              <w:tc>
                <w:tcPr>
                  <w:tcW w:w="159" w:type="pct"/>
                  <w:vAlign w:val="center"/>
                </w:tcPr>
                <w:p w14:paraId="3F1DB5CD">
                  <w:pPr>
                    <w:jc w:val="center"/>
                    <w:rPr>
                      <w:szCs w:val="21"/>
                    </w:rPr>
                  </w:pPr>
                  <w:r>
                    <w:rPr>
                      <w:szCs w:val="21"/>
                    </w:rPr>
                    <w:t>依托</w:t>
                  </w:r>
                </w:p>
              </w:tc>
              <w:tc>
                <w:tcPr>
                  <w:tcW w:w="467" w:type="pct"/>
                  <w:vAlign w:val="center"/>
                </w:tcPr>
                <w:p w14:paraId="71D4527C">
                  <w:pPr>
                    <w:jc w:val="center"/>
                    <w:rPr>
                      <w:szCs w:val="21"/>
                    </w:rPr>
                  </w:pPr>
                  <w:r>
                    <w:rPr>
                      <w:bCs/>
                      <w:szCs w:val="21"/>
                    </w:rPr>
                    <w:t>芮邦科技污水站已验收</w:t>
                  </w:r>
                </w:p>
              </w:tc>
              <w:tc>
                <w:tcPr>
                  <w:tcW w:w="1829" w:type="pct"/>
                  <w:gridSpan w:val="2"/>
                  <w:vAlign w:val="center"/>
                </w:tcPr>
                <w:p w14:paraId="796D5727">
                  <w:pPr>
                    <w:jc w:val="center"/>
                    <w:rPr>
                      <w:kern w:val="0"/>
                      <w:szCs w:val="21"/>
                    </w:rPr>
                  </w:pPr>
                  <w:r>
                    <w:rPr>
                      <w:bCs/>
                      <w:szCs w:val="21"/>
                    </w:rPr>
                    <w:t>依托已有芮邦</w:t>
                  </w:r>
                  <w:r>
                    <w:rPr>
                      <w:rFonts w:hint="eastAsia"/>
                      <w:bCs/>
                      <w:szCs w:val="21"/>
                    </w:rPr>
                    <w:t>科技</w:t>
                  </w:r>
                  <w:r>
                    <w:rPr>
                      <w:bCs/>
                      <w:szCs w:val="21"/>
                    </w:rPr>
                    <w:t>厂区</w:t>
                  </w:r>
                  <w:r>
                    <w:rPr>
                      <w:kern w:val="0"/>
                      <w:szCs w:val="21"/>
                    </w:rPr>
                    <w:t>内综合给水站供给，站内设置消防水池2座，消防水总贮水量为2700m</w:t>
                  </w:r>
                  <w:r>
                    <w:rPr>
                      <w:kern w:val="0"/>
                      <w:szCs w:val="21"/>
                      <w:vertAlign w:val="superscript"/>
                    </w:rPr>
                    <w:t>3</w:t>
                  </w:r>
                  <w:r>
                    <w:rPr>
                      <w:kern w:val="0"/>
                      <w:szCs w:val="21"/>
                    </w:rPr>
                    <w:t>及南罐区一座5000m³消防水池。</w:t>
                  </w:r>
                </w:p>
              </w:tc>
              <w:tc>
                <w:tcPr>
                  <w:tcW w:w="909" w:type="pct"/>
                  <w:vAlign w:val="center"/>
                </w:tcPr>
                <w:p w14:paraId="72B579F6">
                  <w:pPr>
                    <w:jc w:val="center"/>
                    <w:rPr>
                      <w:kern w:val="0"/>
                      <w:szCs w:val="21"/>
                    </w:rPr>
                  </w:pPr>
                  <w:r>
                    <w:rPr>
                      <w:bCs/>
                      <w:szCs w:val="21"/>
                    </w:rPr>
                    <w:t>二期、三期项目位于一期项目成子河西侧厂区用地范围内，消</w:t>
                  </w:r>
                  <w:r>
                    <w:rPr>
                      <w:rFonts w:hint="eastAsia"/>
                      <w:bCs/>
                      <w:szCs w:val="21"/>
                    </w:rPr>
                    <w:t>防</w:t>
                  </w:r>
                  <w:r>
                    <w:rPr>
                      <w:bCs/>
                      <w:szCs w:val="21"/>
                    </w:rPr>
                    <w:t>用水量相较一期需求未发生</w:t>
                  </w:r>
                  <w:r>
                    <w:rPr>
                      <w:rFonts w:hint="eastAsia"/>
                      <w:bCs/>
                      <w:szCs w:val="21"/>
                    </w:rPr>
                    <w:t>明显</w:t>
                  </w:r>
                  <w:r>
                    <w:rPr>
                      <w:bCs/>
                      <w:szCs w:val="21"/>
                    </w:rPr>
                    <w:t>变化，现有芮邦</w:t>
                  </w:r>
                  <w:r>
                    <w:rPr>
                      <w:rFonts w:hint="eastAsia"/>
                      <w:bCs/>
                      <w:szCs w:val="21"/>
                    </w:rPr>
                    <w:t>科技</w:t>
                  </w:r>
                  <w:r>
                    <w:rPr>
                      <w:bCs/>
                      <w:szCs w:val="21"/>
                    </w:rPr>
                    <w:t>消防水池可满足两企业现有厂区的消防需求。</w:t>
                  </w:r>
                </w:p>
              </w:tc>
            </w:tr>
            <w:tr w14:paraId="4E28C5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8" w:type="pct"/>
                  <w:vMerge w:val="continue"/>
                  <w:vAlign w:val="center"/>
                </w:tcPr>
                <w:p w14:paraId="33918BCA">
                  <w:pPr>
                    <w:jc w:val="center"/>
                    <w:rPr>
                      <w:szCs w:val="21"/>
                    </w:rPr>
                  </w:pPr>
                </w:p>
              </w:tc>
              <w:tc>
                <w:tcPr>
                  <w:tcW w:w="278" w:type="pct"/>
                  <w:gridSpan w:val="2"/>
                  <w:vAlign w:val="center"/>
                </w:tcPr>
                <w:p w14:paraId="71AC900F">
                  <w:pPr>
                    <w:jc w:val="center"/>
                    <w:rPr>
                      <w:bCs/>
                      <w:szCs w:val="21"/>
                    </w:rPr>
                  </w:pPr>
                  <w:r>
                    <w:rPr>
                      <w:bCs/>
                      <w:szCs w:val="21"/>
                    </w:rPr>
                    <w:t>初期雨水池</w:t>
                  </w:r>
                </w:p>
              </w:tc>
              <w:tc>
                <w:tcPr>
                  <w:tcW w:w="1240" w:type="pct"/>
                  <w:gridSpan w:val="2"/>
                  <w:vAlign w:val="center"/>
                </w:tcPr>
                <w:p w14:paraId="041F7AD3">
                  <w:pPr>
                    <w:jc w:val="center"/>
                    <w:rPr>
                      <w:bCs/>
                      <w:szCs w:val="21"/>
                    </w:rPr>
                  </w:pPr>
                  <w:r>
                    <w:rPr>
                      <w:bCs/>
                      <w:szCs w:val="21"/>
                    </w:rPr>
                    <w:t>设置1座510m</w:t>
                  </w:r>
                  <w:r>
                    <w:rPr>
                      <w:bCs/>
                      <w:szCs w:val="21"/>
                      <w:vertAlign w:val="superscript"/>
                    </w:rPr>
                    <w:t>3</w:t>
                  </w:r>
                  <w:r>
                    <w:rPr>
                      <w:bCs/>
                      <w:szCs w:val="21"/>
                    </w:rPr>
                    <w:t>初期雨水池</w:t>
                  </w:r>
                </w:p>
              </w:tc>
              <w:tc>
                <w:tcPr>
                  <w:tcW w:w="159" w:type="pct"/>
                  <w:vAlign w:val="center"/>
                </w:tcPr>
                <w:p w14:paraId="46B7AF5E">
                  <w:pPr>
                    <w:jc w:val="center"/>
                    <w:rPr>
                      <w:szCs w:val="21"/>
                    </w:rPr>
                  </w:pPr>
                  <w:r>
                    <w:rPr>
                      <w:szCs w:val="21"/>
                    </w:rPr>
                    <w:t>自建</w:t>
                  </w:r>
                </w:p>
              </w:tc>
              <w:tc>
                <w:tcPr>
                  <w:tcW w:w="467" w:type="pct"/>
                  <w:vAlign w:val="center"/>
                </w:tcPr>
                <w:p w14:paraId="0FCF8444">
                  <w:pPr>
                    <w:jc w:val="center"/>
                    <w:rPr>
                      <w:szCs w:val="21"/>
                    </w:rPr>
                  </w:pPr>
                  <w:r>
                    <w:rPr>
                      <w:szCs w:val="21"/>
                    </w:rPr>
                    <w:t>已验收</w:t>
                  </w:r>
                </w:p>
              </w:tc>
              <w:tc>
                <w:tcPr>
                  <w:tcW w:w="1829" w:type="pct"/>
                  <w:gridSpan w:val="2"/>
                  <w:vAlign w:val="center"/>
                </w:tcPr>
                <w:p w14:paraId="2711D363">
                  <w:pPr>
                    <w:jc w:val="center"/>
                    <w:rPr>
                      <w:szCs w:val="21"/>
                    </w:rPr>
                  </w:pPr>
                  <w:r>
                    <w:rPr>
                      <w:szCs w:val="21"/>
                    </w:rPr>
                    <w:t>依托已验收</w:t>
                  </w:r>
                  <w:r>
                    <w:rPr>
                      <w:bCs/>
                      <w:szCs w:val="21"/>
                    </w:rPr>
                    <w:t>1座510 m</w:t>
                  </w:r>
                  <w:r>
                    <w:rPr>
                      <w:bCs/>
                      <w:szCs w:val="21"/>
                      <w:vertAlign w:val="superscript"/>
                    </w:rPr>
                    <w:t>3</w:t>
                  </w:r>
                  <w:r>
                    <w:rPr>
                      <w:bCs/>
                      <w:szCs w:val="21"/>
                    </w:rPr>
                    <w:t>初期雨水池</w:t>
                  </w:r>
                </w:p>
              </w:tc>
              <w:tc>
                <w:tcPr>
                  <w:tcW w:w="909" w:type="pct"/>
                  <w:vAlign w:val="center"/>
                </w:tcPr>
                <w:p w14:paraId="71E736A8">
                  <w:pPr>
                    <w:jc w:val="center"/>
                    <w:rPr>
                      <w:szCs w:val="21"/>
                    </w:rPr>
                  </w:pPr>
                  <w:r>
                    <w:rPr>
                      <w:szCs w:val="21"/>
                    </w:rPr>
                    <w:t>依托已建</w:t>
                  </w:r>
                  <w:r>
                    <w:rPr>
                      <w:bCs/>
                      <w:szCs w:val="21"/>
                    </w:rPr>
                    <w:t>初期雨水池。二期、三期项目位于一期项目成子河西侧厂区用地范围内，收水范围相较一期未发生变化，现有初期雨水池满足现有成子河西侧厂区的初期雨水贮存需求。</w:t>
                  </w:r>
                </w:p>
              </w:tc>
            </w:tr>
            <w:tr w14:paraId="1552E3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8" w:type="pct"/>
                  <w:vMerge w:val="continue"/>
                  <w:vAlign w:val="center"/>
                </w:tcPr>
                <w:p w14:paraId="0D40579A">
                  <w:pPr>
                    <w:jc w:val="center"/>
                    <w:rPr>
                      <w:szCs w:val="21"/>
                    </w:rPr>
                  </w:pPr>
                </w:p>
              </w:tc>
              <w:tc>
                <w:tcPr>
                  <w:tcW w:w="278" w:type="pct"/>
                  <w:gridSpan w:val="2"/>
                  <w:vAlign w:val="center"/>
                </w:tcPr>
                <w:p w14:paraId="786D5681">
                  <w:pPr>
                    <w:jc w:val="center"/>
                    <w:rPr>
                      <w:szCs w:val="21"/>
                    </w:rPr>
                  </w:pPr>
                  <w:r>
                    <w:rPr>
                      <w:bCs/>
                      <w:szCs w:val="21"/>
                    </w:rPr>
                    <w:t>事故池</w:t>
                  </w:r>
                </w:p>
              </w:tc>
              <w:tc>
                <w:tcPr>
                  <w:tcW w:w="1240" w:type="pct"/>
                  <w:gridSpan w:val="2"/>
                  <w:vAlign w:val="center"/>
                </w:tcPr>
                <w:p w14:paraId="159C8F79">
                  <w:pPr>
                    <w:jc w:val="center"/>
                    <w:rPr>
                      <w:bCs/>
                      <w:szCs w:val="21"/>
                    </w:rPr>
                  </w:pPr>
                  <w:r>
                    <w:rPr>
                      <w:bCs/>
                      <w:szCs w:val="21"/>
                    </w:rPr>
                    <w:t>成子河西侧地块依托芮邦科技厂区污水站配套的事故池（2250 m</w:t>
                  </w:r>
                  <w:r>
                    <w:rPr>
                      <w:bCs/>
                      <w:szCs w:val="21"/>
                      <w:vertAlign w:val="superscript"/>
                    </w:rPr>
                    <w:t>3</w:t>
                  </w:r>
                  <w:r>
                    <w:rPr>
                      <w:bCs/>
                      <w:szCs w:val="21"/>
                    </w:rPr>
                    <w:t>）</w:t>
                  </w:r>
                </w:p>
              </w:tc>
              <w:tc>
                <w:tcPr>
                  <w:tcW w:w="159" w:type="pct"/>
                  <w:vAlign w:val="center"/>
                </w:tcPr>
                <w:p w14:paraId="3238CB22">
                  <w:pPr>
                    <w:jc w:val="center"/>
                    <w:rPr>
                      <w:szCs w:val="21"/>
                    </w:rPr>
                  </w:pPr>
                  <w:r>
                    <w:rPr>
                      <w:szCs w:val="21"/>
                    </w:rPr>
                    <w:t>依托</w:t>
                  </w:r>
                </w:p>
              </w:tc>
              <w:tc>
                <w:tcPr>
                  <w:tcW w:w="467" w:type="pct"/>
                  <w:vAlign w:val="center"/>
                </w:tcPr>
                <w:p w14:paraId="47D59757">
                  <w:pPr>
                    <w:jc w:val="center"/>
                    <w:rPr>
                      <w:szCs w:val="21"/>
                    </w:rPr>
                  </w:pPr>
                  <w:r>
                    <w:rPr>
                      <w:bCs/>
                      <w:szCs w:val="21"/>
                    </w:rPr>
                    <w:t>芮邦科技污水站已验收</w:t>
                  </w:r>
                </w:p>
              </w:tc>
              <w:tc>
                <w:tcPr>
                  <w:tcW w:w="1829" w:type="pct"/>
                  <w:gridSpan w:val="2"/>
                  <w:vAlign w:val="center"/>
                </w:tcPr>
                <w:p w14:paraId="681BC317">
                  <w:pPr>
                    <w:jc w:val="center"/>
                    <w:rPr>
                      <w:bCs/>
                      <w:szCs w:val="21"/>
                    </w:rPr>
                  </w:pPr>
                  <w:r>
                    <w:rPr>
                      <w:bCs/>
                      <w:szCs w:val="21"/>
                    </w:rPr>
                    <w:t>芮邦科技厂区污水站配套的事故池（2250 m</w:t>
                  </w:r>
                  <w:r>
                    <w:rPr>
                      <w:bCs/>
                      <w:szCs w:val="21"/>
                      <w:vertAlign w:val="superscript"/>
                    </w:rPr>
                    <w:t>3</w:t>
                  </w:r>
                  <w:r>
                    <w:rPr>
                      <w:bCs/>
                      <w:szCs w:val="21"/>
                    </w:rPr>
                    <w:t>）</w:t>
                  </w:r>
                </w:p>
              </w:tc>
              <w:tc>
                <w:tcPr>
                  <w:tcW w:w="909" w:type="pct"/>
                  <w:vAlign w:val="center"/>
                </w:tcPr>
                <w:p w14:paraId="0C182512">
                  <w:pPr>
                    <w:jc w:val="center"/>
                    <w:rPr>
                      <w:bCs/>
                      <w:szCs w:val="21"/>
                    </w:rPr>
                  </w:pPr>
                  <w:r>
                    <w:rPr>
                      <w:bCs/>
                      <w:szCs w:val="21"/>
                    </w:rPr>
                    <w:t>依托芮邦科技，二期、三期项目位于一期项目成子河西侧厂区用地范围内，收水范围相较一期未发生变化，现有事故水池满足国望高科成子河西侧厂区及芮邦科技事故水贮存需求。</w:t>
                  </w:r>
                </w:p>
              </w:tc>
            </w:tr>
          </w:tbl>
          <w:p w14:paraId="4BCE135E"/>
        </w:tc>
      </w:tr>
    </w:tbl>
    <w:p w14:paraId="45860483">
      <w:pPr>
        <w:pStyle w:val="106"/>
        <w:ind w:firstLine="0" w:firstLineChars="0"/>
        <w:rPr>
          <w:snapToGrid w:val="0"/>
        </w:rPr>
      </w:pPr>
    </w:p>
    <w:p w14:paraId="09588D18">
      <w:pPr>
        <w:sectPr>
          <w:pgSz w:w="16838" w:h="11906" w:orient="landscape"/>
          <w:pgMar w:top="1797" w:right="1440" w:bottom="1797" w:left="1440" w:header="851" w:footer="851" w:gutter="0"/>
          <w:cols w:space="720" w:num="1"/>
          <w:docGrid w:linePitch="312" w:charSpace="0"/>
        </w:sectPr>
      </w:pPr>
    </w:p>
    <w:tbl>
      <w:tblPr>
        <w:tblStyle w:val="4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80"/>
        <w:gridCol w:w="8142"/>
      </w:tblGrid>
      <w:tr w14:paraId="42FA39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215" w:type="pct"/>
            <w:tcBorders>
              <w:top w:val="single" w:color="auto" w:sz="4" w:space="0"/>
              <w:bottom w:val="single" w:color="auto" w:sz="4" w:space="0"/>
            </w:tcBorders>
            <w:vAlign w:val="center"/>
          </w:tcPr>
          <w:p w14:paraId="06DBB36B">
            <w:pPr>
              <w:pStyle w:val="42"/>
              <w:adjustRightInd w:val="0"/>
              <w:snapToGrid w:val="0"/>
              <w:spacing w:before="0" w:beforeAutospacing="0" w:after="0" w:afterAutospacing="0"/>
              <w:jc w:val="center"/>
              <w:rPr>
                <w:rFonts w:ascii="Times New Roman" w:hAnsi="Times New Roman"/>
                <w:sz w:val="21"/>
                <w:szCs w:val="21"/>
              </w:rPr>
            </w:pPr>
          </w:p>
        </w:tc>
        <w:tc>
          <w:tcPr>
            <w:tcW w:w="4785" w:type="pct"/>
            <w:tcBorders>
              <w:top w:val="single" w:color="auto" w:sz="4" w:space="0"/>
              <w:bottom w:val="single" w:color="auto" w:sz="4" w:space="0"/>
            </w:tcBorders>
            <w:vAlign w:val="center"/>
          </w:tcPr>
          <w:p w14:paraId="357EB184">
            <w:pPr>
              <w:pStyle w:val="75"/>
              <w:rPr>
                <w:b/>
              </w:rPr>
            </w:pPr>
            <w:r>
              <w:rPr>
                <w:b/>
              </w:rPr>
              <w:t>2、主要产品及产能</w:t>
            </w:r>
          </w:p>
          <w:p w14:paraId="586CDDC8">
            <w:pPr>
              <w:pStyle w:val="76"/>
              <w:spacing w:line="500" w:lineRule="exact"/>
              <w:ind w:firstLine="480"/>
            </w:pPr>
            <w:r>
              <w:t>本项目主要产品及产能见表2-</w:t>
            </w:r>
            <w:r>
              <w:rPr>
                <w:rFonts w:hint="eastAsia"/>
              </w:rPr>
              <w:t>4</w:t>
            </w:r>
            <w:r>
              <w:t>，本项目建成后全厂产品及产能情况见表2-</w:t>
            </w:r>
            <w:r>
              <w:rPr>
                <w:rFonts w:hint="eastAsia"/>
              </w:rPr>
              <w:t>5</w:t>
            </w:r>
            <w:r>
              <w:t>，本项目各产品方案见表2-</w:t>
            </w:r>
            <w:r>
              <w:rPr>
                <w:rFonts w:hint="eastAsia"/>
              </w:rPr>
              <w:t>6</w:t>
            </w:r>
            <w:r>
              <w:t>。</w:t>
            </w:r>
          </w:p>
          <w:p w14:paraId="638530C6">
            <w:pPr>
              <w:pStyle w:val="77"/>
              <w:spacing w:line="240" w:lineRule="auto"/>
              <w:rPr>
                <w:bCs w:val="0"/>
                <w:szCs w:val="24"/>
              </w:rPr>
            </w:pPr>
            <w:r>
              <w:rPr>
                <w:bCs w:val="0"/>
                <w:szCs w:val="24"/>
              </w:rPr>
              <w:t>表2-</w:t>
            </w:r>
            <w:r>
              <w:rPr>
                <w:rFonts w:hint="eastAsia"/>
                <w:bCs w:val="0"/>
                <w:szCs w:val="24"/>
              </w:rPr>
              <w:t>4</w:t>
            </w:r>
            <w:r>
              <w:rPr>
                <w:bCs w:val="0"/>
                <w:szCs w:val="24"/>
              </w:rPr>
              <w:t xml:space="preserve"> 本项目主要产品及产能一览表</w:t>
            </w:r>
          </w:p>
          <w:tbl>
            <w:tblPr>
              <w:tblStyle w:val="4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41"/>
              <w:gridCol w:w="1417"/>
              <w:gridCol w:w="3261"/>
              <w:gridCol w:w="1275"/>
              <w:gridCol w:w="1353"/>
            </w:tblGrid>
            <w:tr w14:paraId="122A13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2" w:hRule="atLeast"/>
                <w:tblHeader/>
                <w:jc w:val="center"/>
              </w:trPr>
              <w:tc>
                <w:tcPr>
                  <w:tcW w:w="341" w:type="dxa"/>
                  <w:vAlign w:val="center"/>
                </w:tcPr>
                <w:p w14:paraId="07AD0415">
                  <w:pPr>
                    <w:jc w:val="center"/>
                    <w:rPr>
                      <w:b/>
                      <w:szCs w:val="20"/>
                    </w:rPr>
                  </w:pPr>
                  <w:r>
                    <w:rPr>
                      <w:b/>
                      <w:szCs w:val="20"/>
                    </w:rPr>
                    <w:t>工艺</w:t>
                  </w:r>
                </w:p>
              </w:tc>
              <w:tc>
                <w:tcPr>
                  <w:tcW w:w="1417" w:type="dxa"/>
                  <w:vAlign w:val="center"/>
                </w:tcPr>
                <w:p w14:paraId="13825F8A">
                  <w:pPr>
                    <w:jc w:val="center"/>
                    <w:rPr>
                      <w:b/>
                      <w:szCs w:val="20"/>
                    </w:rPr>
                  </w:pPr>
                  <w:r>
                    <w:rPr>
                      <w:b/>
                      <w:szCs w:val="20"/>
                    </w:rPr>
                    <w:t>产品</w:t>
                  </w:r>
                </w:p>
              </w:tc>
              <w:tc>
                <w:tcPr>
                  <w:tcW w:w="3261" w:type="dxa"/>
                  <w:vAlign w:val="center"/>
                </w:tcPr>
                <w:p w14:paraId="0B97F6AB">
                  <w:pPr>
                    <w:jc w:val="center"/>
                    <w:rPr>
                      <w:b/>
                      <w:szCs w:val="20"/>
                    </w:rPr>
                  </w:pPr>
                  <w:r>
                    <w:rPr>
                      <w:rFonts w:hint="eastAsia"/>
                      <w:b/>
                      <w:szCs w:val="20"/>
                    </w:rPr>
                    <w:t>原料来源</w:t>
                  </w:r>
                </w:p>
              </w:tc>
              <w:tc>
                <w:tcPr>
                  <w:tcW w:w="1275" w:type="dxa"/>
                  <w:vAlign w:val="center"/>
                </w:tcPr>
                <w:p w14:paraId="5FDEC72D">
                  <w:pPr>
                    <w:jc w:val="center"/>
                    <w:rPr>
                      <w:b/>
                      <w:szCs w:val="20"/>
                    </w:rPr>
                  </w:pPr>
                  <w:r>
                    <w:rPr>
                      <w:b/>
                      <w:szCs w:val="20"/>
                    </w:rPr>
                    <w:t>二期新增产能(万吨/年)</w:t>
                  </w:r>
                </w:p>
              </w:tc>
              <w:tc>
                <w:tcPr>
                  <w:tcW w:w="1353" w:type="dxa"/>
                  <w:vAlign w:val="center"/>
                </w:tcPr>
                <w:p w14:paraId="008BE703">
                  <w:pPr>
                    <w:jc w:val="center"/>
                    <w:rPr>
                      <w:b/>
                      <w:szCs w:val="20"/>
                    </w:rPr>
                  </w:pPr>
                  <w:r>
                    <w:rPr>
                      <w:b/>
                      <w:szCs w:val="20"/>
                    </w:rPr>
                    <w:t>三期新增产能（万吨/年）</w:t>
                  </w:r>
                </w:p>
              </w:tc>
            </w:tr>
            <w:tr w14:paraId="0B08AE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21" w:hRule="atLeast"/>
                <w:jc w:val="center"/>
              </w:trPr>
              <w:tc>
                <w:tcPr>
                  <w:tcW w:w="341" w:type="dxa"/>
                  <w:vMerge w:val="restart"/>
                  <w:vAlign w:val="center"/>
                </w:tcPr>
                <w:p w14:paraId="733B75FC">
                  <w:pPr>
                    <w:jc w:val="center"/>
                    <w:rPr>
                      <w:bCs/>
                      <w:szCs w:val="20"/>
                    </w:rPr>
                  </w:pPr>
                  <w:r>
                    <w:rPr>
                      <w:bCs/>
                      <w:szCs w:val="20"/>
                    </w:rPr>
                    <w:t>纺丝</w:t>
                  </w:r>
                </w:p>
              </w:tc>
              <w:tc>
                <w:tcPr>
                  <w:tcW w:w="1417" w:type="dxa"/>
                  <w:vAlign w:val="center"/>
                </w:tcPr>
                <w:p w14:paraId="4B2A3161">
                  <w:pPr>
                    <w:jc w:val="center"/>
                    <w:rPr>
                      <w:bCs/>
                      <w:szCs w:val="20"/>
                    </w:rPr>
                  </w:pPr>
                  <w:r>
                    <w:rPr>
                      <w:bCs/>
                      <w:szCs w:val="20"/>
                    </w:rPr>
                    <w:t>POY</w:t>
                  </w:r>
                </w:p>
              </w:tc>
              <w:tc>
                <w:tcPr>
                  <w:tcW w:w="3261" w:type="dxa"/>
                  <w:vMerge w:val="restart"/>
                  <w:vAlign w:val="center"/>
                </w:tcPr>
                <w:p w14:paraId="2CB53CF7">
                  <w:pPr>
                    <w:jc w:val="center"/>
                    <w:rPr>
                      <w:bCs/>
                      <w:szCs w:val="20"/>
                    </w:rPr>
                  </w:pPr>
                  <w:r>
                    <w:rPr>
                      <w:rFonts w:hint="eastAsia"/>
                      <w:bCs/>
                      <w:szCs w:val="20"/>
                    </w:rPr>
                    <w:t>一期项目成子河西侧厂区聚酯设施生产的聚酯熔体</w:t>
                  </w:r>
                </w:p>
              </w:tc>
              <w:tc>
                <w:tcPr>
                  <w:tcW w:w="1275" w:type="dxa"/>
                  <w:vAlign w:val="center"/>
                </w:tcPr>
                <w:p w14:paraId="3FF0AAB2">
                  <w:pPr>
                    <w:jc w:val="center"/>
                    <w:rPr>
                      <w:bCs/>
                      <w:szCs w:val="20"/>
                    </w:rPr>
                  </w:pPr>
                  <w:r>
                    <w:rPr>
                      <w:bCs/>
                      <w:szCs w:val="20"/>
                    </w:rPr>
                    <w:t>14.49</w:t>
                  </w:r>
                </w:p>
              </w:tc>
              <w:tc>
                <w:tcPr>
                  <w:tcW w:w="1353" w:type="dxa"/>
                  <w:vAlign w:val="center"/>
                </w:tcPr>
                <w:p w14:paraId="0ED135C6">
                  <w:pPr>
                    <w:jc w:val="center"/>
                    <w:rPr>
                      <w:rFonts w:eastAsia="等线"/>
                      <w:szCs w:val="21"/>
                    </w:rPr>
                  </w:pPr>
                  <w:r>
                    <w:rPr>
                      <w:rFonts w:eastAsia="等线"/>
                      <w:szCs w:val="21"/>
                    </w:rPr>
                    <w:t>10.4</w:t>
                  </w:r>
                </w:p>
              </w:tc>
            </w:tr>
            <w:tr w14:paraId="42AC10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341" w:type="dxa"/>
                  <w:vMerge w:val="continue"/>
                  <w:vAlign w:val="center"/>
                </w:tcPr>
                <w:p w14:paraId="67294E7E">
                  <w:pPr>
                    <w:jc w:val="center"/>
                    <w:rPr>
                      <w:bCs/>
                      <w:szCs w:val="20"/>
                    </w:rPr>
                  </w:pPr>
                </w:p>
              </w:tc>
              <w:tc>
                <w:tcPr>
                  <w:tcW w:w="1417" w:type="dxa"/>
                  <w:vAlign w:val="center"/>
                </w:tcPr>
                <w:p w14:paraId="36B51B6E">
                  <w:pPr>
                    <w:jc w:val="center"/>
                    <w:rPr>
                      <w:bCs/>
                      <w:szCs w:val="20"/>
                    </w:rPr>
                  </w:pPr>
                  <w:r>
                    <w:rPr>
                      <w:bCs/>
                      <w:szCs w:val="20"/>
                    </w:rPr>
                    <w:t>FDY</w:t>
                  </w:r>
                </w:p>
              </w:tc>
              <w:tc>
                <w:tcPr>
                  <w:tcW w:w="3261" w:type="dxa"/>
                  <w:vMerge w:val="continue"/>
                  <w:vAlign w:val="center"/>
                </w:tcPr>
                <w:p w14:paraId="5CEA14C4">
                  <w:pPr>
                    <w:jc w:val="center"/>
                    <w:rPr>
                      <w:bCs/>
                      <w:szCs w:val="20"/>
                    </w:rPr>
                  </w:pPr>
                </w:p>
              </w:tc>
              <w:tc>
                <w:tcPr>
                  <w:tcW w:w="1275" w:type="dxa"/>
                  <w:vAlign w:val="center"/>
                </w:tcPr>
                <w:p w14:paraId="1B2B79D3">
                  <w:pPr>
                    <w:jc w:val="center"/>
                    <w:rPr>
                      <w:bCs/>
                      <w:szCs w:val="20"/>
                    </w:rPr>
                  </w:pPr>
                  <w:r>
                    <w:rPr>
                      <w:bCs/>
                      <w:szCs w:val="20"/>
                    </w:rPr>
                    <w:t>10.51</w:t>
                  </w:r>
                </w:p>
              </w:tc>
              <w:tc>
                <w:tcPr>
                  <w:tcW w:w="1353" w:type="dxa"/>
                  <w:vAlign w:val="center"/>
                </w:tcPr>
                <w:p w14:paraId="6DED463A">
                  <w:pPr>
                    <w:jc w:val="center"/>
                    <w:rPr>
                      <w:rFonts w:eastAsia="等线"/>
                      <w:szCs w:val="21"/>
                    </w:rPr>
                  </w:pPr>
                  <w:r>
                    <w:rPr>
                      <w:rFonts w:eastAsia="等线"/>
                      <w:szCs w:val="21"/>
                    </w:rPr>
                    <w:t>9.6</w:t>
                  </w:r>
                </w:p>
              </w:tc>
            </w:tr>
            <w:tr w14:paraId="7CEA9C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44" w:hRule="atLeast"/>
                <w:jc w:val="center"/>
              </w:trPr>
              <w:tc>
                <w:tcPr>
                  <w:tcW w:w="341" w:type="dxa"/>
                  <w:vMerge w:val="continue"/>
                  <w:vAlign w:val="center"/>
                </w:tcPr>
                <w:p w14:paraId="5DF6CC3F">
                  <w:pPr>
                    <w:jc w:val="center"/>
                    <w:rPr>
                      <w:bCs/>
                      <w:szCs w:val="20"/>
                    </w:rPr>
                  </w:pPr>
                </w:p>
              </w:tc>
              <w:tc>
                <w:tcPr>
                  <w:tcW w:w="1417" w:type="dxa"/>
                  <w:vAlign w:val="center"/>
                </w:tcPr>
                <w:p w14:paraId="6006648D">
                  <w:pPr>
                    <w:jc w:val="center"/>
                    <w:rPr>
                      <w:bCs/>
                      <w:szCs w:val="20"/>
                    </w:rPr>
                  </w:pPr>
                  <w:r>
                    <w:rPr>
                      <w:bCs/>
                      <w:szCs w:val="20"/>
                    </w:rPr>
                    <w:t>BEY复合丝</w:t>
                  </w:r>
                </w:p>
              </w:tc>
              <w:tc>
                <w:tcPr>
                  <w:tcW w:w="3261" w:type="dxa"/>
                  <w:vMerge w:val="restart"/>
                  <w:vAlign w:val="center"/>
                </w:tcPr>
                <w:p w14:paraId="704C62FD">
                  <w:pPr>
                    <w:jc w:val="center"/>
                    <w:rPr>
                      <w:bCs/>
                      <w:szCs w:val="20"/>
                    </w:rPr>
                  </w:pPr>
                  <w:r>
                    <w:rPr>
                      <w:rFonts w:hint="eastAsia"/>
                      <w:bCs/>
                      <w:szCs w:val="20"/>
                    </w:rPr>
                    <w:t>外购PBT、PA6</w:t>
                  </w:r>
                  <w:r>
                    <w:rPr>
                      <w:bCs/>
                      <w:szCs w:val="20"/>
                    </w:rPr>
                    <w:t>切片</w:t>
                  </w:r>
                  <w:r>
                    <w:rPr>
                      <w:rFonts w:hint="eastAsia"/>
                      <w:bCs/>
                      <w:szCs w:val="20"/>
                    </w:rPr>
                    <w:t>及一期项目成子河西侧厂区聚酯设施生产的聚酯熔体</w:t>
                  </w:r>
                </w:p>
              </w:tc>
              <w:tc>
                <w:tcPr>
                  <w:tcW w:w="1275" w:type="dxa"/>
                  <w:vAlign w:val="center"/>
                </w:tcPr>
                <w:p w14:paraId="3D7E8816">
                  <w:pPr>
                    <w:jc w:val="center"/>
                    <w:rPr>
                      <w:bCs/>
                      <w:szCs w:val="20"/>
                    </w:rPr>
                  </w:pPr>
                  <w:r>
                    <w:rPr>
                      <w:bCs/>
                      <w:szCs w:val="20"/>
                    </w:rPr>
                    <w:t>/</w:t>
                  </w:r>
                </w:p>
              </w:tc>
              <w:tc>
                <w:tcPr>
                  <w:tcW w:w="1353" w:type="dxa"/>
                  <w:vAlign w:val="center"/>
                </w:tcPr>
                <w:p w14:paraId="3A37775A">
                  <w:pPr>
                    <w:jc w:val="center"/>
                    <w:rPr>
                      <w:rFonts w:eastAsia="等线"/>
                      <w:szCs w:val="21"/>
                    </w:rPr>
                  </w:pPr>
                  <w:r>
                    <w:rPr>
                      <w:rFonts w:eastAsia="等线"/>
                      <w:szCs w:val="21"/>
                    </w:rPr>
                    <w:t>6</w:t>
                  </w:r>
                </w:p>
              </w:tc>
            </w:tr>
            <w:tr w14:paraId="5D05BD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341" w:type="dxa"/>
                  <w:vMerge w:val="continue"/>
                  <w:vAlign w:val="center"/>
                </w:tcPr>
                <w:p w14:paraId="4F9012EA">
                  <w:pPr>
                    <w:jc w:val="center"/>
                    <w:rPr>
                      <w:bCs/>
                      <w:szCs w:val="20"/>
                    </w:rPr>
                  </w:pPr>
                </w:p>
              </w:tc>
              <w:tc>
                <w:tcPr>
                  <w:tcW w:w="1417" w:type="dxa"/>
                  <w:vAlign w:val="center"/>
                </w:tcPr>
                <w:p w14:paraId="65326C01">
                  <w:pPr>
                    <w:jc w:val="center"/>
                    <w:rPr>
                      <w:bCs/>
                      <w:szCs w:val="20"/>
                    </w:rPr>
                  </w:pPr>
                  <w:r>
                    <w:rPr>
                      <w:bCs/>
                      <w:szCs w:val="20"/>
                    </w:rPr>
                    <w:t>涤锦复合丝</w:t>
                  </w:r>
                </w:p>
              </w:tc>
              <w:tc>
                <w:tcPr>
                  <w:tcW w:w="3261" w:type="dxa"/>
                  <w:vMerge w:val="continue"/>
                  <w:vAlign w:val="center"/>
                </w:tcPr>
                <w:p w14:paraId="5A6649C3">
                  <w:pPr>
                    <w:jc w:val="center"/>
                    <w:rPr>
                      <w:bCs/>
                      <w:szCs w:val="20"/>
                    </w:rPr>
                  </w:pPr>
                </w:p>
              </w:tc>
              <w:tc>
                <w:tcPr>
                  <w:tcW w:w="1275" w:type="dxa"/>
                  <w:vAlign w:val="center"/>
                </w:tcPr>
                <w:p w14:paraId="2128B128">
                  <w:pPr>
                    <w:jc w:val="center"/>
                    <w:rPr>
                      <w:bCs/>
                      <w:szCs w:val="20"/>
                    </w:rPr>
                  </w:pPr>
                  <w:r>
                    <w:rPr>
                      <w:bCs/>
                      <w:szCs w:val="20"/>
                    </w:rPr>
                    <w:t>/</w:t>
                  </w:r>
                </w:p>
              </w:tc>
              <w:tc>
                <w:tcPr>
                  <w:tcW w:w="1353" w:type="dxa"/>
                  <w:vAlign w:val="center"/>
                </w:tcPr>
                <w:p w14:paraId="312113EA">
                  <w:pPr>
                    <w:jc w:val="center"/>
                    <w:rPr>
                      <w:rFonts w:eastAsia="等线"/>
                      <w:szCs w:val="21"/>
                    </w:rPr>
                  </w:pPr>
                  <w:r>
                    <w:rPr>
                      <w:rFonts w:eastAsia="等线"/>
                      <w:szCs w:val="21"/>
                    </w:rPr>
                    <w:t>4</w:t>
                  </w:r>
                </w:p>
              </w:tc>
            </w:tr>
          </w:tbl>
          <w:p w14:paraId="403CA6F1">
            <w:pPr>
              <w:pStyle w:val="77"/>
              <w:spacing w:line="240" w:lineRule="auto"/>
              <w:rPr>
                <w:bCs w:val="0"/>
                <w:szCs w:val="24"/>
              </w:rPr>
            </w:pPr>
            <w:r>
              <w:rPr>
                <w:bCs w:val="0"/>
                <w:szCs w:val="24"/>
              </w:rPr>
              <w:t>表2-</w:t>
            </w:r>
            <w:r>
              <w:rPr>
                <w:rFonts w:hint="eastAsia"/>
                <w:bCs w:val="0"/>
                <w:szCs w:val="24"/>
              </w:rPr>
              <w:t>5</w:t>
            </w:r>
            <w:r>
              <w:rPr>
                <w:bCs w:val="0"/>
                <w:szCs w:val="24"/>
              </w:rPr>
              <w:t xml:space="preserve"> 本项目建成后全厂产品及产能一览表</w:t>
            </w:r>
          </w:p>
          <w:tbl>
            <w:tblPr>
              <w:tblStyle w:val="4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70"/>
              <w:gridCol w:w="1439"/>
              <w:gridCol w:w="1195"/>
              <w:gridCol w:w="1381"/>
              <w:gridCol w:w="1197"/>
              <w:gridCol w:w="1544"/>
            </w:tblGrid>
            <w:tr w14:paraId="6473B9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2" w:hRule="atLeast"/>
                <w:tblHeader/>
                <w:jc w:val="center"/>
              </w:trPr>
              <w:tc>
                <w:tcPr>
                  <w:tcW w:w="738" w:type="pct"/>
                  <w:vAlign w:val="center"/>
                </w:tcPr>
                <w:p w14:paraId="71DD2F35">
                  <w:pPr>
                    <w:jc w:val="center"/>
                    <w:rPr>
                      <w:b/>
                      <w:szCs w:val="20"/>
                    </w:rPr>
                  </w:pPr>
                  <w:r>
                    <w:rPr>
                      <w:b/>
                      <w:szCs w:val="20"/>
                    </w:rPr>
                    <w:t>工艺</w:t>
                  </w:r>
                </w:p>
              </w:tc>
              <w:tc>
                <w:tcPr>
                  <w:tcW w:w="908" w:type="pct"/>
                  <w:vAlign w:val="center"/>
                </w:tcPr>
                <w:p w14:paraId="4D690548">
                  <w:pPr>
                    <w:jc w:val="center"/>
                    <w:rPr>
                      <w:b/>
                      <w:szCs w:val="20"/>
                    </w:rPr>
                  </w:pPr>
                  <w:r>
                    <w:rPr>
                      <w:b/>
                      <w:szCs w:val="20"/>
                    </w:rPr>
                    <w:t>中间品/产品</w:t>
                  </w:r>
                </w:p>
              </w:tc>
              <w:tc>
                <w:tcPr>
                  <w:tcW w:w="754" w:type="pct"/>
                  <w:vAlign w:val="center"/>
                </w:tcPr>
                <w:p w14:paraId="50FC6CE7">
                  <w:pPr>
                    <w:jc w:val="center"/>
                    <w:rPr>
                      <w:b/>
                      <w:szCs w:val="20"/>
                    </w:rPr>
                  </w:pPr>
                  <w:r>
                    <w:rPr>
                      <w:b/>
                      <w:szCs w:val="20"/>
                    </w:rPr>
                    <w:t>一期项目环评总规模(万吨/年)</w:t>
                  </w:r>
                </w:p>
              </w:tc>
              <w:tc>
                <w:tcPr>
                  <w:tcW w:w="871" w:type="pct"/>
                  <w:vAlign w:val="center"/>
                </w:tcPr>
                <w:p w14:paraId="7EEABA46">
                  <w:pPr>
                    <w:jc w:val="center"/>
                    <w:rPr>
                      <w:b/>
                      <w:szCs w:val="20"/>
                    </w:rPr>
                  </w:pPr>
                  <w:r>
                    <w:rPr>
                      <w:b/>
                      <w:szCs w:val="20"/>
                    </w:rPr>
                    <w:t>一期一阶段验收产能(万吨/年)</w:t>
                  </w:r>
                </w:p>
              </w:tc>
              <w:tc>
                <w:tcPr>
                  <w:tcW w:w="755" w:type="pct"/>
                  <w:shd w:val="clear" w:color="auto" w:fill="auto"/>
                  <w:vAlign w:val="center"/>
                </w:tcPr>
                <w:p w14:paraId="247DE6C2">
                  <w:pPr>
                    <w:jc w:val="center"/>
                    <w:rPr>
                      <w:b/>
                      <w:szCs w:val="20"/>
                    </w:rPr>
                  </w:pPr>
                  <w:r>
                    <w:rPr>
                      <w:b/>
                      <w:szCs w:val="20"/>
                    </w:rPr>
                    <w:t>二期、三期新增产能(万吨/年)</w:t>
                  </w:r>
                </w:p>
              </w:tc>
              <w:tc>
                <w:tcPr>
                  <w:tcW w:w="975" w:type="pct"/>
                  <w:vAlign w:val="center"/>
                </w:tcPr>
                <w:p w14:paraId="0D0A6FE7">
                  <w:pPr>
                    <w:jc w:val="center"/>
                    <w:rPr>
                      <w:b/>
                      <w:szCs w:val="20"/>
                    </w:rPr>
                  </w:pPr>
                  <w:r>
                    <w:rPr>
                      <w:b/>
                      <w:szCs w:val="20"/>
                    </w:rPr>
                    <w:t>一、二、三期建成后全厂产能</w:t>
                  </w:r>
                </w:p>
              </w:tc>
            </w:tr>
            <w:tr w14:paraId="570B7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738" w:type="pct"/>
                  <w:vAlign w:val="center"/>
                </w:tcPr>
                <w:p w14:paraId="468FE4AB">
                  <w:pPr>
                    <w:jc w:val="center"/>
                    <w:rPr>
                      <w:bCs/>
                      <w:szCs w:val="21"/>
                    </w:rPr>
                  </w:pPr>
                  <w:r>
                    <w:rPr>
                      <w:szCs w:val="21"/>
                    </w:rPr>
                    <w:t>聚酯</w:t>
                  </w:r>
                </w:p>
              </w:tc>
              <w:tc>
                <w:tcPr>
                  <w:tcW w:w="908" w:type="pct"/>
                  <w:vAlign w:val="center"/>
                </w:tcPr>
                <w:p w14:paraId="19445B00">
                  <w:pPr>
                    <w:jc w:val="center"/>
                    <w:rPr>
                      <w:bCs/>
                      <w:szCs w:val="20"/>
                    </w:rPr>
                  </w:pPr>
                  <w:r>
                    <w:rPr>
                      <w:bCs/>
                      <w:szCs w:val="20"/>
                    </w:rPr>
                    <w:t>PET聚酯熔体</w:t>
                  </w:r>
                </w:p>
              </w:tc>
              <w:tc>
                <w:tcPr>
                  <w:tcW w:w="754" w:type="pct"/>
                  <w:vAlign w:val="center"/>
                </w:tcPr>
                <w:p w14:paraId="6E63D189">
                  <w:pPr>
                    <w:jc w:val="center"/>
                    <w:rPr>
                      <w:bCs/>
                      <w:szCs w:val="20"/>
                    </w:rPr>
                  </w:pPr>
                  <w:r>
                    <w:rPr>
                      <w:bCs/>
                      <w:szCs w:val="20"/>
                    </w:rPr>
                    <w:t>300</w:t>
                  </w:r>
                </w:p>
              </w:tc>
              <w:tc>
                <w:tcPr>
                  <w:tcW w:w="871" w:type="pct"/>
                  <w:vAlign w:val="center"/>
                </w:tcPr>
                <w:p w14:paraId="066A5A00">
                  <w:pPr>
                    <w:jc w:val="center"/>
                    <w:rPr>
                      <w:bCs/>
                      <w:szCs w:val="20"/>
                    </w:rPr>
                  </w:pPr>
                  <w:r>
                    <w:rPr>
                      <w:rFonts w:eastAsia="等线"/>
                      <w:szCs w:val="21"/>
                    </w:rPr>
                    <w:t>50</w:t>
                  </w:r>
                </w:p>
              </w:tc>
              <w:tc>
                <w:tcPr>
                  <w:tcW w:w="755" w:type="pct"/>
                  <w:shd w:val="clear" w:color="auto" w:fill="auto"/>
                  <w:vAlign w:val="center"/>
                </w:tcPr>
                <w:p w14:paraId="078B309D">
                  <w:pPr>
                    <w:jc w:val="center"/>
                    <w:rPr>
                      <w:bCs/>
                      <w:szCs w:val="20"/>
                    </w:rPr>
                  </w:pPr>
                  <w:r>
                    <w:rPr>
                      <w:bCs/>
                      <w:szCs w:val="20"/>
                    </w:rPr>
                    <w:t>0</w:t>
                  </w:r>
                </w:p>
              </w:tc>
              <w:tc>
                <w:tcPr>
                  <w:tcW w:w="975" w:type="pct"/>
                  <w:vAlign w:val="center"/>
                </w:tcPr>
                <w:p w14:paraId="01D4AD5D">
                  <w:pPr>
                    <w:jc w:val="center"/>
                    <w:rPr>
                      <w:rFonts w:eastAsia="等线"/>
                      <w:szCs w:val="21"/>
                    </w:rPr>
                  </w:pPr>
                  <w:r>
                    <w:rPr>
                      <w:rFonts w:eastAsia="等线"/>
                      <w:szCs w:val="21"/>
                    </w:rPr>
                    <w:t>300</w:t>
                  </w:r>
                </w:p>
              </w:tc>
            </w:tr>
            <w:tr w14:paraId="6DFD6B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738" w:type="pct"/>
                  <w:vMerge w:val="restart"/>
                  <w:vAlign w:val="center"/>
                </w:tcPr>
                <w:p w14:paraId="6CE1DC93">
                  <w:pPr>
                    <w:jc w:val="center"/>
                    <w:rPr>
                      <w:bCs/>
                      <w:szCs w:val="20"/>
                    </w:rPr>
                  </w:pPr>
                  <w:r>
                    <w:rPr>
                      <w:bCs/>
                      <w:szCs w:val="20"/>
                    </w:rPr>
                    <w:t>纺丝</w:t>
                  </w:r>
                </w:p>
              </w:tc>
              <w:tc>
                <w:tcPr>
                  <w:tcW w:w="908" w:type="pct"/>
                  <w:vAlign w:val="center"/>
                </w:tcPr>
                <w:p w14:paraId="2FD7E6DE">
                  <w:pPr>
                    <w:jc w:val="center"/>
                    <w:rPr>
                      <w:bCs/>
                      <w:szCs w:val="20"/>
                    </w:rPr>
                  </w:pPr>
                  <w:r>
                    <w:rPr>
                      <w:bCs/>
                      <w:szCs w:val="20"/>
                    </w:rPr>
                    <w:t>POY</w:t>
                  </w:r>
                </w:p>
              </w:tc>
              <w:tc>
                <w:tcPr>
                  <w:tcW w:w="754" w:type="pct"/>
                  <w:vAlign w:val="center"/>
                </w:tcPr>
                <w:p w14:paraId="08C0A90B">
                  <w:pPr>
                    <w:jc w:val="center"/>
                    <w:rPr>
                      <w:bCs/>
                      <w:szCs w:val="20"/>
                    </w:rPr>
                  </w:pPr>
                  <w:r>
                    <w:rPr>
                      <w:bCs/>
                      <w:szCs w:val="20"/>
                    </w:rPr>
                    <w:t>227</w:t>
                  </w:r>
                </w:p>
              </w:tc>
              <w:tc>
                <w:tcPr>
                  <w:tcW w:w="871" w:type="pct"/>
                  <w:vAlign w:val="center"/>
                </w:tcPr>
                <w:p w14:paraId="6221CF07">
                  <w:pPr>
                    <w:jc w:val="center"/>
                    <w:rPr>
                      <w:bCs/>
                      <w:szCs w:val="20"/>
                    </w:rPr>
                  </w:pPr>
                  <w:r>
                    <w:rPr>
                      <w:rFonts w:eastAsia="等线"/>
                      <w:szCs w:val="21"/>
                    </w:rPr>
                    <w:t>44</w:t>
                  </w:r>
                </w:p>
              </w:tc>
              <w:tc>
                <w:tcPr>
                  <w:tcW w:w="755" w:type="pct"/>
                  <w:shd w:val="clear" w:color="auto" w:fill="auto"/>
                  <w:vAlign w:val="center"/>
                </w:tcPr>
                <w:p w14:paraId="7802D8B6">
                  <w:pPr>
                    <w:jc w:val="center"/>
                    <w:rPr>
                      <w:bCs/>
                      <w:szCs w:val="20"/>
                    </w:rPr>
                  </w:pPr>
                  <w:r>
                    <w:rPr>
                      <w:bCs/>
                      <w:szCs w:val="20"/>
                    </w:rPr>
                    <w:t>24.89</w:t>
                  </w:r>
                </w:p>
              </w:tc>
              <w:tc>
                <w:tcPr>
                  <w:tcW w:w="975" w:type="pct"/>
                  <w:vMerge w:val="restart"/>
                  <w:vAlign w:val="center"/>
                </w:tcPr>
                <w:p w14:paraId="2040B8C7">
                  <w:pPr>
                    <w:jc w:val="center"/>
                    <w:rPr>
                      <w:rFonts w:eastAsia="等线"/>
                      <w:szCs w:val="21"/>
                    </w:rPr>
                  </w:pPr>
                  <w:r>
                    <w:rPr>
                      <w:rFonts w:eastAsia="等线"/>
                      <w:szCs w:val="21"/>
                    </w:rPr>
                    <w:t>305</w:t>
                  </w:r>
                  <w:r>
                    <w:rPr>
                      <w:rFonts w:hint="eastAsia" w:eastAsia="等线"/>
                      <w:szCs w:val="21"/>
                    </w:rPr>
                    <w:t>*</w:t>
                  </w:r>
                </w:p>
              </w:tc>
            </w:tr>
            <w:tr w14:paraId="4695B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738" w:type="pct"/>
                  <w:vMerge w:val="continue"/>
                  <w:vAlign w:val="center"/>
                </w:tcPr>
                <w:p w14:paraId="2E02C938">
                  <w:pPr>
                    <w:jc w:val="center"/>
                    <w:rPr>
                      <w:bCs/>
                      <w:szCs w:val="20"/>
                    </w:rPr>
                  </w:pPr>
                </w:p>
              </w:tc>
              <w:tc>
                <w:tcPr>
                  <w:tcW w:w="908" w:type="pct"/>
                  <w:vAlign w:val="center"/>
                </w:tcPr>
                <w:p w14:paraId="3BEE3E17">
                  <w:pPr>
                    <w:jc w:val="center"/>
                    <w:rPr>
                      <w:bCs/>
                      <w:szCs w:val="20"/>
                    </w:rPr>
                  </w:pPr>
                  <w:r>
                    <w:rPr>
                      <w:bCs/>
                      <w:szCs w:val="20"/>
                    </w:rPr>
                    <w:t>FDY</w:t>
                  </w:r>
                </w:p>
              </w:tc>
              <w:tc>
                <w:tcPr>
                  <w:tcW w:w="754" w:type="pct"/>
                  <w:vAlign w:val="center"/>
                </w:tcPr>
                <w:p w14:paraId="3DD0BC8A">
                  <w:pPr>
                    <w:jc w:val="center"/>
                    <w:rPr>
                      <w:bCs/>
                      <w:szCs w:val="20"/>
                    </w:rPr>
                  </w:pPr>
                  <w:r>
                    <w:rPr>
                      <w:bCs/>
                      <w:szCs w:val="20"/>
                    </w:rPr>
                    <w:t>73</w:t>
                  </w:r>
                </w:p>
              </w:tc>
              <w:tc>
                <w:tcPr>
                  <w:tcW w:w="871" w:type="pct"/>
                  <w:vAlign w:val="center"/>
                </w:tcPr>
                <w:p w14:paraId="0BDDDF37">
                  <w:pPr>
                    <w:jc w:val="center"/>
                    <w:rPr>
                      <w:bCs/>
                      <w:szCs w:val="20"/>
                    </w:rPr>
                  </w:pPr>
                  <w:r>
                    <w:rPr>
                      <w:rFonts w:eastAsia="等线"/>
                      <w:szCs w:val="21"/>
                    </w:rPr>
                    <w:t>6</w:t>
                  </w:r>
                </w:p>
              </w:tc>
              <w:tc>
                <w:tcPr>
                  <w:tcW w:w="755" w:type="pct"/>
                  <w:shd w:val="clear" w:color="auto" w:fill="auto"/>
                  <w:vAlign w:val="center"/>
                </w:tcPr>
                <w:p w14:paraId="0D87DBFB">
                  <w:pPr>
                    <w:jc w:val="center"/>
                    <w:rPr>
                      <w:bCs/>
                      <w:szCs w:val="20"/>
                    </w:rPr>
                  </w:pPr>
                  <w:r>
                    <w:rPr>
                      <w:bCs/>
                      <w:szCs w:val="20"/>
                    </w:rPr>
                    <w:t>20.11</w:t>
                  </w:r>
                </w:p>
              </w:tc>
              <w:tc>
                <w:tcPr>
                  <w:tcW w:w="975" w:type="pct"/>
                  <w:vMerge w:val="continue"/>
                  <w:vAlign w:val="center"/>
                </w:tcPr>
                <w:p w14:paraId="300EE5E1">
                  <w:pPr>
                    <w:jc w:val="center"/>
                    <w:rPr>
                      <w:rFonts w:eastAsia="等线"/>
                      <w:szCs w:val="21"/>
                    </w:rPr>
                  </w:pPr>
                </w:p>
              </w:tc>
            </w:tr>
            <w:tr w14:paraId="5EDA70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738" w:type="pct"/>
                  <w:vMerge w:val="continue"/>
                  <w:vAlign w:val="center"/>
                </w:tcPr>
                <w:p w14:paraId="798D427D">
                  <w:pPr>
                    <w:jc w:val="center"/>
                    <w:rPr>
                      <w:bCs/>
                      <w:szCs w:val="20"/>
                    </w:rPr>
                  </w:pPr>
                </w:p>
              </w:tc>
              <w:tc>
                <w:tcPr>
                  <w:tcW w:w="908" w:type="pct"/>
                  <w:vAlign w:val="center"/>
                </w:tcPr>
                <w:p w14:paraId="3B3CA2BB">
                  <w:pPr>
                    <w:jc w:val="center"/>
                    <w:rPr>
                      <w:bCs/>
                      <w:szCs w:val="20"/>
                    </w:rPr>
                  </w:pPr>
                  <w:r>
                    <w:rPr>
                      <w:bCs/>
                      <w:szCs w:val="20"/>
                    </w:rPr>
                    <w:t>BEY</w:t>
                  </w:r>
                </w:p>
              </w:tc>
              <w:tc>
                <w:tcPr>
                  <w:tcW w:w="754" w:type="pct"/>
                  <w:vAlign w:val="center"/>
                </w:tcPr>
                <w:p w14:paraId="203BBA60">
                  <w:pPr>
                    <w:jc w:val="center"/>
                    <w:rPr>
                      <w:bCs/>
                      <w:szCs w:val="20"/>
                    </w:rPr>
                  </w:pPr>
                  <w:r>
                    <w:rPr>
                      <w:bCs/>
                      <w:szCs w:val="20"/>
                    </w:rPr>
                    <w:t>/</w:t>
                  </w:r>
                </w:p>
              </w:tc>
              <w:tc>
                <w:tcPr>
                  <w:tcW w:w="871" w:type="pct"/>
                  <w:vAlign w:val="center"/>
                </w:tcPr>
                <w:p w14:paraId="2E69B191">
                  <w:pPr>
                    <w:jc w:val="center"/>
                    <w:rPr>
                      <w:bCs/>
                      <w:szCs w:val="20"/>
                    </w:rPr>
                  </w:pPr>
                  <w:r>
                    <w:rPr>
                      <w:bCs/>
                      <w:szCs w:val="20"/>
                    </w:rPr>
                    <w:t>/</w:t>
                  </w:r>
                </w:p>
              </w:tc>
              <w:tc>
                <w:tcPr>
                  <w:tcW w:w="755" w:type="pct"/>
                  <w:shd w:val="clear" w:color="auto" w:fill="auto"/>
                  <w:vAlign w:val="center"/>
                </w:tcPr>
                <w:p w14:paraId="210F0E17">
                  <w:pPr>
                    <w:jc w:val="center"/>
                    <w:rPr>
                      <w:bCs/>
                      <w:szCs w:val="20"/>
                    </w:rPr>
                  </w:pPr>
                  <w:r>
                    <w:rPr>
                      <w:bCs/>
                      <w:szCs w:val="20"/>
                    </w:rPr>
                    <w:t>6</w:t>
                  </w:r>
                </w:p>
              </w:tc>
              <w:tc>
                <w:tcPr>
                  <w:tcW w:w="975" w:type="pct"/>
                  <w:vMerge w:val="continue"/>
                  <w:vAlign w:val="center"/>
                </w:tcPr>
                <w:p w14:paraId="599C5E4C">
                  <w:pPr>
                    <w:jc w:val="center"/>
                    <w:rPr>
                      <w:rFonts w:eastAsia="等线"/>
                      <w:szCs w:val="21"/>
                    </w:rPr>
                  </w:pPr>
                </w:p>
              </w:tc>
            </w:tr>
            <w:tr w14:paraId="07610E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738" w:type="pct"/>
                  <w:vMerge w:val="continue"/>
                  <w:vAlign w:val="center"/>
                </w:tcPr>
                <w:p w14:paraId="7D1D0DD0">
                  <w:pPr>
                    <w:jc w:val="center"/>
                    <w:rPr>
                      <w:bCs/>
                      <w:szCs w:val="20"/>
                    </w:rPr>
                  </w:pPr>
                </w:p>
              </w:tc>
              <w:tc>
                <w:tcPr>
                  <w:tcW w:w="908" w:type="pct"/>
                  <w:vAlign w:val="center"/>
                </w:tcPr>
                <w:p w14:paraId="5EA7EC08">
                  <w:pPr>
                    <w:jc w:val="center"/>
                    <w:rPr>
                      <w:bCs/>
                      <w:szCs w:val="20"/>
                    </w:rPr>
                  </w:pPr>
                  <w:r>
                    <w:rPr>
                      <w:bCs/>
                      <w:szCs w:val="20"/>
                    </w:rPr>
                    <w:t>涤锦</w:t>
                  </w:r>
                </w:p>
              </w:tc>
              <w:tc>
                <w:tcPr>
                  <w:tcW w:w="754" w:type="pct"/>
                  <w:vAlign w:val="center"/>
                </w:tcPr>
                <w:p w14:paraId="6B16D854">
                  <w:pPr>
                    <w:jc w:val="center"/>
                    <w:rPr>
                      <w:bCs/>
                      <w:szCs w:val="20"/>
                    </w:rPr>
                  </w:pPr>
                  <w:r>
                    <w:rPr>
                      <w:bCs/>
                      <w:szCs w:val="20"/>
                    </w:rPr>
                    <w:t>/</w:t>
                  </w:r>
                </w:p>
              </w:tc>
              <w:tc>
                <w:tcPr>
                  <w:tcW w:w="871" w:type="pct"/>
                  <w:vAlign w:val="center"/>
                </w:tcPr>
                <w:p w14:paraId="6675FE28">
                  <w:pPr>
                    <w:jc w:val="center"/>
                    <w:rPr>
                      <w:bCs/>
                      <w:szCs w:val="20"/>
                    </w:rPr>
                  </w:pPr>
                  <w:r>
                    <w:rPr>
                      <w:bCs/>
                      <w:szCs w:val="20"/>
                    </w:rPr>
                    <w:t>/</w:t>
                  </w:r>
                </w:p>
              </w:tc>
              <w:tc>
                <w:tcPr>
                  <w:tcW w:w="755" w:type="pct"/>
                  <w:shd w:val="clear" w:color="auto" w:fill="auto"/>
                  <w:vAlign w:val="center"/>
                </w:tcPr>
                <w:p w14:paraId="51E8493F">
                  <w:pPr>
                    <w:jc w:val="center"/>
                    <w:rPr>
                      <w:bCs/>
                      <w:szCs w:val="20"/>
                    </w:rPr>
                  </w:pPr>
                  <w:r>
                    <w:rPr>
                      <w:bCs/>
                      <w:szCs w:val="20"/>
                    </w:rPr>
                    <w:t>4</w:t>
                  </w:r>
                </w:p>
              </w:tc>
              <w:tc>
                <w:tcPr>
                  <w:tcW w:w="975" w:type="pct"/>
                  <w:vMerge w:val="continue"/>
                  <w:vAlign w:val="center"/>
                </w:tcPr>
                <w:p w14:paraId="574EDC2A">
                  <w:pPr>
                    <w:jc w:val="center"/>
                    <w:rPr>
                      <w:rFonts w:eastAsia="等线"/>
                      <w:szCs w:val="21"/>
                    </w:rPr>
                  </w:pPr>
                </w:p>
              </w:tc>
            </w:tr>
            <w:tr w14:paraId="6C3B33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738" w:type="pct"/>
                  <w:vAlign w:val="center"/>
                </w:tcPr>
                <w:p w14:paraId="3180A1C4">
                  <w:pPr>
                    <w:jc w:val="center"/>
                    <w:rPr>
                      <w:bCs/>
                      <w:szCs w:val="20"/>
                    </w:rPr>
                  </w:pPr>
                  <w:r>
                    <w:rPr>
                      <w:bCs/>
                      <w:szCs w:val="20"/>
                    </w:rPr>
                    <w:t>加弹</w:t>
                  </w:r>
                </w:p>
              </w:tc>
              <w:tc>
                <w:tcPr>
                  <w:tcW w:w="908" w:type="pct"/>
                  <w:vAlign w:val="center"/>
                </w:tcPr>
                <w:p w14:paraId="2ECA9BE5">
                  <w:pPr>
                    <w:jc w:val="center"/>
                    <w:rPr>
                      <w:bCs/>
                      <w:szCs w:val="20"/>
                    </w:rPr>
                  </w:pPr>
                  <w:r>
                    <w:rPr>
                      <w:bCs/>
                      <w:szCs w:val="20"/>
                    </w:rPr>
                    <w:t>785条DTY</w:t>
                  </w:r>
                </w:p>
              </w:tc>
              <w:tc>
                <w:tcPr>
                  <w:tcW w:w="754" w:type="pct"/>
                  <w:vAlign w:val="center"/>
                </w:tcPr>
                <w:p w14:paraId="2DCB62CE">
                  <w:pPr>
                    <w:jc w:val="center"/>
                    <w:rPr>
                      <w:bCs/>
                      <w:szCs w:val="20"/>
                    </w:rPr>
                  </w:pPr>
                  <w:r>
                    <w:rPr>
                      <w:bCs/>
                      <w:szCs w:val="20"/>
                    </w:rPr>
                    <w:t>145.5</w:t>
                  </w:r>
                </w:p>
              </w:tc>
              <w:tc>
                <w:tcPr>
                  <w:tcW w:w="871" w:type="pct"/>
                  <w:vAlign w:val="center"/>
                </w:tcPr>
                <w:p w14:paraId="6E9A3EAB">
                  <w:pPr>
                    <w:jc w:val="center"/>
                    <w:rPr>
                      <w:bCs/>
                      <w:szCs w:val="20"/>
                    </w:rPr>
                  </w:pPr>
                  <w:r>
                    <w:rPr>
                      <w:bCs/>
                      <w:szCs w:val="20"/>
                    </w:rPr>
                    <w:t>/</w:t>
                  </w:r>
                </w:p>
              </w:tc>
              <w:tc>
                <w:tcPr>
                  <w:tcW w:w="755" w:type="pct"/>
                  <w:shd w:val="clear" w:color="auto" w:fill="auto"/>
                  <w:vAlign w:val="center"/>
                </w:tcPr>
                <w:p w14:paraId="28ABBEFA">
                  <w:pPr>
                    <w:jc w:val="center"/>
                    <w:rPr>
                      <w:bCs/>
                      <w:szCs w:val="20"/>
                    </w:rPr>
                  </w:pPr>
                  <w:r>
                    <w:rPr>
                      <w:bCs/>
                      <w:szCs w:val="20"/>
                    </w:rPr>
                    <w:t>/</w:t>
                  </w:r>
                </w:p>
              </w:tc>
              <w:tc>
                <w:tcPr>
                  <w:tcW w:w="975" w:type="pct"/>
                  <w:vAlign w:val="center"/>
                </w:tcPr>
                <w:p w14:paraId="5FCA3AB6">
                  <w:pPr>
                    <w:jc w:val="center"/>
                    <w:rPr>
                      <w:bCs/>
                      <w:szCs w:val="20"/>
                    </w:rPr>
                  </w:pPr>
                  <w:r>
                    <w:rPr>
                      <w:bCs/>
                      <w:szCs w:val="20"/>
                    </w:rPr>
                    <w:t>145.5</w:t>
                  </w:r>
                </w:p>
              </w:tc>
            </w:tr>
          </w:tbl>
          <w:p w14:paraId="362C1359">
            <w:pPr>
              <w:pStyle w:val="77"/>
              <w:spacing w:line="240" w:lineRule="auto"/>
              <w:jc w:val="left"/>
              <w:rPr>
                <w:b w:val="0"/>
                <w:sz w:val="21"/>
                <w:szCs w:val="21"/>
              </w:rPr>
            </w:pPr>
            <w:r>
              <w:rPr>
                <w:rFonts w:hint="eastAsia"/>
                <w:b w:val="0"/>
                <w:sz w:val="21"/>
                <w:szCs w:val="21"/>
              </w:rPr>
              <w:t>注：*一期项目中原纺丝车间2（50万吨/年纺丝产能）不再建设。</w:t>
            </w:r>
          </w:p>
          <w:p w14:paraId="312ADA5C">
            <w:pPr>
              <w:pStyle w:val="77"/>
              <w:spacing w:line="240" w:lineRule="auto"/>
              <w:jc w:val="left"/>
              <w:rPr>
                <w:b w:val="0"/>
                <w:sz w:val="21"/>
                <w:szCs w:val="21"/>
              </w:rPr>
            </w:pPr>
          </w:p>
          <w:p w14:paraId="53EF1945">
            <w:pPr>
              <w:pStyle w:val="76"/>
              <w:spacing w:line="240" w:lineRule="auto"/>
              <w:ind w:firstLine="0" w:firstLineChars="0"/>
              <w:jc w:val="center"/>
              <w:rPr>
                <w:b/>
              </w:rPr>
            </w:pPr>
            <w:r>
              <w:rPr>
                <w:b/>
                <w:bCs/>
              </w:rPr>
              <w:t>表2-</w:t>
            </w:r>
            <w:r>
              <w:rPr>
                <w:rFonts w:hint="eastAsia"/>
                <w:b/>
                <w:bCs/>
              </w:rPr>
              <w:t>6</w:t>
            </w:r>
            <w:r>
              <w:rPr>
                <w:b/>
                <w:bCs/>
              </w:rPr>
              <w:t xml:space="preserve"> </w:t>
            </w:r>
            <w:r>
              <w:rPr>
                <w:b/>
              </w:rPr>
              <w:t>POY、FDY、BEY产品方案</w:t>
            </w:r>
          </w:p>
          <w:tbl>
            <w:tblPr>
              <w:tblStyle w:val="29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4"/>
              <w:gridCol w:w="610"/>
              <w:gridCol w:w="523"/>
              <w:gridCol w:w="1064"/>
              <w:gridCol w:w="1919"/>
              <w:gridCol w:w="524"/>
              <w:gridCol w:w="1165"/>
              <w:gridCol w:w="986"/>
              <w:gridCol w:w="611"/>
            </w:tblGrid>
            <w:tr w14:paraId="41C64C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0" w:hRule="atLeast"/>
                <w:tblHeader/>
                <w:jc w:val="center"/>
              </w:trPr>
              <w:tc>
                <w:tcPr>
                  <w:tcW w:w="332" w:type="pct"/>
                  <w:tcBorders>
                    <w:bottom w:val="single" w:color="000000" w:sz="6" w:space="0"/>
                    <w:right w:val="single" w:color="000000" w:sz="6" w:space="0"/>
                    <w:insideH w:val="single" w:sz="6" w:space="0"/>
                    <w:insideV w:val="single" w:sz="6" w:space="0"/>
                    <w:tl2br w:val="nil"/>
                    <w:tr2bl w:val="nil"/>
                  </w:tcBorders>
                  <w:shd w:val="clear" w:color="auto" w:fill="auto"/>
                  <w:noWrap/>
                  <w:vAlign w:val="center"/>
                </w:tcPr>
                <w:p w14:paraId="16A9410A">
                  <w:pPr>
                    <w:keepNext/>
                    <w:keepLines w:val="0"/>
                    <w:pageBreakBefore w:val="0"/>
                    <w:widowControl/>
                    <w:suppressLineNumbers w:val="0"/>
                    <w:suppressAutoHyphens w:val="0"/>
                    <w:wordWrap/>
                    <w:adjustRightInd w:val="0"/>
                    <w:snapToGrid w:val="0"/>
                    <w:jc w:val="center"/>
                    <w:textAlignment w:val="baseline"/>
                    <w:rPr>
                      <w:rFonts w:ascii="Times New Roman" w:hAnsi="Times New Roman" w:eastAsia="宋体"/>
                      <w:b/>
                      <w:bCs/>
                      <w:i w:val="0"/>
                      <w:iCs/>
                      <w:kern w:val="0"/>
                      <w:szCs w:val="21"/>
                    </w:rPr>
                  </w:pPr>
                  <w:r>
                    <w:rPr>
                      <w:rFonts w:ascii="Times New Roman" w:hAnsi="Times New Roman" w:eastAsia="宋体"/>
                      <w:b/>
                      <w:bCs/>
                      <w:i w:val="0"/>
                      <w:iCs/>
                      <w:szCs w:val="21"/>
                    </w:rPr>
                    <w:t>项目</w:t>
                  </w:r>
                </w:p>
              </w:tc>
              <w:tc>
                <w:tcPr>
                  <w:tcW w:w="719" w:type="pct"/>
                  <w:gridSpan w:val="2"/>
                  <w:tcBorders>
                    <w:bottom w:val="single" w:color="000000" w:sz="6" w:space="0"/>
                    <w:insideH w:val="single" w:sz="6" w:space="0"/>
                  </w:tcBorders>
                  <w:shd w:val="clear" w:color="auto" w:fill="auto"/>
                  <w:noWrap/>
                  <w:vAlign w:val="center"/>
                </w:tcPr>
                <w:p w14:paraId="7630CF5B">
                  <w:pPr>
                    <w:keepNext/>
                    <w:keepLines w:val="0"/>
                    <w:pageBreakBefore w:val="0"/>
                    <w:widowControl/>
                    <w:suppressLineNumbers w:val="0"/>
                    <w:suppressAutoHyphens w:val="0"/>
                    <w:wordWrap/>
                    <w:adjustRightInd w:val="0"/>
                    <w:snapToGrid w:val="0"/>
                    <w:jc w:val="center"/>
                    <w:textAlignment w:val="baseline"/>
                    <w:rPr>
                      <w:rFonts w:ascii="Times New Roman" w:hAnsi="Times New Roman" w:eastAsia="宋体"/>
                      <w:b/>
                      <w:bCs/>
                      <w:i w:val="0"/>
                      <w:iCs/>
                      <w:kern w:val="0"/>
                      <w:szCs w:val="21"/>
                    </w:rPr>
                  </w:pPr>
                  <w:r>
                    <w:rPr>
                      <w:rFonts w:ascii="Times New Roman" w:hAnsi="Times New Roman" w:eastAsia="宋体"/>
                      <w:b/>
                      <w:bCs/>
                      <w:i w:val="0"/>
                      <w:iCs/>
                      <w:kern w:val="0"/>
                      <w:szCs w:val="21"/>
                    </w:rPr>
                    <w:t>产品品种</w:t>
                  </w:r>
                </w:p>
              </w:tc>
              <w:tc>
                <w:tcPr>
                  <w:tcW w:w="670" w:type="pct"/>
                  <w:tcBorders>
                    <w:bottom w:val="single" w:color="000000" w:sz="6" w:space="0"/>
                    <w:insideH w:val="single" w:sz="6" w:space="0"/>
                  </w:tcBorders>
                  <w:shd w:val="clear" w:color="auto" w:fill="auto"/>
                  <w:noWrap/>
                  <w:vAlign w:val="center"/>
                </w:tcPr>
                <w:p w14:paraId="498FD523">
                  <w:pPr>
                    <w:keepNext/>
                    <w:keepLines w:val="0"/>
                    <w:pageBreakBefore w:val="0"/>
                    <w:widowControl/>
                    <w:suppressLineNumbers w:val="0"/>
                    <w:suppressAutoHyphens w:val="0"/>
                    <w:wordWrap/>
                    <w:adjustRightInd w:val="0"/>
                    <w:snapToGrid w:val="0"/>
                    <w:jc w:val="center"/>
                    <w:textAlignment w:val="baseline"/>
                    <w:rPr>
                      <w:rFonts w:ascii="Times New Roman" w:hAnsi="Times New Roman" w:eastAsia="宋体"/>
                      <w:b/>
                      <w:bCs/>
                      <w:i w:val="0"/>
                      <w:iCs/>
                      <w:kern w:val="0"/>
                      <w:szCs w:val="21"/>
                    </w:rPr>
                  </w:pPr>
                  <w:r>
                    <w:rPr>
                      <w:rFonts w:ascii="Times New Roman" w:hAnsi="Times New Roman" w:eastAsia="宋体"/>
                      <w:b/>
                      <w:bCs/>
                      <w:i w:val="0"/>
                      <w:iCs/>
                      <w:kern w:val="0"/>
                      <w:szCs w:val="21"/>
                    </w:rPr>
                    <w:t>产品规格</w:t>
                  </w:r>
                </w:p>
              </w:tc>
              <w:tc>
                <w:tcPr>
                  <w:tcW w:w="1005" w:type="pct"/>
                  <w:tcBorders>
                    <w:bottom w:val="single" w:color="000000" w:sz="6" w:space="0"/>
                    <w:insideH w:val="single" w:sz="6" w:space="0"/>
                  </w:tcBorders>
                  <w:shd w:val="clear" w:color="auto" w:fill="auto"/>
                  <w:noWrap/>
                  <w:vAlign w:val="center"/>
                </w:tcPr>
                <w:p w14:paraId="2DF07BF4">
                  <w:pPr>
                    <w:keepNext/>
                    <w:keepLines w:val="0"/>
                    <w:pageBreakBefore w:val="0"/>
                    <w:widowControl/>
                    <w:suppressLineNumbers w:val="0"/>
                    <w:suppressAutoHyphens w:val="0"/>
                    <w:wordWrap/>
                    <w:adjustRightInd w:val="0"/>
                    <w:snapToGrid w:val="0"/>
                    <w:jc w:val="center"/>
                    <w:textAlignment w:val="baseline"/>
                    <w:rPr>
                      <w:rFonts w:ascii="Times New Roman" w:hAnsi="Times New Roman" w:eastAsia="宋体"/>
                      <w:b/>
                      <w:bCs/>
                      <w:i w:val="0"/>
                      <w:iCs/>
                      <w:kern w:val="0"/>
                      <w:szCs w:val="21"/>
                    </w:rPr>
                  </w:pPr>
                  <w:r>
                    <w:rPr>
                      <w:rFonts w:ascii="Times New Roman" w:hAnsi="Times New Roman" w:eastAsia="宋体"/>
                      <w:b/>
                      <w:bCs/>
                      <w:i w:val="0"/>
                      <w:iCs/>
                      <w:kern w:val="0"/>
                      <w:szCs w:val="21"/>
                    </w:rPr>
                    <w:t>生产线</w:t>
                  </w:r>
                </w:p>
              </w:tc>
              <w:tc>
                <w:tcPr>
                  <w:tcW w:w="532" w:type="pct"/>
                  <w:tcBorders>
                    <w:bottom w:val="single" w:color="000000" w:sz="6" w:space="0"/>
                    <w:insideH w:val="single" w:sz="6" w:space="0"/>
                  </w:tcBorders>
                  <w:shd w:val="clear" w:color="auto" w:fill="auto"/>
                  <w:noWrap/>
                  <w:vAlign w:val="center"/>
                </w:tcPr>
                <w:p w14:paraId="7DD00A1E">
                  <w:pPr>
                    <w:keepNext/>
                    <w:keepLines w:val="0"/>
                    <w:pageBreakBefore w:val="0"/>
                    <w:widowControl/>
                    <w:suppressLineNumbers w:val="0"/>
                    <w:suppressAutoHyphens w:val="0"/>
                    <w:wordWrap/>
                    <w:adjustRightInd w:val="0"/>
                    <w:snapToGrid w:val="0"/>
                    <w:jc w:val="center"/>
                    <w:textAlignment w:val="baseline"/>
                    <w:rPr>
                      <w:rFonts w:ascii="Times New Roman" w:hAnsi="Times New Roman" w:eastAsia="宋体"/>
                      <w:b/>
                      <w:bCs/>
                      <w:i w:val="0"/>
                      <w:iCs/>
                      <w:kern w:val="0"/>
                      <w:szCs w:val="21"/>
                    </w:rPr>
                  </w:pPr>
                  <w:r>
                    <w:rPr>
                      <w:rFonts w:ascii="Times New Roman" w:hAnsi="Times New Roman" w:eastAsia="宋体"/>
                      <w:b/>
                      <w:bCs/>
                      <w:i w:val="0"/>
                      <w:iCs/>
                      <w:kern w:val="0"/>
                      <w:szCs w:val="21"/>
                    </w:rPr>
                    <w:t>线数</w:t>
                  </w:r>
                </w:p>
              </w:tc>
              <w:tc>
                <w:tcPr>
                  <w:tcW w:w="734" w:type="pct"/>
                  <w:tcBorders>
                    <w:bottom w:val="single" w:color="000000" w:sz="6" w:space="0"/>
                    <w:insideH w:val="single" w:sz="6" w:space="0"/>
                  </w:tcBorders>
                  <w:shd w:val="clear" w:color="auto" w:fill="auto"/>
                  <w:noWrap/>
                  <w:vAlign w:val="center"/>
                </w:tcPr>
                <w:p w14:paraId="31210FDE">
                  <w:pPr>
                    <w:keepNext/>
                    <w:keepLines w:val="0"/>
                    <w:pageBreakBefore w:val="0"/>
                    <w:widowControl/>
                    <w:suppressLineNumbers w:val="0"/>
                    <w:suppressAutoHyphens w:val="0"/>
                    <w:wordWrap/>
                    <w:adjustRightInd w:val="0"/>
                    <w:snapToGrid w:val="0"/>
                    <w:jc w:val="center"/>
                    <w:textAlignment w:val="baseline"/>
                    <w:rPr>
                      <w:rFonts w:ascii="Times New Roman" w:hAnsi="Times New Roman" w:eastAsia="宋体"/>
                      <w:b/>
                      <w:bCs/>
                      <w:i w:val="0"/>
                      <w:iCs/>
                      <w:kern w:val="0"/>
                      <w:szCs w:val="21"/>
                    </w:rPr>
                  </w:pPr>
                  <w:r>
                    <w:rPr>
                      <w:rFonts w:ascii="Times New Roman" w:hAnsi="Times New Roman" w:eastAsia="宋体"/>
                      <w:b/>
                      <w:bCs/>
                      <w:i w:val="0"/>
                      <w:iCs/>
                      <w:kern w:val="0"/>
                      <w:szCs w:val="21"/>
                    </w:rPr>
                    <w:t>日产量（t/d）</w:t>
                  </w:r>
                </w:p>
              </w:tc>
              <w:tc>
                <w:tcPr>
                  <w:tcW w:w="622" w:type="pct"/>
                  <w:tcBorders>
                    <w:bottom w:val="single" w:color="000000" w:sz="6" w:space="0"/>
                    <w:insideH w:val="single" w:sz="6" w:space="0"/>
                  </w:tcBorders>
                  <w:shd w:val="clear" w:color="auto" w:fill="auto"/>
                  <w:noWrap/>
                  <w:vAlign w:val="center"/>
                </w:tcPr>
                <w:p w14:paraId="5C6A91F0">
                  <w:pPr>
                    <w:keepNext/>
                    <w:keepLines w:val="0"/>
                    <w:pageBreakBefore w:val="0"/>
                    <w:widowControl/>
                    <w:suppressLineNumbers w:val="0"/>
                    <w:suppressAutoHyphens w:val="0"/>
                    <w:wordWrap/>
                    <w:adjustRightInd w:val="0"/>
                    <w:snapToGrid w:val="0"/>
                    <w:jc w:val="center"/>
                    <w:textAlignment w:val="baseline"/>
                    <w:rPr>
                      <w:rFonts w:ascii="Times New Roman" w:hAnsi="Times New Roman" w:eastAsia="宋体"/>
                      <w:b w:val="0"/>
                      <w:bCs/>
                      <w:i w:val="0"/>
                      <w:iCs w:val="0"/>
                      <w:kern w:val="0"/>
                      <w:szCs w:val="21"/>
                      <w:vertAlign w:val="superscript"/>
                    </w:rPr>
                  </w:pPr>
                  <w:r>
                    <w:rPr>
                      <w:rFonts w:ascii="Times New Roman" w:hAnsi="Times New Roman" w:eastAsia="宋体"/>
                      <w:b/>
                      <w:bCs/>
                      <w:i w:val="0"/>
                      <w:iCs/>
                      <w:kern w:val="0"/>
                      <w:szCs w:val="21"/>
                    </w:rPr>
                    <w:t>年产量（万</w:t>
                  </w:r>
                </w:p>
                <w:p w14:paraId="7F6D794D">
                  <w:pPr>
                    <w:keepNext/>
                    <w:keepLines w:val="0"/>
                    <w:pageBreakBefore w:val="0"/>
                    <w:widowControl/>
                    <w:suppressLineNumbers w:val="0"/>
                    <w:suppressAutoHyphens w:val="0"/>
                    <w:wordWrap/>
                    <w:adjustRightInd w:val="0"/>
                    <w:snapToGrid w:val="0"/>
                    <w:jc w:val="center"/>
                    <w:textAlignment w:val="baseline"/>
                    <w:rPr>
                      <w:rFonts w:ascii="Times New Roman" w:hAnsi="Times New Roman" w:eastAsia="宋体"/>
                      <w:b/>
                      <w:bCs/>
                      <w:i w:val="0"/>
                      <w:iCs/>
                      <w:kern w:val="0"/>
                      <w:szCs w:val="21"/>
                    </w:rPr>
                  </w:pPr>
                  <w:r>
                    <w:rPr>
                      <w:rFonts w:ascii="Times New Roman" w:hAnsi="Times New Roman" w:eastAsia="宋体"/>
                      <w:b/>
                      <w:bCs/>
                      <w:i w:val="0"/>
                      <w:iCs/>
                      <w:kern w:val="0"/>
                      <w:szCs w:val="21"/>
                    </w:rPr>
                    <w:t>t/a）</w:t>
                  </w:r>
                </w:p>
              </w:tc>
              <w:tc>
                <w:tcPr>
                  <w:tcW w:w="386" w:type="pct"/>
                  <w:tcBorders>
                    <w:bottom w:val="single" w:color="000000" w:sz="6" w:space="0"/>
                    <w:insideH w:val="single" w:sz="6" w:space="0"/>
                  </w:tcBorders>
                  <w:shd w:val="clear" w:color="auto" w:fill="auto"/>
                  <w:vAlign w:val="center"/>
                </w:tcPr>
                <w:p w14:paraId="25D38C5D">
                  <w:pPr>
                    <w:keepNext/>
                    <w:keepLines w:val="0"/>
                    <w:pageBreakBefore w:val="0"/>
                    <w:widowControl/>
                    <w:suppressLineNumbers w:val="0"/>
                    <w:suppressAutoHyphens w:val="0"/>
                    <w:wordWrap/>
                    <w:adjustRightInd w:val="0"/>
                    <w:snapToGrid w:val="0"/>
                    <w:jc w:val="center"/>
                    <w:textAlignment w:val="baseline"/>
                    <w:rPr>
                      <w:rFonts w:ascii="Times New Roman" w:hAnsi="Times New Roman" w:eastAsia="宋体"/>
                      <w:b w:val="0"/>
                      <w:i w:val="0"/>
                      <w:iCs w:val="0"/>
                      <w:kern w:val="0"/>
                      <w:szCs w:val="21"/>
                    </w:rPr>
                  </w:pPr>
                  <w:r>
                    <w:rPr>
                      <w:rFonts w:ascii="Times New Roman" w:hAnsi="Times New Roman" w:eastAsia="宋体"/>
                      <w:b/>
                      <w:i w:val="0"/>
                      <w:iCs/>
                      <w:kern w:val="0"/>
                      <w:szCs w:val="21"/>
                    </w:rPr>
                    <w:t>生产时数</w:t>
                  </w:r>
                </w:p>
                <w:p w14:paraId="3FBC9C55">
                  <w:pPr>
                    <w:keepNext/>
                    <w:keepLines w:val="0"/>
                    <w:pageBreakBefore w:val="0"/>
                    <w:widowControl/>
                    <w:suppressLineNumbers w:val="0"/>
                    <w:suppressAutoHyphens w:val="0"/>
                    <w:wordWrap/>
                    <w:adjustRightInd w:val="0"/>
                    <w:snapToGrid w:val="0"/>
                    <w:jc w:val="center"/>
                    <w:textAlignment w:val="baseline"/>
                    <w:rPr>
                      <w:rFonts w:ascii="Times New Roman" w:hAnsi="Times New Roman" w:eastAsia="宋体"/>
                      <w:b/>
                      <w:i w:val="0"/>
                      <w:iCs/>
                      <w:kern w:val="0"/>
                      <w:szCs w:val="21"/>
                    </w:rPr>
                  </w:pPr>
                  <w:r>
                    <w:rPr>
                      <w:rFonts w:ascii="Times New Roman" w:hAnsi="Times New Roman" w:eastAsia="宋体"/>
                      <w:b/>
                      <w:i w:val="0"/>
                      <w:iCs/>
                      <w:kern w:val="0"/>
                      <w:szCs w:val="21"/>
                    </w:rPr>
                    <w:t>（h）</w:t>
                  </w:r>
                </w:p>
              </w:tc>
            </w:tr>
            <w:tr w14:paraId="599D40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32" w:type="pct"/>
                  <w:vMerge w:val="restart"/>
                  <w:tcBorders>
                    <w:right w:val="single" w:color="000000" w:sz="6" w:space="0"/>
                    <w:insideV w:val="single" w:sz="6" w:space="0"/>
                    <w:tl2br w:val="nil"/>
                    <w:tr2bl w:val="nil"/>
                  </w:tcBorders>
                  <w:shd w:val="clear" w:color="auto" w:fill="auto"/>
                  <w:noWrap/>
                  <w:vAlign w:val="center"/>
                </w:tcPr>
                <w:p w14:paraId="6F7E6D0E">
                  <w:pPr>
                    <w:widowControl/>
                    <w:adjustRightInd w:val="0"/>
                    <w:snapToGrid w:val="0"/>
                    <w:jc w:val="center"/>
                    <w:textAlignment w:val="baseline"/>
                    <w:rPr>
                      <w:b/>
                      <w:bCs/>
                      <w:kern w:val="0"/>
                      <w:szCs w:val="21"/>
                    </w:rPr>
                  </w:pPr>
                  <w:r>
                    <w:rPr>
                      <w:b/>
                      <w:bCs/>
                      <w:szCs w:val="21"/>
                    </w:rPr>
                    <w:t>二期</w:t>
                  </w:r>
                </w:p>
              </w:tc>
              <w:tc>
                <w:tcPr>
                  <w:tcW w:w="719" w:type="pct"/>
                  <w:gridSpan w:val="2"/>
                  <w:vMerge w:val="restart"/>
                  <w:shd w:val="clear" w:color="auto" w:fill="auto"/>
                  <w:noWrap/>
                  <w:vAlign w:val="center"/>
                </w:tcPr>
                <w:p w14:paraId="602A9E95">
                  <w:pPr>
                    <w:widowControl/>
                    <w:adjustRightInd w:val="0"/>
                    <w:snapToGrid w:val="0"/>
                    <w:jc w:val="center"/>
                    <w:textAlignment w:val="baseline"/>
                    <w:rPr>
                      <w:kern w:val="0"/>
                      <w:szCs w:val="21"/>
                    </w:rPr>
                  </w:pPr>
                  <w:r>
                    <w:rPr>
                      <w:kern w:val="0"/>
                      <w:szCs w:val="21"/>
                    </w:rPr>
                    <w:t>POY</w:t>
                  </w:r>
                </w:p>
              </w:tc>
              <w:tc>
                <w:tcPr>
                  <w:tcW w:w="670" w:type="pct"/>
                  <w:shd w:val="clear" w:color="auto" w:fill="auto"/>
                  <w:noWrap/>
                  <w:vAlign w:val="center"/>
                </w:tcPr>
                <w:p w14:paraId="5E129491">
                  <w:pPr>
                    <w:widowControl/>
                    <w:adjustRightInd w:val="0"/>
                    <w:snapToGrid w:val="0"/>
                    <w:jc w:val="center"/>
                    <w:textAlignment w:val="baseline"/>
                    <w:rPr>
                      <w:kern w:val="0"/>
                      <w:szCs w:val="21"/>
                    </w:rPr>
                  </w:pPr>
                  <w:r>
                    <w:rPr>
                      <w:kern w:val="0"/>
                      <w:szCs w:val="21"/>
                    </w:rPr>
                    <w:t>50/72半光</w:t>
                  </w:r>
                </w:p>
              </w:tc>
              <w:tc>
                <w:tcPr>
                  <w:tcW w:w="1005" w:type="pct"/>
                  <w:vMerge w:val="restart"/>
                  <w:shd w:val="clear" w:color="auto" w:fill="auto"/>
                  <w:vAlign w:val="center"/>
                </w:tcPr>
                <w:p w14:paraId="09DA61BC">
                  <w:pPr>
                    <w:widowControl/>
                    <w:adjustRightInd w:val="0"/>
                    <w:snapToGrid w:val="0"/>
                    <w:jc w:val="center"/>
                    <w:textAlignment w:val="baseline"/>
                    <w:rPr>
                      <w:kern w:val="0"/>
                      <w:szCs w:val="21"/>
                    </w:rPr>
                  </w:pPr>
                  <w:r>
                    <w:rPr>
                      <w:kern w:val="0"/>
                      <w:szCs w:val="21"/>
                    </w:rPr>
                    <w:t>17#、18#、19#、20#、21#、22#</w:t>
                  </w:r>
                </w:p>
                <w:p w14:paraId="19E421B8">
                  <w:pPr>
                    <w:pStyle w:val="2"/>
                    <w:adjustRightInd w:val="0"/>
                    <w:jc w:val="center"/>
                    <w:textAlignment w:val="baseline"/>
                    <w:rPr>
                      <w:sz w:val="21"/>
                      <w:szCs w:val="21"/>
                    </w:rPr>
                  </w:pPr>
                  <w:r>
                    <w:rPr>
                      <w:sz w:val="21"/>
                      <w:szCs w:val="21"/>
                    </w:rPr>
                    <w:t>（熔体直纺）</w:t>
                  </w:r>
                </w:p>
              </w:tc>
              <w:tc>
                <w:tcPr>
                  <w:tcW w:w="532" w:type="pct"/>
                  <w:shd w:val="clear" w:color="auto" w:fill="auto"/>
                  <w:noWrap/>
                  <w:vAlign w:val="center"/>
                </w:tcPr>
                <w:p w14:paraId="5FEE6110">
                  <w:pPr>
                    <w:widowControl/>
                    <w:adjustRightInd w:val="0"/>
                    <w:snapToGrid w:val="0"/>
                    <w:jc w:val="center"/>
                    <w:textAlignment w:val="baseline"/>
                    <w:rPr>
                      <w:kern w:val="0"/>
                      <w:szCs w:val="21"/>
                    </w:rPr>
                  </w:pPr>
                  <w:r>
                    <w:rPr>
                      <w:kern w:val="0"/>
                      <w:szCs w:val="21"/>
                    </w:rPr>
                    <w:t>2</w:t>
                  </w:r>
                </w:p>
              </w:tc>
              <w:tc>
                <w:tcPr>
                  <w:tcW w:w="734" w:type="pct"/>
                  <w:shd w:val="clear" w:color="auto" w:fill="auto"/>
                  <w:noWrap/>
                  <w:vAlign w:val="center"/>
                </w:tcPr>
                <w:p w14:paraId="570E9F1E">
                  <w:pPr>
                    <w:widowControl/>
                    <w:adjustRightInd w:val="0"/>
                    <w:snapToGrid w:val="0"/>
                    <w:jc w:val="center"/>
                    <w:textAlignment w:val="baseline"/>
                    <w:rPr>
                      <w:kern w:val="0"/>
                      <w:szCs w:val="21"/>
                    </w:rPr>
                  </w:pPr>
                  <w:r>
                    <w:rPr>
                      <w:kern w:val="0"/>
                      <w:szCs w:val="21"/>
                    </w:rPr>
                    <w:t>67.2</w:t>
                  </w:r>
                </w:p>
              </w:tc>
              <w:tc>
                <w:tcPr>
                  <w:tcW w:w="622" w:type="pct"/>
                  <w:shd w:val="clear" w:color="auto" w:fill="auto"/>
                  <w:noWrap/>
                  <w:vAlign w:val="center"/>
                </w:tcPr>
                <w:p w14:paraId="66FB28D9">
                  <w:pPr>
                    <w:widowControl/>
                    <w:adjustRightInd w:val="0"/>
                    <w:snapToGrid w:val="0"/>
                    <w:jc w:val="center"/>
                    <w:textAlignment w:val="baseline"/>
                    <w:rPr>
                      <w:kern w:val="0"/>
                      <w:szCs w:val="21"/>
                    </w:rPr>
                  </w:pPr>
                  <w:r>
                    <w:rPr>
                      <w:kern w:val="0"/>
                      <w:szCs w:val="21"/>
                    </w:rPr>
                    <w:t>2.35</w:t>
                  </w:r>
                </w:p>
              </w:tc>
              <w:tc>
                <w:tcPr>
                  <w:tcW w:w="386" w:type="pct"/>
                  <w:vMerge w:val="restart"/>
                  <w:shd w:val="clear" w:color="auto" w:fill="auto"/>
                  <w:vAlign w:val="center"/>
                </w:tcPr>
                <w:p w14:paraId="4C5AFCB3">
                  <w:pPr>
                    <w:widowControl/>
                    <w:adjustRightInd w:val="0"/>
                    <w:snapToGrid w:val="0"/>
                    <w:jc w:val="center"/>
                    <w:textAlignment w:val="baseline"/>
                    <w:rPr>
                      <w:kern w:val="0"/>
                      <w:szCs w:val="21"/>
                    </w:rPr>
                  </w:pPr>
                  <w:r>
                    <w:rPr>
                      <w:kern w:val="0"/>
                      <w:szCs w:val="21"/>
                    </w:rPr>
                    <w:t>8400</w:t>
                  </w:r>
                </w:p>
              </w:tc>
            </w:tr>
            <w:tr w14:paraId="31B837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32" w:type="pct"/>
                  <w:vMerge w:val="continue"/>
                  <w:tcBorders>
                    <w:right w:val="single" w:color="000000" w:sz="6" w:space="0"/>
                    <w:insideV w:val="single" w:sz="6" w:space="0"/>
                    <w:tl2br w:val="nil"/>
                    <w:tr2bl w:val="nil"/>
                  </w:tcBorders>
                  <w:shd w:val="clear" w:color="auto" w:fill="auto"/>
                  <w:vAlign w:val="center"/>
                </w:tcPr>
                <w:p w14:paraId="00B241C8">
                  <w:pPr>
                    <w:widowControl/>
                    <w:adjustRightInd w:val="0"/>
                    <w:snapToGrid w:val="0"/>
                    <w:jc w:val="center"/>
                    <w:textAlignment w:val="baseline"/>
                    <w:rPr>
                      <w:b/>
                      <w:bCs/>
                      <w:kern w:val="0"/>
                      <w:szCs w:val="21"/>
                    </w:rPr>
                  </w:pPr>
                </w:p>
              </w:tc>
              <w:tc>
                <w:tcPr>
                  <w:tcW w:w="719" w:type="pct"/>
                  <w:gridSpan w:val="2"/>
                  <w:vMerge w:val="continue"/>
                  <w:shd w:val="clear" w:color="auto" w:fill="auto"/>
                  <w:vAlign w:val="center"/>
                </w:tcPr>
                <w:p w14:paraId="51923892">
                  <w:pPr>
                    <w:widowControl/>
                    <w:adjustRightInd w:val="0"/>
                    <w:snapToGrid w:val="0"/>
                    <w:jc w:val="center"/>
                    <w:textAlignment w:val="baseline"/>
                    <w:rPr>
                      <w:kern w:val="0"/>
                      <w:szCs w:val="21"/>
                    </w:rPr>
                  </w:pPr>
                </w:p>
              </w:tc>
              <w:tc>
                <w:tcPr>
                  <w:tcW w:w="670" w:type="pct"/>
                  <w:shd w:val="clear" w:color="auto" w:fill="auto"/>
                  <w:noWrap/>
                  <w:vAlign w:val="center"/>
                </w:tcPr>
                <w:p w14:paraId="71912B9A">
                  <w:pPr>
                    <w:widowControl/>
                    <w:adjustRightInd w:val="0"/>
                    <w:snapToGrid w:val="0"/>
                    <w:jc w:val="center"/>
                    <w:textAlignment w:val="baseline"/>
                    <w:rPr>
                      <w:kern w:val="0"/>
                      <w:szCs w:val="21"/>
                    </w:rPr>
                  </w:pPr>
                  <w:r>
                    <w:rPr>
                      <w:kern w:val="0"/>
                      <w:szCs w:val="21"/>
                    </w:rPr>
                    <w:t>75/72半光</w:t>
                  </w:r>
                </w:p>
              </w:tc>
              <w:tc>
                <w:tcPr>
                  <w:tcW w:w="1005" w:type="pct"/>
                  <w:vMerge w:val="continue"/>
                  <w:shd w:val="clear" w:color="auto" w:fill="auto"/>
                  <w:vAlign w:val="center"/>
                </w:tcPr>
                <w:p w14:paraId="6942B432">
                  <w:pPr>
                    <w:widowControl/>
                    <w:adjustRightInd w:val="0"/>
                    <w:snapToGrid w:val="0"/>
                    <w:jc w:val="center"/>
                    <w:textAlignment w:val="baseline"/>
                    <w:rPr>
                      <w:kern w:val="0"/>
                      <w:szCs w:val="21"/>
                    </w:rPr>
                  </w:pPr>
                </w:p>
              </w:tc>
              <w:tc>
                <w:tcPr>
                  <w:tcW w:w="532" w:type="pct"/>
                  <w:shd w:val="clear" w:color="auto" w:fill="auto"/>
                  <w:noWrap/>
                  <w:vAlign w:val="center"/>
                </w:tcPr>
                <w:p w14:paraId="3F07C8BE">
                  <w:pPr>
                    <w:widowControl/>
                    <w:adjustRightInd w:val="0"/>
                    <w:snapToGrid w:val="0"/>
                    <w:jc w:val="center"/>
                    <w:textAlignment w:val="baseline"/>
                    <w:rPr>
                      <w:kern w:val="0"/>
                      <w:szCs w:val="21"/>
                    </w:rPr>
                  </w:pPr>
                  <w:r>
                    <w:rPr>
                      <w:kern w:val="0"/>
                      <w:szCs w:val="21"/>
                    </w:rPr>
                    <w:t>3</w:t>
                  </w:r>
                </w:p>
              </w:tc>
              <w:tc>
                <w:tcPr>
                  <w:tcW w:w="734" w:type="pct"/>
                  <w:shd w:val="clear" w:color="auto" w:fill="auto"/>
                  <w:noWrap/>
                  <w:vAlign w:val="center"/>
                </w:tcPr>
                <w:p w14:paraId="28ACEE0D">
                  <w:pPr>
                    <w:widowControl/>
                    <w:adjustRightInd w:val="0"/>
                    <w:snapToGrid w:val="0"/>
                    <w:jc w:val="center"/>
                    <w:textAlignment w:val="baseline"/>
                    <w:rPr>
                      <w:kern w:val="0"/>
                      <w:szCs w:val="21"/>
                    </w:rPr>
                  </w:pPr>
                  <w:r>
                    <w:rPr>
                      <w:kern w:val="0"/>
                      <w:szCs w:val="21"/>
                    </w:rPr>
                    <w:t>249.7</w:t>
                  </w:r>
                </w:p>
              </w:tc>
              <w:tc>
                <w:tcPr>
                  <w:tcW w:w="622" w:type="pct"/>
                  <w:shd w:val="clear" w:color="auto" w:fill="auto"/>
                  <w:noWrap/>
                  <w:vAlign w:val="center"/>
                </w:tcPr>
                <w:p w14:paraId="0D353813">
                  <w:pPr>
                    <w:widowControl/>
                    <w:adjustRightInd w:val="0"/>
                    <w:snapToGrid w:val="0"/>
                    <w:jc w:val="center"/>
                    <w:textAlignment w:val="baseline"/>
                    <w:rPr>
                      <w:kern w:val="0"/>
                      <w:szCs w:val="21"/>
                    </w:rPr>
                  </w:pPr>
                  <w:r>
                    <w:rPr>
                      <w:kern w:val="0"/>
                      <w:szCs w:val="21"/>
                    </w:rPr>
                    <w:t>8.74</w:t>
                  </w:r>
                </w:p>
              </w:tc>
              <w:tc>
                <w:tcPr>
                  <w:tcW w:w="386" w:type="pct"/>
                  <w:vMerge w:val="continue"/>
                  <w:shd w:val="clear" w:color="auto" w:fill="auto"/>
                  <w:vAlign w:val="center"/>
                </w:tcPr>
                <w:p w14:paraId="4DB4F217">
                  <w:pPr>
                    <w:widowControl/>
                    <w:adjustRightInd w:val="0"/>
                    <w:snapToGrid w:val="0"/>
                    <w:jc w:val="center"/>
                    <w:textAlignment w:val="baseline"/>
                    <w:rPr>
                      <w:kern w:val="0"/>
                      <w:szCs w:val="21"/>
                    </w:rPr>
                  </w:pPr>
                </w:p>
              </w:tc>
            </w:tr>
            <w:tr w14:paraId="398BE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32" w:type="pct"/>
                  <w:vMerge w:val="continue"/>
                  <w:tcBorders>
                    <w:right w:val="single" w:color="000000" w:sz="6" w:space="0"/>
                    <w:insideV w:val="single" w:sz="6" w:space="0"/>
                    <w:tl2br w:val="nil"/>
                    <w:tr2bl w:val="nil"/>
                  </w:tcBorders>
                  <w:shd w:val="clear" w:color="auto" w:fill="auto"/>
                  <w:vAlign w:val="center"/>
                </w:tcPr>
                <w:p w14:paraId="032C2C08">
                  <w:pPr>
                    <w:widowControl/>
                    <w:adjustRightInd w:val="0"/>
                    <w:snapToGrid w:val="0"/>
                    <w:jc w:val="center"/>
                    <w:textAlignment w:val="baseline"/>
                    <w:rPr>
                      <w:b/>
                      <w:bCs/>
                      <w:kern w:val="0"/>
                      <w:szCs w:val="21"/>
                    </w:rPr>
                  </w:pPr>
                </w:p>
              </w:tc>
              <w:tc>
                <w:tcPr>
                  <w:tcW w:w="719" w:type="pct"/>
                  <w:gridSpan w:val="2"/>
                  <w:vMerge w:val="continue"/>
                  <w:shd w:val="clear" w:color="auto" w:fill="auto"/>
                  <w:vAlign w:val="center"/>
                </w:tcPr>
                <w:p w14:paraId="50A1CE9A">
                  <w:pPr>
                    <w:widowControl/>
                    <w:adjustRightInd w:val="0"/>
                    <w:snapToGrid w:val="0"/>
                    <w:jc w:val="center"/>
                    <w:textAlignment w:val="baseline"/>
                    <w:rPr>
                      <w:kern w:val="0"/>
                      <w:szCs w:val="21"/>
                    </w:rPr>
                  </w:pPr>
                </w:p>
              </w:tc>
              <w:tc>
                <w:tcPr>
                  <w:tcW w:w="670" w:type="pct"/>
                  <w:shd w:val="clear" w:color="auto" w:fill="auto"/>
                  <w:noWrap/>
                  <w:vAlign w:val="center"/>
                </w:tcPr>
                <w:p w14:paraId="6A7FBD6A">
                  <w:pPr>
                    <w:widowControl/>
                    <w:adjustRightInd w:val="0"/>
                    <w:snapToGrid w:val="0"/>
                    <w:jc w:val="center"/>
                    <w:textAlignment w:val="baseline"/>
                    <w:rPr>
                      <w:kern w:val="0"/>
                      <w:szCs w:val="21"/>
                    </w:rPr>
                  </w:pPr>
                  <w:r>
                    <w:rPr>
                      <w:kern w:val="0"/>
                      <w:szCs w:val="21"/>
                    </w:rPr>
                    <w:t>150/288半光</w:t>
                  </w:r>
                </w:p>
              </w:tc>
              <w:tc>
                <w:tcPr>
                  <w:tcW w:w="1005" w:type="pct"/>
                  <w:vMerge w:val="continue"/>
                  <w:shd w:val="clear" w:color="auto" w:fill="auto"/>
                  <w:vAlign w:val="center"/>
                </w:tcPr>
                <w:p w14:paraId="419289B0">
                  <w:pPr>
                    <w:widowControl/>
                    <w:adjustRightInd w:val="0"/>
                    <w:snapToGrid w:val="0"/>
                    <w:jc w:val="center"/>
                    <w:textAlignment w:val="baseline"/>
                    <w:rPr>
                      <w:kern w:val="0"/>
                      <w:szCs w:val="21"/>
                    </w:rPr>
                  </w:pPr>
                </w:p>
              </w:tc>
              <w:tc>
                <w:tcPr>
                  <w:tcW w:w="532" w:type="pct"/>
                  <w:shd w:val="clear" w:color="auto" w:fill="auto"/>
                  <w:noWrap/>
                  <w:vAlign w:val="center"/>
                </w:tcPr>
                <w:p w14:paraId="2DB8FA48">
                  <w:pPr>
                    <w:widowControl/>
                    <w:adjustRightInd w:val="0"/>
                    <w:snapToGrid w:val="0"/>
                    <w:jc w:val="center"/>
                    <w:textAlignment w:val="baseline"/>
                    <w:rPr>
                      <w:kern w:val="0"/>
                      <w:szCs w:val="21"/>
                    </w:rPr>
                  </w:pPr>
                  <w:r>
                    <w:rPr>
                      <w:kern w:val="0"/>
                      <w:szCs w:val="21"/>
                    </w:rPr>
                    <w:t>1</w:t>
                  </w:r>
                </w:p>
              </w:tc>
              <w:tc>
                <w:tcPr>
                  <w:tcW w:w="734" w:type="pct"/>
                  <w:shd w:val="clear" w:color="auto" w:fill="auto"/>
                  <w:noWrap/>
                  <w:vAlign w:val="center"/>
                </w:tcPr>
                <w:p w14:paraId="2C6671BA">
                  <w:pPr>
                    <w:widowControl/>
                    <w:adjustRightInd w:val="0"/>
                    <w:snapToGrid w:val="0"/>
                    <w:jc w:val="center"/>
                    <w:textAlignment w:val="baseline"/>
                    <w:rPr>
                      <w:kern w:val="0"/>
                      <w:szCs w:val="21"/>
                    </w:rPr>
                  </w:pPr>
                  <w:r>
                    <w:rPr>
                      <w:kern w:val="0"/>
                      <w:szCs w:val="21"/>
                    </w:rPr>
                    <w:t>96.9</w:t>
                  </w:r>
                </w:p>
              </w:tc>
              <w:tc>
                <w:tcPr>
                  <w:tcW w:w="622" w:type="pct"/>
                  <w:shd w:val="clear" w:color="auto" w:fill="auto"/>
                  <w:vAlign w:val="center"/>
                </w:tcPr>
                <w:p w14:paraId="7125B0AD">
                  <w:pPr>
                    <w:widowControl/>
                    <w:adjustRightInd w:val="0"/>
                    <w:snapToGrid w:val="0"/>
                    <w:jc w:val="center"/>
                    <w:textAlignment w:val="baseline"/>
                    <w:rPr>
                      <w:kern w:val="0"/>
                      <w:szCs w:val="21"/>
                    </w:rPr>
                  </w:pPr>
                  <w:r>
                    <w:rPr>
                      <w:kern w:val="0"/>
                      <w:szCs w:val="21"/>
                    </w:rPr>
                    <w:t>3.4</w:t>
                  </w:r>
                </w:p>
              </w:tc>
              <w:tc>
                <w:tcPr>
                  <w:tcW w:w="386" w:type="pct"/>
                  <w:vMerge w:val="continue"/>
                  <w:shd w:val="clear" w:color="auto" w:fill="auto"/>
                  <w:vAlign w:val="center"/>
                </w:tcPr>
                <w:p w14:paraId="4DF7E152">
                  <w:pPr>
                    <w:widowControl/>
                    <w:adjustRightInd w:val="0"/>
                    <w:snapToGrid w:val="0"/>
                    <w:jc w:val="center"/>
                    <w:textAlignment w:val="baseline"/>
                    <w:rPr>
                      <w:kern w:val="0"/>
                      <w:szCs w:val="21"/>
                    </w:rPr>
                  </w:pPr>
                </w:p>
              </w:tc>
            </w:tr>
            <w:tr w14:paraId="3A4728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32" w:type="pct"/>
                  <w:vMerge w:val="continue"/>
                  <w:tcBorders>
                    <w:right w:val="single" w:color="000000" w:sz="6" w:space="0"/>
                    <w:insideV w:val="single" w:sz="6" w:space="0"/>
                    <w:tl2br w:val="nil"/>
                    <w:tr2bl w:val="nil"/>
                  </w:tcBorders>
                  <w:shd w:val="clear" w:color="auto" w:fill="auto"/>
                  <w:vAlign w:val="center"/>
                </w:tcPr>
                <w:p w14:paraId="470448D9">
                  <w:pPr>
                    <w:widowControl/>
                    <w:adjustRightInd w:val="0"/>
                    <w:snapToGrid w:val="0"/>
                    <w:jc w:val="center"/>
                    <w:textAlignment w:val="baseline"/>
                    <w:rPr>
                      <w:b/>
                      <w:bCs/>
                      <w:kern w:val="0"/>
                      <w:szCs w:val="21"/>
                    </w:rPr>
                  </w:pPr>
                </w:p>
              </w:tc>
              <w:tc>
                <w:tcPr>
                  <w:tcW w:w="719" w:type="pct"/>
                  <w:gridSpan w:val="2"/>
                  <w:vMerge w:val="restart"/>
                  <w:shd w:val="clear" w:color="auto" w:fill="auto"/>
                  <w:noWrap/>
                  <w:vAlign w:val="center"/>
                </w:tcPr>
                <w:p w14:paraId="0A6B906A">
                  <w:pPr>
                    <w:widowControl/>
                    <w:adjustRightInd w:val="0"/>
                    <w:snapToGrid w:val="0"/>
                    <w:jc w:val="center"/>
                    <w:textAlignment w:val="baseline"/>
                    <w:rPr>
                      <w:kern w:val="0"/>
                      <w:szCs w:val="21"/>
                    </w:rPr>
                  </w:pPr>
                  <w:r>
                    <w:rPr>
                      <w:kern w:val="0"/>
                      <w:szCs w:val="21"/>
                    </w:rPr>
                    <w:t>FDY</w:t>
                  </w:r>
                </w:p>
              </w:tc>
              <w:tc>
                <w:tcPr>
                  <w:tcW w:w="670" w:type="pct"/>
                  <w:shd w:val="clear" w:color="auto" w:fill="auto"/>
                  <w:noWrap/>
                  <w:vAlign w:val="center"/>
                </w:tcPr>
                <w:p w14:paraId="5B8FF558">
                  <w:pPr>
                    <w:widowControl/>
                    <w:adjustRightInd w:val="0"/>
                    <w:snapToGrid w:val="0"/>
                    <w:jc w:val="center"/>
                    <w:textAlignment w:val="baseline"/>
                    <w:rPr>
                      <w:kern w:val="0"/>
                      <w:szCs w:val="21"/>
                    </w:rPr>
                  </w:pPr>
                  <w:r>
                    <w:rPr>
                      <w:kern w:val="0"/>
                      <w:szCs w:val="21"/>
                    </w:rPr>
                    <w:t>50/24半光</w:t>
                  </w:r>
                </w:p>
              </w:tc>
              <w:tc>
                <w:tcPr>
                  <w:tcW w:w="1005" w:type="pct"/>
                  <w:vMerge w:val="restart"/>
                  <w:shd w:val="clear" w:color="auto" w:fill="auto"/>
                  <w:vAlign w:val="center"/>
                </w:tcPr>
                <w:p w14:paraId="3CC40BB5">
                  <w:pPr>
                    <w:widowControl/>
                    <w:adjustRightInd w:val="0"/>
                    <w:snapToGrid w:val="0"/>
                    <w:jc w:val="center"/>
                    <w:textAlignment w:val="baseline"/>
                    <w:rPr>
                      <w:kern w:val="0"/>
                      <w:szCs w:val="21"/>
                    </w:rPr>
                  </w:pPr>
                  <w:r>
                    <w:rPr>
                      <w:kern w:val="0"/>
                      <w:szCs w:val="21"/>
                    </w:rPr>
                    <w:t>13#、14#、15#、16#</w:t>
                  </w:r>
                </w:p>
                <w:p w14:paraId="4801F752">
                  <w:pPr>
                    <w:pStyle w:val="2"/>
                    <w:adjustRightInd w:val="0"/>
                    <w:jc w:val="center"/>
                    <w:textAlignment w:val="baseline"/>
                  </w:pPr>
                  <w:r>
                    <w:rPr>
                      <w:sz w:val="21"/>
                      <w:szCs w:val="21"/>
                    </w:rPr>
                    <w:t>（熔体直纺）</w:t>
                  </w:r>
                </w:p>
              </w:tc>
              <w:tc>
                <w:tcPr>
                  <w:tcW w:w="532" w:type="pct"/>
                  <w:shd w:val="clear" w:color="auto" w:fill="auto"/>
                  <w:noWrap/>
                  <w:vAlign w:val="center"/>
                </w:tcPr>
                <w:p w14:paraId="0E79D318">
                  <w:pPr>
                    <w:widowControl/>
                    <w:adjustRightInd w:val="0"/>
                    <w:snapToGrid w:val="0"/>
                    <w:jc w:val="center"/>
                    <w:textAlignment w:val="baseline"/>
                    <w:rPr>
                      <w:kern w:val="0"/>
                      <w:szCs w:val="21"/>
                    </w:rPr>
                  </w:pPr>
                  <w:r>
                    <w:rPr>
                      <w:kern w:val="0"/>
                      <w:szCs w:val="21"/>
                    </w:rPr>
                    <w:t>3</w:t>
                  </w:r>
                </w:p>
              </w:tc>
              <w:tc>
                <w:tcPr>
                  <w:tcW w:w="734" w:type="pct"/>
                  <w:shd w:val="clear" w:color="auto" w:fill="auto"/>
                  <w:noWrap/>
                  <w:vAlign w:val="center"/>
                </w:tcPr>
                <w:p w14:paraId="72A3EC13">
                  <w:pPr>
                    <w:widowControl/>
                    <w:adjustRightInd w:val="0"/>
                    <w:snapToGrid w:val="0"/>
                    <w:jc w:val="center"/>
                    <w:textAlignment w:val="baseline"/>
                    <w:rPr>
                      <w:kern w:val="0"/>
                      <w:szCs w:val="21"/>
                    </w:rPr>
                  </w:pPr>
                  <w:r>
                    <w:rPr>
                      <w:kern w:val="0"/>
                      <w:szCs w:val="21"/>
                    </w:rPr>
                    <w:t>207.2</w:t>
                  </w:r>
                </w:p>
              </w:tc>
              <w:tc>
                <w:tcPr>
                  <w:tcW w:w="622" w:type="pct"/>
                  <w:shd w:val="clear" w:color="auto" w:fill="auto"/>
                  <w:noWrap/>
                  <w:vAlign w:val="center"/>
                </w:tcPr>
                <w:p w14:paraId="15A48320">
                  <w:pPr>
                    <w:widowControl/>
                    <w:adjustRightInd w:val="0"/>
                    <w:snapToGrid w:val="0"/>
                    <w:jc w:val="center"/>
                    <w:textAlignment w:val="baseline"/>
                    <w:rPr>
                      <w:kern w:val="0"/>
                      <w:szCs w:val="21"/>
                    </w:rPr>
                  </w:pPr>
                  <w:r>
                    <w:rPr>
                      <w:kern w:val="0"/>
                      <w:szCs w:val="21"/>
                    </w:rPr>
                    <w:t>7.25</w:t>
                  </w:r>
                </w:p>
              </w:tc>
              <w:tc>
                <w:tcPr>
                  <w:tcW w:w="386" w:type="pct"/>
                  <w:vMerge w:val="restart"/>
                  <w:shd w:val="clear" w:color="auto" w:fill="auto"/>
                  <w:vAlign w:val="center"/>
                </w:tcPr>
                <w:p w14:paraId="63471D97">
                  <w:pPr>
                    <w:widowControl/>
                    <w:adjustRightInd w:val="0"/>
                    <w:snapToGrid w:val="0"/>
                    <w:jc w:val="center"/>
                    <w:textAlignment w:val="baseline"/>
                    <w:rPr>
                      <w:kern w:val="0"/>
                      <w:szCs w:val="21"/>
                    </w:rPr>
                  </w:pPr>
                  <w:r>
                    <w:rPr>
                      <w:kern w:val="0"/>
                      <w:szCs w:val="21"/>
                    </w:rPr>
                    <w:t>8400</w:t>
                  </w:r>
                </w:p>
              </w:tc>
            </w:tr>
            <w:tr w14:paraId="1447AD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32" w:type="pct"/>
                  <w:vMerge w:val="continue"/>
                  <w:tcBorders>
                    <w:right w:val="single" w:color="000000" w:sz="6" w:space="0"/>
                    <w:insideV w:val="single" w:sz="6" w:space="0"/>
                    <w:tl2br w:val="nil"/>
                    <w:tr2bl w:val="nil"/>
                  </w:tcBorders>
                  <w:shd w:val="clear" w:color="auto" w:fill="auto"/>
                  <w:vAlign w:val="center"/>
                </w:tcPr>
                <w:p w14:paraId="56DD765A">
                  <w:pPr>
                    <w:widowControl/>
                    <w:adjustRightInd w:val="0"/>
                    <w:snapToGrid w:val="0"/>
                    <w:jc w:val="center"/>
                    <w:textAlignment w:val="baseline"/>
                    <w:rPr>
                      <w:b/>
                      <w:bCs/>
                      <w:kern w:val="0"/>
                      <w:szCs w:val="21"/>
                    </w:rPr>
                  </w:pPr>
                </w:p>
              </w:tc>
              <w:tc>
                <w:tcPr>
                  <w:tcW w:w="719" w:type="pct"/>
                  <w:gridSpan w:val="2"/>
                  <w:vMerge w:val="continue"/>
                  <w:shd w:val="clear" w:color="auto" w:fill="auto"/>
                  <w:vAlign w:val="center"/>
                </w:tcPr>
                <w:p w14:paraId="09124E63">
                  <w:pPr>
                    <w:widowControl/>
                    <w:adjustRightInd w:val="0"/>
                    <w:snapToGrid w:val="0"/>
                    <w:jc w:val="center"/>
                    <w:textAlignment w:val="baseline"/>
                    <w:rPr>
                      <w:kern w:val="0"/>
                      <w:szCs w:val="21"/>
                    </w:rPr>
                  </w:pPr>
                </w:p>
              </w:tc>
              <w:tc>
                <w:tcPr>
                  <w:tcW w:w="670" w:type="pct"/>
                  <w:shd w:val="clear" w:color="auto" w:fill="auto"/>
                  <w:noWrap/>
                  <w:vAlign w:val="center"/>
                </w:tcPr>
                <w:p w14:paraId="1E55F0D4">
                  <w:pPr>
                    <w:widowControl/>
                    <w:adjustRightInd w:val="0"/>
                    <w:snapToGrid w:val="0"/>
                    <w:jc w:val="center"/>
                    <w:textAlignment w:val="baseline"/>
                    <w:rPr>
                      <w:kern w:val="0"/>
                      <w:szCs w:val="21"/>
                    </w:rPr>
                  </w:pPr>
                  <w:r>
                    <w:rPr>
                      <w:kern w:val="0"/>
                      <w:szCs w:val="21"/>
                    </w:rPr>
                    <w:t>75/36半光</w:t>
                  </w:r>
                </w:p>
              </w:tc>
              <w:tc>
                <w:tcPr>
                  <w:tcW w:w="1005" w:type="pct"/>
                  <w:vMerge w:val="continue"/>
                  <w:shd w:val="clear" w:color="auto" w:fill="auto"/>
                  <w:vAlign w:val="center"/>
                </w:tcPr>
                <w:p w14:paraId="6204A5B8">
                  <w:pPr>
                    <w:widowControl/>
                    <w:adjustRightInd w:val="0"/>
                    <w:snapToGrid w:val="0"/>
                    <w:jc w:val="center"/>
                    <w:textAlignment w:val="baseline"/>
                    <w:rPr>
                      <w:kern w:val="0"/>
                      <w:szCs w:val="21"/>
                    </w:rPr>
                  </w:pPr>
                </w:p>
              </w:tc>
              <w:tc>
                <w:tcPr>
                  <w:tcW w:w="532" w:type="pct"/>
                  <w:shd w:val="clear" w:color="auto" w:fill="auto"/>
                  <w:noWrap/>
                  <w:vAlign w:val="center"/>
                </w:tcPr>
                <w:p w14:paraId="6756603A">
                  <w:pPr>
                    <w:widowControl/>
                    <w:adjustRightInd w:val="0"/>
                    <w:snapToGrid w:val="0"/>
                    <w:jc w:val="center"/>
                    <w:textAlignment w:val="baseline"/>
                    <w:rPr>
                      <w:kern w:val="0"/>
                      <w:szCs w:val="21"/>
                    </w:rPr>
                  </w:pPr>
                  <w:r>
                    <w:rPr>
                      <w:kern w:val="0"/>
                      <w:szCs w:val="21"/>
                    </w:rPr>
                    <w:t>1</w:t>
                  </w:r>
                </w:p>
              </w:tc>
              <w:tc>
                <w:tcPr>
                  <w:tcW w:w="734" w:type="pct"/>
                  <w:shd w:val="clear" w:color="auto" w:fill="auto"/>
                  <w:noWrap/>
                  <w:vAlign w:val="center"/>
                </w:tcPr>
                <w:p w14:paraId="77B68FD9">
                  <w:pPr>
                    <w:widowControl/>
                    <w:adjustRightInd w:val="0"/>
                    <w:snapToGrid w:val="0"/>
                    <w:jc w:val="center"/>
                    <w:textAlignment w:val="baseline"/>
                    <w:rPr>
                      <w:kern w:val="0"/>
                      <w:szCs w:val="21"/>
                    </w:rPr>
                  </w:pPr>
                  <w:r>
                    <w:rPr>
                      <w:kern w:val="0"/>
                      <w:szCs w:val="21"/>
                    </w:rPr>
                    <w:t>93.2</w:t>
                  </w:r>
                </w:p>
              </w:tc>
              <w:tc>
                <w:tcPr>
                  <w:tcW w:w="622" w:type="pct"/>
                  <w:shd w:val="clear" w:color="auto" w:fill="auto"/>
                  <w:noWrap/>
                  <w:vAlign w:val="center"/>
                </w:tcPr>
                <w:p w14:paraId="31B95E8F">
                  <w:pPr>
                    <w:widowControl/>
                    <w:adjustRightInd w:val="0"/>
                    <w:snapToGrid w:val="0"/>
                    <w:jc w:val="center"/>
                    <w:textAlignment w:val="baseline"/>
                    <w:rPr>
                      <w:kern w:val="0"/>
                      <w:szCs w:val="21"/>
                    </w:rPr>
                  </w:pPr>
                  <w:r>
                    <w:rPr>
                      <w:kern w:val="0"/>
                      <w:szCs w:val="21"/>
                    </w:rPr>
                    <w:t>3.26</w:t>
                  </w:r>
                </w:p>
              </w:tc>
              <w:tc>
                <w:tcPr>
                  <w:tcW w:w="386" w:type="pct"/>
                  <w:vMerge w:val="continue"/>
                  <w:shd w:val="clear" w:color="auto" w:fill="auto"/>
                  <w:vAlign w:val="center"/>
                </w:tcPr>
                <w:p w14:paraId="2F6D6EFD">
                  <w:pPr>
                    <w:widowControl/>
                    <w:adjustRightInd w:val="0"/>
                    <w:snapToGrid w:val="0"/>
                    <w:jc w:val="center"/>
                    <w:textAlignment w:val="baseline"/>
                    <w:rPr>
                      <w:kern w:val="0"/>
                      <w:szCs w:val="21"/>
                    </w:rPr>
                  </w:pPr>
                </w:p>
              </w:tc>
            </w:tr>
            <w:tr w14:paraId="1D487F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32" w:type="pct"/>
                  <w:vMerge w:val="continue"/>
                  <w:tcBorders>
                    <w:right w:val="single" w:color="000000" w:sz="6" w:space="0"/>
                    <w:insideV w:val="single" w:sz="6" w:space="0"/>
                    <w:tl2br w:val="nil"/>
                    <w:tr2bl w:val="nil"/>
                  </w:tcBorders>
                  <w:shd w:val="clear" w:color="auto" w:fill="auto"/>
                  <w:vAlign w:val="center"/>
                </w:tcPr>
                <w:p w14:paraId="1CEA80BA">
                  <w:pPr>
                    <w:widowControl/>
                    <w:adjustRightInd w:val="0"/>
                    <w:snapToGrid w:val="0"/>
                    <w:jc w:val="center"/>
                    <w:textAlignment w:val="baseline"/>
                    <w:rPr>
                      <w:b/>
                      <w:bCs/>
                      <w:kern w:val="0"/>
                      <w:szCs w:val="21"/>
                    </w:rPr>
                  </w:pPr>
                </w:p>
              </w:tc>
              <w:tc>
                <w:tcPr>
                  <w:tcW w:w="1389" w:type="pct"/>
                  <w:gridSpan w:val="3"/>
                  <w:shd w:val="clear" w:color="auto" w:fill="auto"/>
                  <w:noWrap/>
                  <w:vAlign w:val="center"/>
                </w:tcPr>
                <w:p w14:paraId="6B5933CA">
                  <w:pPr>
                    <w:widowControl/>
                    <w:adjustRightInd w:val="0"/>
                    <w:snapToGrid w:val="0"/>
                    <w:jc w:val="center"/>
                    <w:textAlignment w:val="baseline"/>
                    <w:rPr>
                      <w:kern w:val="0"/>
                      <w:szCs w:val="21"/>
                    </w:rPr>
                  </w:pPr>
                  <w:r>
                    <w:rPr>
                      <w:kern w:val="0"/>
                      <w:szCs w:val="21"/>
                    </w:rPr>
                    <w:t>二期</w:t>
                  </w:r>
                  <w:r>
                    <w:rPr>
                      <w:szCs w:val="21"/>
                    </w:rPr>
                    <w:t>涤纶长丝</w:t>
                  </w:r>
                  <w:r>
                    <w:rPr>
                      <w:kern w:val="0"/>
                      <w:szCs w:val="21"/>
                    </w:rPr>
                    <w:t>合计</w:t>
                  </w:r>
                </w:p>
              </w:tc>
              <w:tc>
                <w:tcPr>
                  <w:tcW w:w="1005" w:type="pct"/>
                  <w:shd w:val="clear" w:color="auto" w:fill="auto"/>
                  <w:noWrap/>
                  <w:vAlign w:val="center"/>
                </w:tcPr>
                <w:p w14:paraId="5824AC84">
                  <w:pPr>
                    <w:widowControl/>
                    <w:adjustRightInd w:val="0"/>
                    <w:snapToGrid w:val="0"/>
                    <w:jc w:val="center"/>
                    <w:textAlignment w:val="baseline"/>
                    <w:rPr>
                      <w:kern w:val="0"/>
                      <w:szCs w:val="21"/>
                    </w:rPr>
                  </w:pPr>
                  <w:r>
                    <w:rPr>
                      <w:kern w:val="0"/>
                      <w:szCs w:val="21"/>
                    </w:rPr>
                    <w:t>10条</w:t>
                  </w:r>
                </w:p>
              </w:tc>
              <w:tc>
                <w:tcPr>
                  <w:tcW w:w="532" w:type="pct"/>
                  <w:shd w:val="clear" w:color="auto" w:fill="auto"/>
                  <w:noWrap/>
                  <w:vAlign w:val="center"/>
                </w:tcPr>
                <w:p w14:paraId="11FB1F98">
                  <w:pPr>
                    <w:widowControl/>
                    <w:adjustRightInd w:val="0"/>
                    <w:snapToGrid w:val="0"/>
                    <w:jc w:val="center"/>
                    <w:textAlignment w:val="baseline"/>
                    <w:rPr>
                      <w:kern w:val="0"/>
                      <w:szCs w:val="21"/>
                    </w:rPr>
                  </w:pPr>
                  <w:r>
                    <w:rPr>
                      <w:kern w:val="0"/>
                      <w:szCs w:val="21"/>
                    </w:rPr>
                    <w:t>10</w:t>
                  </w:r>
                </w:p>
              </w:tc>
              <w:tc>
                <w:tcPr>
                  <w:tcW w:w="734" w:type="pct"/>
                  <w:shd w:val="clear" w:color="auto" w:fill="auto"/>
                  <w:noWrap/>
                  <w:vAlign w:val="center"/>
                </w:tcPr>
                <w:p w14:paraId="69F7C350">
                  <w:pPr>
                    <w:widowControl/>
                    <w:adjustRightInd w:val="0"/>
                    <w:snapToGrid w:val="0"/>
                    <w:jc w:val="center"/>
                    <w:textAlignment w:val="baseline"/>
                    <w:rPr>
                      <w:kern w:val="0"/>
                      <w:szCs w:val="21"/>
                    </w:rPr>
                  </w:pPr>
                  <w:r>
                    <w:rPr>
                      <w:kern w:val="0"/>
                      <w:szCs w:val="21"/>
                    </w:rPr>
                    <w:t>714.2</w:t>
                  </w:r>
                </w:p>
              </w:tc>
              <w:tc>
                <w:tcPr>
                  <w:tcW w:w="622" w:type="pct"/>
                  <w:shd w:val="clear" w:color="auto" w:fill="auto"/>
                  <w:noWrap/>
                  <w:vAlign w:val="center"/>
                </w:tcPr>
                <w:p w14:paraId="610CBDA3">
                  <w:pPr>
                    <w:widowControl/>
                    <w:adjustRightInd w:val="0"/>
                    <w:snapToGrid w:val="0"/>
                    <w:jc w:val="center"/>
                    <w:textAlignment w:val="baseline"/>
                    <w:rPr>
                      <w:kern w:val="0"/>
                      <w:szCs w:val="21"/>
                    </w:rPr>
                  </w:pPr>
                  <w:r>
                    <w:rPr>
                      <w:kern w:val="0"/>
                      <w:szCs w:val="21"/>
                    </w:rPr>
                    <w:t>25</w:t>
                  </w:r>
                </w:p>
              </w:tc>
              <w:tc>
                <w:tcPr>
                  <w:tcW w:w="386" w:type="pct"/>
                  <w:shd w:val="clear" w:color="auto" w:fill="auto"/>
                  <w:vAlign w:val="center"/>
                </w:tcPr>
                <w:p w14:paraId="40D3ED6F">
                  <w:pPr>
                    <w:widowControl/>
                    <w:adjustRightInd w:val="0"/>
                    <w:snapToGrid w:val="0"/>
                    <w:jc w:val="center"/>
                    <w:textAlignment w:val="baseline"/>
                    <w:rPr>
                      <w:kern w:val="0"/>
                      <w:szCs w:val="21"/>
                    </w:rPr>
                  </w:pPr>
                  <w:r>
                    <w:rPr>
                      <w:kern w:val="0"/>
                      <w:szCs w:val="21"/>
                    </w:rPr>
                    <w:t>/</w:t>
                  </w:r>
                </w:p>
              </w:tc>
            </w:tr>
            <w:tr w14:paraId="7ADCC9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32" w:type="pct"/>
                  <w:vMerge w:val="restart"/>
                  <w:tcBorders>
                    <w:right w:val="single" w:color="000000" w:sz="6" w:space="0"/>
                    <w:insideV w:val="single" w:sz="6" w:space="0"/>
                    <w:tl2br w:val="nil"/>
                    <w:tr2bl w:val="nil"/>
                  </w:tcBorders>
                  <w:shd w:val="clear" w:color="auto" w:fill="auto"/>
                  <w:noWrap/>
                  <w:vAlign w:val="center"/>
                </w:tcPr>
                <w:p w14:paraId="0147E3B2">
                  <w:pPr>
                    <w:widowControl/>
                    <w:adjustRightInd w:val="0"/>
                    <w:snapToGrid w:val="0"/>
                    <w:jc w:val="center"/>
                    <w:textAlignment w:val="baseline"/>
                    <w:rPr>
                      <w:b/>
                      <w:bCs/>
                      <w:kern w:val="0"/>
                      <w:szCs w:val="21"/>
                    </w:rPr>
                  </w:pPr>
                  <w:r>
                    <w:rPr>
                      <w:b/>
                      <w:bCs/>
                      <w:szCs w:val="21"/>
                    </w:rPr>
                    <w:t>三期</w:t>
                  </w:r>
                </w:p>
              </w:tc>
              <w:tc>
                <w:tcPr>
                  <w:tcW w:w="386" w:type="pct"/>
                  <w:vMerge w:val="restart"/>
                  <w:shd w:val="clear" w:color="auto" w:fill="auto"/>
                  <w:vAlign w:val="center"/>
                </w:tcPr>
                <w:p w14:paraId="3DF6E4C7">
                  <w:pPr>
                    <w:widowControl/>
                    <w:adjustRightInd w:val="0"/>
                    <w:snapToGrid w:val="0"/>
                    <w:jc w:val="center"/>
                    <w:textAlignment w:val="baseline"/>
                    <w:rPr>
                      <w:kern w:val="0"/>
                      <w:szCs w:val="21"/>
                    </w:rPr>
                  </w:pPr>
                  <w:r>
                    <w:rPr>
                      <w:kern w:val="0"/>
                      <w:szCs w:val="21"/>
                    </w:rPr>
                    <w:t>POY+复合丝</w:t>
                  </w:r>
                </w:p>
              </w:tc>
              <w:tc>
                <w:tcPr>
                  <w:tcW w:w="333" w:type="pct"/>
                  <w:vMerge w:val="restart"/>
                  <w:shd w:val="clear" w:color="auto" w:fill="auto"/>
                  <w:noWrap/>
                  <w:vAlign w:val="center"/>
                </w:tcPr>
                <w:p w14:paraId="43B37A37">
                  <w:pPr>
                    <w:widowControl/>
                    <w:adjustRightInd w:val="0"/>
                    <w:snapToGrid w:val="0"/>
                    <w:jc w:val="center"/>
                    <w:textAlignment w:val="baseline"/>
                    <w:rPr>
                      <w:kern w:val="0"/>
                      <w:szCs w:val="21"/>
                    </w:rPr>
                  </w:pPr>
                  <w:r>
                    <w:rPr>
                      <w:kern w:val="0"/>
                      <w:szCs w:val="21"/>
                    </w:rPr>
                    <w:t>POY</w:t>
                  </w:r>
                </w:p>
              </w:tc>
              <w:tc>
                <w:tcPr>
                  <w:tcW w:w="670" w:type="pct"/>
                  <w:shd w:val="clear" w:color="auto" w:fill="auto"/>
                  <w:noWrap/>
                  <w:vAlign w:val="center"/>
                </w:tcPr>
                <w:p w14:paraId="57645FB4">
                  <w:pPr>
                    <w:widowControl/>
                    <w:adjustRightInd w:val="0"/>
                    <w:snapToGrid w:val="0"/>
                    <w:jc w:val="center"/>
                    <w:textAlignment w:val="baseline"/>
                    <w:rPr>
                      <w:kern w:val="0"/>
                      <w:szCs w:val="21"/>
                    </w:rPr>
                  </w:pPr>
                  <w:r>
                    <w:rPr>
                      <w:kern w:val="0"/>
                      <w:szCs w:val="21"/>
                    </w:rPr>
                    <w:t>50/72半光</w:t>
                  </w:r>
                </w:p>
              </w:tc>
              <w:tc>
                <w:tcPr>
                  <w:tcW w:w="1005" w:type="pct"/>
                  <w:vMerge w:val="restart"/>
                  <w:shd w:val="clear" w:color="auto" w:fill="auto"/>
                  <w:noWrap/>
                  <w:vAlign w:val="center"/>
                </w:tcPr>
                <w:p w14:paraId="40B8606C">
                  <w:pPr>
                    <w:widowControl/>
                    <w:adjustRightInd w:val="0"/>
                    <w:snapToGrid w:val="0"/>
                    <w:jc w:val="center"/>
                    <w:textAlignment w:val="baseline"/>
                    <w:rPr>
                      <w:kern w:val="0"/>
                      <w:szCs w:val="21"/>
                    </w:rPr>
                  </w:pPr>
                  <w:r>
                    <w:rPr>
                      <w:kern w:val="0"/>
                      <w:szCs w:val="21"/>
                    </w:rPr>
                    <w:t>3#、5#、7#、8#</w:t>
                  </w:r>
                </w:p>
                <w:p w14:paraId="7C57D584">
                  <w:pPr>
                    <w:pStyle w:val="2"/>
                    <w:adjustRightInd w:val="0"/>
                    <w:jc w:val="center"/>
                    <w:textAlignment w:val="baseline"/>
                  </w:pPr>
                  <w:r>
                    <w:rPr>
                      <w:sz w:val="21"/>
                      <w:szCs w:val="21"/>
                    </w:rPr>
                    <w:t>（熔体直纺）</w:t>
                  </w:r>
                </w:p>
              </w:tc>
              <w:tc>
                <w:tcPr>
                  <w:tcW w:w="532" w:type="pct"/>
                  <w:shd w:val="clear" w:color="auto" w:fill="auto"/>
                  <w:noWrap/>
                  <w:vAlign w:val="center"/>
                </w:tcPr>
                <w:p w14:paraId="50A71154">
                  <w:pPr>
                    <w:widowControl/>
                    <w:adjustRightInd w:val="0"/>
                    <w:snapToGrid w:val="0"/>
                    <w:jc w:val="center"/>
                    <w:textAlignment w:val="baseline"/>
                    <w:rPr>
                      <w:kern w:val="0"/>
                      <w:szCs w:val="21"/>
                    </w:rPr>
                  </w:pPr>
                  <w:r>
                    <w:rPr>
                      <w:kern w:val="0"/>
                      <w:szCs w:val="21"/>
                    </w:rPr>
                    <w:t>2</w:t>
                  </w:r>
                </w:p>
              </w:tc>
              <w:tc>
                <w:tcPr>
                  <w:tcW w:w="734" w:type="pct"/>
                  <w:shd w:val="clear" w:color="auto" w:fill="auto"/>
                  <w:noWrap/>
                  <w:vAlign w:val="center"/>
                </w:tcPr>
                <w:p w14:paraId="34509E68">
                  <w:pPr>
                    <w:widowControl/>
                    <w:adjustRightInd w:val="0"/>
                    <w:snapToGrid w:val="0"/>
                    <w:jc w:val="center"/>
                    <w:textAlignment w:val="baseline"/>
                    <w:rPr>
                      <w:kern w:val="0"/>
                      <w:szCs w:val="21"/>
                    </w:rPr>
                  </w:pPr>
                  <w:r>
                    <w:rPr>
                      <w:kern w:val="0"/>
                      <w:szCs w:val="21"/>
                    </w:rPr>
                    <w:t>65.7</w:t>
                  </w:r>
                </w:p>
              </w:tc>
              <w:tc>
                <w:tcPr>
                  <w:tcW w:w="622" w:type="pct"/>
                  <w:shd w:val="clear" w:color="auto" w:fill="auto"/>
                  <w:noWrap/>
                  <w:vAlign w:val="center"/>
                </w:tcPr>
                <w:p w14:paraId="13D9BBEC">
                  <w:pPr>
                    <w:widowControl/>
                    <w:adjustRightInd w:val="0"/>
                    <w:snapToGrid w:val="0"/>
                    <w:jc w:val="center"/>
                    <w:textAlignment w:val="baseline"/>
                    <w:rPr>
                      <w:kern w:val="0"/>
                      <w:szCs w:val="21"/>
                    </w:rPr>
                  </w:pPr>
                  <w:r>
                    <w:rPr>
                      <w:kern w:val="0"/>
                      <w:szCs w:val="21"/>
                    </w:rPr>
                    <w:t>2.3</w:t>
                  </w:r>
                </w:p>
              </w:tc>
              <w:tc>
                <w:tcPr>
                  <w:tcW w:w="386" w:type="pct"/>
                  <w:vMerge w:val="restart"/>
                  <w:shd w:val="clear" w:color="auto" w:fill="auto"/>
                  <w:vAlign w:val="center"/>
                </w:tcPr>
                <w:p w14:paraId="230B12CB">
                  <w:pPr>
                    <w:widowControl/>
                    <w:adjustRightInd w:val="0"/>
                    <w:snapToGrid w:val="0"/>
                    <w:jc w:val="center"/>
                    <w:textAlignment w:val="baseline"/>
                    <w:rPr>
                      <w:kern w:val="0"/>
                      <w:szCs w:val="21"/>
                    </w:rPr>
                  </w:pPr>
                  <w:r>
                    <w:rPr>
                      <w:kern w:val="0"/>
                      <w:szCs w:val="21"/>
                    </w:rPr>
                    <w:t>8400</w:t>
                  </w:r>
                </w:p>
              </w:tc>
            </w:tr>
            <w:tr w14:paraId="38F9A7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32" w:type="pct"/>
                  <w:vMerge w:val="continue"/>
                  <w:tcBorders>
                    <w:right w:val="single" w:color="000000" w:sz="6" w:space="0"/>
                    <w:insideV w:val="single" w:sz="6" w:space="0"/>
                    <w:tl2br w:val="nil"/>
                    <w:tr2bl w:val="nil"/>
                  </w:tcBorders>
                  <w:shd w:val="clear" w:color="auto" w:fill="auto"/>
                  <w:vAlign w:val="center"/>
                </w:tcPr>
                <w:p w14:paraId="03202A29">
                  <w:pPr>
                    <w:adjustRightInd w:val="0"/>
                    <w:snapToGrid w:val="0"/>
                    <w:ind w:firstLine="422" w:firstLineChars="200"/>
                    <w:jc w:val="center"/>
                    <w:textAlignment w:val="baseline"/>
                    <w:rPr>
                      <w:b/>
                      <w:bCs/>
                      <w:kern w:val="0"/>
                      <w:szCs w:val="21"/>
                    </w:rPr>
                  </w:pPr>
                </w:p>
              </w:tc>
              <w:tc>
                <w:tcPr>
                  <w:tcW w:w="386" w:type="pct"/>
                  <w:vMerge w:val="continue"/>
                  <w:shd w:val="clear" w:color="auto" w:fill="auto"/>
                  <w:vAlign w:val="center"/>
                </w:tcPr>
                <w:p w14:paraId="03FE1F05">
                  <w:pPr>
                    <w:widowControl/>
                    <w:adjustRightInd w:val="0"/>
                    <w:snapToGrid w:val="0"/>
                    <w:jc w:val="center"/>
                    <w:textAlignment w:val="baseline"/>
                    <w:rPr>
                      <w:kern w:val="0"/>
                      <w:szCs w:val="21"/>
                    </w:rPr>
                  </w:pPr>
                </w:p>
              </w:tc>
              <w:tc>
                <w:tcPr>
                  <w:tcW w:w="333" w:type="pct"/>
                  <w:vMerge w:val="continue"/>
                  <w:shd w:val="clear" w:color="auto" w:fill="auto"/>
                  <w:vAlign w:val="center"/>
                </w:tcPr>
                <w:p w14:paraId="46F8B82B">
                  <w:pPr>
                    <w:widowControl/>
                    <w:adjustRightInd w:val="0"/>
                    <w:snapToGrid w:val="0"/>
                    <w:jc w:val="center"/>
                    <w:textAlignment w:val="baseline"/>
                    <w:rPr>
                      <w:kern w:val="0"/>
                      <w:szCs w:val="21"/>
                    </w:rPr>
                  </w:pPr>
                </w:p>
              </w:tc>
              <w:tc>
                <w:tcPr>
                  <w:tcW w:w="670" w:type="pct"/>
                  <w:shd w:val="clear" w:color="auto" w:fill="auto"/>
                  <w:noWrap/>
                  <w:vAlign w:val="center"/>
                </w:tcPr>
                <w:p w14:paraId="4EBE20AE">
                  <w:pPr>
                    <w:widowControl/>
                    <w:adjustRightInd w:val="0"/>
                    <w:snapToGrid w:val="0"/>
                    <w:jc w:val="center"/>
                    <w:textAlignment w:val="baseline"/>
                    <w:rPr>
                      <w:kern w:val="0"/>
                      <w:szCs w:val="21"/>
                    </w:rPr>
                  </w:pPr>
                  <w:r>
                    <w:rPr>
                      <w:kern w:val="0"/>
                      <w:szCs w:val="21"/>
                    </w:rPr>
                    <w:t>75/36半光</w:t>
                  </w:r>
                </w:p>
              </w:tc>
              <w:tc>
                <w:tcPr>
                  <w:tcW w:w="1005" w:type="pct"/>
                  <w:vMerge w:val="continue"/>
                  <w:shd w:val="clear" w:color="auto" w:fill="auto"/>
                  <w:vAlign w:val="center"/>
                </w:tcPr>
                <w:p w14:paraId="6EF8804F">
                  <w:pPr>
                    <w:widowControl/>
                    <w:adjustRightInd w:val="0"/>
                    <w:snapToGrid w:val="0"/>
                    <w:jc w:val="center"/>
                    <w:textAlignment w:val="baseline"/>
                    <w:rPr>
                      <w:kern w:val="0"/>
                      <w:szCs w:val="21"/>
                    </w:rPr>
                  </w:pPr>
                </w:p>
              </w:tc>
              <w:tc>
                <w:tcPr>
                  <w:tcW w:w="532" w:type="pct"/>
                  <w:shd w:val="clear" w:color="auto" w:fill="auto"/>
                  <w:noWrap/>
                  <w:vAlign w:val="center"/>
                </w:tcPr>
                <w:p w14:paraId="4E5F5361">
                  <w:pPr>
                    <w:widowControl/>
                    <w:adjustRightInd w:val="0"/>
                    <w:snapToGrid w:val="0"/>
                    <w:jc w:val="center"/>
                    <w:textAlignment w:val="baseline"/>
                    <w:rPr>
                      <w:kern w:val="0"/>
                      <w:szCs w:val="21"/>
                    </w:rPr>
                  </w:pPr>
                  <w:r>
                    <w:rPr>
                      <w:kern w:val="0"/>
                      <w:szCs w:val="21"/>
                    </w:rPr>
                    <w:t>1</w:t>
                  </w:r>
                </w:p>
              </w:tc>
              <w:tc>
                <w:tcPr>
                  <w:tcW w:w="734" w:type="pct"/>
                  <w:shd w:val="clear" w:color="auto" w:fill="auto"/>
                  <w:noWrap/>
                  <w:vAlign w:val="center"/>
                </w:tcPr>
                <w:p w14:paraId="3A0E93AB">
                  <w:pPr>
                    <w:widowControl/>
                    <w:adjustRightInd w:val="0"/>
                    <w:snapToGrid w:val="0"/>
                    <w:jc w:val="center"/>
                    <w:textAlignment w:val="baseline"/>
                    <w:rPr>
                      <w:kern w:val="0"/>
                      <w:szCs w:val="21"/>
                    </w:rPr>
                  </w:pPr>
                  <w:r>
                    <w:rPr>
                      <w:kern w:val="0"/>
                      <w:szCs w:val="21"/>
                    </w:rPr>
                    <w:t>82.9</w:t>
                  </w:r>
                </w:p>
              </w:tc>
              <w:tc>
                <w:tcPr>
                  <w:tcW w:w="622" w:type="pct"/>
                  <w:shd w:val="clear" w:color="auto" w:fill="auto"/>
                  <w:noWrap/>
                  <w:vAlign w:val="center"/>
                </w:tcPr>
                <w:p w14:paraId="5C43E262">
                  <w:pPr>
                    <w:widowControl/>
                    <w:adjustRightInd w:val="0"/>
                    <w:snapToGrid w:val="0"/>
                    <w:jc w:val="center"/>
                    <w:textAlignment w:val="baseline"/>
                    <w:rPr>
                      <w:kern w:val="0"/>
                      <w:szCs w:val="21"/>
                    </w:rPr>
                  </w:pPr>
                  <w:r>
                    <w:rPr>
                      <w:kern w:val="0"/>
                      <w:szCs w:val="21"/>
                    </w:rPr>
                    <w:t>2.9</w:t>
                  </w:r>
                </w:p>
              </w:tc>
              <w:tc>
                <w:tcPr>
                  <w:tcW w:w="386" w:type="pct"/>
                  <w:vMerge w:val="continue"/>
                  <w:shd w:val="clear" w:color="auto" w:fill="auto"/>
                  <w:vAlign w:val="center"/>
                </w:tcPr>
                <w:p w14:paraId="3350AC95">
                  <w:pPr>
                    <w:widowControl/>
                    <w:adjustRightInd w:val="0"/>
                    <w:snapToGrid w:val="0"/>
                    <w:jc w:val="center"/>
                    <w:textAlignment w:val="baseline"/>
                    <w:rPr>
                      <w:kern w:val="0"/>
                      <w:szCs w:val="21"/>
                    </w:rPr>
                  </w:pPr>
                </w:p>
              </w:tc>
            </w:tr>
            <w:tr w14:paraId="1FD79A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32" w:type="pct"/>
                  <w:vMerge w:val="continue"/>
                  <w:tcBorders>
                    <w:right w:val="single" w:color="000000" w:sz="6" w:space="0"/>
                    <w:insideV w:val="single" w:sz="6" w:space="0"/>
                    <w:tl2br w:val="nil"/>
                    <w:tr2bl w:val="nil"/>
                  </w:tcBorders>
                  <w:shd w:val="clear" w:color="auto" w:fill="auto"/>
                  <w:vAlign w:val="center"/>
                </w:tcPr>
                <w:p w14:paraId="5CACC442">
                  <w:pPr>
                    <w:adjustRightInd w:val="0"/>
                    <w:snapToGrid w:val="0"/>
                    <w:ind w:firstLine="422" w:firstLineChars="200"/>
                    <w:jc w:val="center"/>
                    <w:textAlignment w:val="baseline"/>
                    <w:rPr>
                      <w:b/>
                      <w:bCs/>
                      <w:kern w:val="0"/>
                      <w:szCs w:val="21"/>
                    </w:rPr>
                  </w:pPr>
                </w:p>
              </w:tc>
              <w:tc>
                <w:tcPr>
                  <w:tcW w:w="386" w:type="pct"/>
                  <w:vMerge w:val="continue"/>
                  <w:shd w:val="clear" w:color="auto" w:fill="auto"/>
                  <w:vAlign w:val="center"/>
                </w:tcPr>
                <w:p w14:paraId="6AF1ED8B">
                  <w:pPr>
                    <w:widowControl/>
                    <w:adjustRightInd w:val="0"/>
                    <w:snapToGrid w:val="0"/>
                    <w:jc w:val="center"/>
                    <w:textAlignment w:val="baseline"/>
                    <w:rPr>
                      <w:kern w:val="0"/>
                      <w:szCs w:val="21"/>
                    </w:rPr>
                  </w:pPr>
                </w:p>
              </w:tc>
              <w:tc>
                <w:tcPr>
                  <w:tcW w:w="333" w:type="pct"/>
                  <w:vMerge w:val="continue"/>
                  <w:shd w:val="clear" w:color="auto" w:fill="auto"/>
                  <w:vAlign w:val="center"/>
                </w:tcPr>
                <w:p w14:paraId="5E32D7F8">
                  <w:pPr>
                    <w:widowControl/>
                    <w:adjustRightInd w:val="0"/>
                    <w:snapToGrid w:val="0"/>
                    <w:jc w:val="center"/>
                    <w:textAlignment w:val="baseline"/>
                    <w:rPr>
                      <w:kern w:val="0"/>
                      <w:szCs w:val="21"/>
                    </w:rPr>
                  </w:pPr>
                </w:p>
              </w:tc>
              <w:tc>
                <w:tcPr>
                  <w:tcW w:w="670" w:type="pct"/>
                  <w:shd w:val="clear" w:color="auto" w:fill="auto"/>
                  <w:noWrap/>
                  <w:vAlign w:val="center"/>
                </w:tcPr>
                <w:p w14:paraId="5F942347">
                  <w:pPr>
                    <w:widowControl/>
                    <w:adjustRightInd w:val="0"/>
                    <w:snapToGrid w:val="0"/>
                    <w:jc w:val="center"/>
                    <w:textAlignment w:val="baseline"/>
                    <w:rPr>
                      <w:kern w:val="0"/>
                      <w:szCs w:val="21"/>
                    </w:rPr>
                  </w:pPr>
                  <w:r>
                    <w:rPr>
                      <w:kern w:val="0"/>
                      <w:szCs w:val="21"/>
                    </w:rPr>
                    <w:t>150/288半光</w:t>
                  </w:r>
                </w:p>
              </w:tc>
              <w:tc>
                <w:tcPr>
                  <w:tcW w:w="1005" w:type="pct"/>
                  <w:vMerge w:val="continue"/>
                  <w:shd w:val="clear" w:color="auto" w:fill="auto"/>
                  <w:vAlign w:val="center"/>
                </w:tcPr>
                <w:p w14:paraId="511A40FF">
                  <w:pPr>
                    <w:widowControl/>
                    <w:adjustRightInd w:val="0"/>
                    <w:snapToGrid w:val="0"/>
                    <w:jc w:val="center"/>
                    <w:textAlignment w:val="baseline"/>
                    <w:rPr>
                      <w:kern w:val="0"/>
                      <w:szCs w:val="21"/>
                    </w:rPr>
                  </w:pPr>
                </w:p>
              </w:tc>
              <w:tc>
                <w:tcPr>
                  <w:tcW w:w="532" w:type="pct"/>
                  <w:shd w:val="clear" w:color="auto" w:fill="auto"/>
                  <w:noWrap/>
                  <w:vAlign w:val="center"/>
                </w:tcPr>
                <w:p w14:paraId="773C472E">
                  <w:pPr>
                    <w:widowControl/>
                    <w:adjustRightInd w:val="0"/>
                    <w:snapToGrid w:val="0"/>
                    <w:jc w:val="center"/>
                    <w:textAlignment w:val="baseline"/>
                    <w:rPr>
                      <w:kern w:val="0"/>
                      <w:szCs w:val="21"/>
                    </w:rPr>
                  </w:pPr>
                  <w:r>
                    <w:rPr>
                      <w:kern w:val="0"/>
                      <w:szCs w:val="21"/>
                    </w:rPr>
                    <w:t>1</w:t>
                  </w:r>
                </w:p>
              </w:tc>
              <w:tc>
                <w:tcPr>
                  <w:tcW w:w="734" w:type="pct"/>
                  <w:shd w:val="clear" w:color="auto" w:fill="auto"/>
                  <w:noWrap/>
                  <w:vAlign w:val="center"/>
                </w:tcPr>
                <w:p w14:paraId="5E83BA07">
                  <w:pPr>
                    <w:widowControl/>
                    <w:adjustRightInd w:val="0"/>
                    <w:snapToGrid w:val="0"/>
                    <w:jc w:val="center"/>
                    <w:textAlignment w:val="baseline"/>
                    <w:rPr>
                      <w:kern w:val="0"/>
                      <w:szCs w:val="21"/>
                    </w:rPr>
                  </w:pPr>
                  <w:r>
                    <w:rPr>
                      <w:kern w:val="0"/>
                      <w:szCs w:val="21"/>
                    </w:rPr>
                    <w:t>148.6</w:t>
                  </w:r>
                </w:p>
              </w:tc>
              <w:tc>
                <w:tcPr>
                  <w:tcW w:w="622" w:type="pct"/>
                  <w:shd w:val="clear" w:color="auto" w:fill="auto"/>
                  <w:vAlign w:val="center"/>
                </w:tcPr>
                <w:p w14:paraId="7E84845E">
                  <w:pPr>
                    <w:widowControl/>
                    <w:adjustRightInd w:val="0"/>
                    <w:snapToGrid w:val="0"/>
                    <w:jc w:val="center"/>
                    <w:textAlignment w:val="baseline"/>
                    <w:rPr>
                      <w:kern w:val="0"/>
                      <w:szCs w:val="21"/>
                    </w:rPr>
                  </w:pPr>
                  <w:r>
                    <w:rPr>
                      <w:kern w:val="0"/>
                      <w:szCs w:val="21"/>
                    </w:rPr>
                    <w:t>5.2</w:t>
                  </w:r>
                </w:p>
              </w:tc>
              <w:tc>
                <w:tcPr>
                  <w:tcW w:w="386" w:type="pct"/>
                  <w:vMerge w:val="continue"/>
                  <w:shd w:val="clear" w:color="auto" w:fill="auto"/>
                  <w:vAlign w:val="center"/>
                </w:tcPr>
                <w:p w14:paraId="3CD70495">
                  <w:pPr>
                    <w:widowControl/>
                    <w:adjustRightInd w:val="0"/>
                    <w:snapToGrid w:val="0"/>
                    <w:jc w:val="center"/>
                    <w:textAlignment w:val="baseline"/>
                    <w:rPr>
                      <w:kern w:val="0"/>
                      <w:szCs w:val="21"/>
                    </w:rPr>
                  </w:pPr>
                </w:p>
              </w:tc>
            </w:tr>
            <w:tr w14:paraId="4F0F37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0" w:hRule="atLeast"/>
                <w:jc w:val="center"/>
              </w:trPr>
              <w:tc>
                <w:tcPr>
                  <w:tcW w:w="332" w:type="pct"/>
                  <w:vMerge w:val="continue"/>
                  <w:tcBorders>
                    <w:right w:val="single" w:color="000000" w:sz="6" w:space="0"/>
                    <w:insideV w:val="single" w:sz="6" w:space="0"/>
                    <w:tl2br w:val="nil"/>
                    <w:tr2bl w:val="nil"/>
                  </w:tcBorders>
                  <w:shd w:val="clear" w:color="auto" w:fill="auto"/>
                  <w:vAlign w:val="center"/>
                </w:tcPr>
                <w:p w14:paraId="2D4E05B3">
                  <w:pPr>
                    <w:adjustRightInd w:val="0"/>
                    <w:snapToGrid w:val="0"/>
                    <w:ind w:firstLine="422" w:firstLineChars="200"/>
                    <w:jc w:val="center"/>
                    <w:textAlignment w:val="baseline"/>
                    <w:rPr>
                      <w:b/>
                      <w:bCs/>
                      <w:kern w:val="0"/>
                      <w:szCs w:val="21"/>
                    </w:rPr>
                  </w:pPr>
                </w:p>
              </w:tc>
              <w:tc>
                <w:tcPr>
                  <w:tcW w:w="386" w:type="pct"/>
                  <w:vMerge w:val="continue"/>
                  <w:shd w:val="clear" w:color="auto" w:fill="auto"/>
                  <w:vAlign w:val="center"/>
                </w:tcPr>
                <w:p w14:paraId="253D7387">
                  <w:pPr>
                    <w:widowControl/>
                    <w:adjustRightInd w:val="0"/>
                    <w:snapToGrid w:val="0"/>
                    <w:jc w:val="center"/>
                    <w:textAlignment w:val="baseline"/>
                    <w:rPr>
                      <w:kern w:val="0"/>
                      <w:szCs w:val="21"/>
                    </w:rPr>
                  </w:pPr>
                </w:p>
              </w:tc>
              <w:tc>
                <w:tcPr>
                  <w:tcW w:w="333" w:type="pct"/>
                  <w:vMerge w:val="restart"/>
                  <w:shd w:val="clear" w:color="auto" w:fill="auto"/>
                  <w:noWrap/>
                  <w:vAlign w:val="center"/>
                </w:tcPr>
                <w:p w14:paraId="4185D12B">
                  <w:pPr>
                    <w:widowControl/>
                    <w:adjustRightInd w:val="0"/>
                    <w:snapToGrid w:val="0"/>
                    <w:jc w:val="center"/>
                    <w:textAlignment w:val="baseline"/>
                    <w:rPr>
                      <w:kern w:val="0"/>
                      <w:szCs w:val="21"/>
                    </w:rPr>
                  </w:pPr>
                  <w:r>
                    <w:rPr>
                      <w:kern w:val="0"/>
                      <w:szCs w:val="21"/>
                    </w:rPr>
                    <w:t>BEY</w:t>
                  </w:r>
                </w:p>
              </w:tc>
              <w:tc>
                <w:tcPr>
                  <w:tcW w:w="670" w:type="pct"/>
                  <w:shd w:val="clear" w:color="auto" w:fill="auto"/>
                  <w:noWrap/>
                  <w:vAlign w:val="center"/>
                </w:tcPr>
                <w:p w14:paraId="45B63144">
                  <w:pPr>
                    <w:widowControl/>
                    <w:adjustRightInd w:val="0"/>
                    <w:snapToGrid w:val="0"/>
                    <w:jc w:val="center"/>
                    <w:textAlignment w:val="baseline"/>
                    <w:rPr>
                      <w:kern w:val="0"/>
                      <w:szCs w:val="21"/>
                    </w:rPr>
                  </w:pPr>
                  <w:r>
                    <w:rPr>
                      <w:kern w:val="0"/>
                      <w:szCs w:val="21"/>
                    </w:rPr>
                    <w:t>150/72</w:t>
                  </w:r>
                </w:p>
              </w:tc>
              <w:tc>
                <w:tcPr>
                  <w:tcW w:w="1005" w:type="pct"/>
                  <w:vMerge w:val="restart"/>
                  <w:shd w:val="clear" w:color="auto" w:fill="auto"/>
                  <w:noWrap/>
                  <w:vAlign w:val="center"/>
                </w:tcPr>
                <w:p w14:paraId="798CE4F3">
                  <w:pPr>
                    <w:widowControl/>
                    <w:adjustRightInd w:val="0"/>
                    <w:snapToGrid w:val="0"/>
                    <w:jc w:val="center"/>
                    <w:textAlignment w:val="baseline"/>
                    <w:rPr>
                      <w:kern w:val="0"/>
                      <w:szCs w:val="21"/>
                    </w:rPr>
                  </w:pPr>
                  <w:r>
                    <w:rPr>
                      <w:kern w:val="0"/>
                      <w:szCs w:val="21"/>
                    </w:rPr>
                    <w:t>1#、2#、4#</w:t>
                  </w:r>
                </w:p>
                <w:p w14:paraId="2D384A05">
                  <w:pPr>
                    <w:widowControl/>
                    <w:adjustRightInd w:val="0"/>
                    <w:snapToGrid w:val="0"/>
                    <w:jc w:val="center"/>
                    <w:textAlignment w:val="baseline"/>
                    <w:rPr>
                      <w:kern w:val="0"/>
                      <w:szCs w:val="21"/>
                    </w:rPr>
                  </w:pPr>
                  <w:r>
                    <w:rPr>
                      <w:kern w:val="0"/>
                      <w:szCs w:val="21"/>
                    </w:rPr>
                    <w:t>（切片纺+</w:t>
                  </w:r>
                  <w:r>
                    <w:rPr>
                      <w:szCs w:val="21"/>
                    </w:rPr>
                    <w:t>熔体直纺</w:t>
                  </w:r>
                  <w:r>
                    <w:rPr>
                      <w:kern w:val="0"/>
                      <w:szCs w:val="21"/>
                    </w:rPr>
                    <w:t>）</w:t>
                  </w:r>
                </w:p>
              </w:tc>
              <w:tc>
                <w:tcPr>
                  <w:tcW w:w="532" w:type="pct"/>
                  <w:shd w:val="clear" w:color="auto" w:fill="auto"/>
                  <w:noWrap/>
                  <w:vAlign w:val="center"/>
                </w:tcPr>
                <w:p w14:paraId="637C7283">
                  <w:pPr>
                    <w:widowControl/>
                    <w:adjustRightInd w:val="0"/>
                    <w:snapToGrid w:val="0"/>
                    <w:jc w:val="center"/>
                    <w:textAlignment w:val="baseline"/>
                    <w:rPr>
                      <w:kern w:val="0"/>
                      <w:szCs w:val="21"/>
                    </w:rPr>
                  </w:pPr>
                  <w:r>
                    <w:rPr>
                      <w:kern w:val="0"/>
                      <w:szCs w:val="21"/>
                    </w:rPr>
                    <w:t>0.5</w:t>
                  </w:r>
                </w:p>
              </w:tc>
              <w:tc>
                <w:tcPr>
                  <w:tcW w:w="734" w:type="pct"/>
                  <w:shd w:val="clear" w:color="auto" w:fill="auto"/>
                  <w:noWrap/>
                  <w:vAlign w:val="center"/>
                </w:tcPr>
                <w:p w14:paraId="3841FD7B">
                  <w:pPr>
                    <w:widowControl/>
                    <w:adjustRightInd w:val="0"/>
                    <w:snapToGrid w:val="0"/>
                    <w:jc w:val="center"/>
                    <w:textAlignment w:val="baseline"/>
                    <w:rPr>
                      <w:kern w:val="0"/>
                      <w:szCs w:val="21"/>
                    </w:rPr>
                  </w:pPr>
                  <w:r>
                    <w:rPr>
                      <w:kern w:val="0"/>
                      <w:szCs w:val="21"/>
                    </w:rPr>
                    <w:t>28.6</w:t>
                  </w:r>
                </w:p>
              </w:tc>
              <w:tc>
                <w:tcPr>
                  <w:tcW w:w="622" w:type="pct"/>
                  <w:shd w:val="clear" w:color="auto" w:fill="auto"/>
                  <w:vAlign w:val="center"/>
                </w:tcPr>
                <w:p w14:paraId="56A6351E">
                  <w:pPr>
                    <w:widowControl/>
                    <w:adjustRightInd w:val="0"/>
                    <w:snapToGrid w:val="0"/>
                    <w:jc w:val="center"/>
                    <w:textAlignment w:val="baseline"/>
                    <w:rPr>
                      <w:kern w:val="0"/>
                      <w:szCs w:val="21"/>
                    </w:rPr>
                  </w:pPr>
                  <w:r>
                    <w:rPr>
                      <w:kern w:val="0"/>
                      <w:szCs w:val="21"/>
                    </w:rPr>
                    <w:t>1</w:t>
                  </w:r>
                </w:p>
              </w:tc>
              <w:tc>
                <w:tcPr>
                  <w:tcW w:w="386" w:type="pct"/>
                  <w:vMerge w:val="restart"/>
                  <w:shd w:val="clear" w:color="auto" w:fill="auto"/>
                  <w:vAlign w:val="center"/>
                </w:tcPr>
                <w:p w14:paraId="4150AD25">
                  <w:pPr>
                    <w:widowControl/>
                    <w:adjustRightInd w:val="0"/>
                    <w:snapToGrid w:val="0"/>
                    <w:jc w:val="center"/>
                    <w:textAlignment w:val="baseline"/>
                    <w:rPr>
                      <w:kern w:val="0"/>
                      <w:szCs w:val="21"/>
                    </w:rPr>
                  </w:pPr>
                  <w:r>
                    <w:rPr>
                      <w:kern w:val="0"/>
                      <w:szCs w:val="21"/>
                    </w:rPr>
                    <w:t>8400</w:t>
                  </w:r>
                </w:p>
              </w:tc>
            </w:tr>
            <w:tr w14:paraId="7FABC8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32" w:type="pct"/>
                  <w:vMerge w:val="continue"/>
                  <w:tcBorders>
                    <w:right w:val="single" w:color="000000" w:sz="6" w:space="0"/>
                    <w:insideV w:val="single" w:sz="6" w:space="0"/>
                    <w:tl2br w:val="nil"/>
                    <w:tr2bl w:val="nil"/>
                  </w:tcBorders>
                  <w:shd w:val="clear" w:color="auto" w:fill="auto"/>
                  <w:vAlign w:val="center"/>
                </w:tcPr>
                <w:p w14:paraId="15DDECF4">
                  <w:pPr>
                    <w:adjustRightInd w:val="0"/>
                    <w:snapToGrid w:val="0"/>
                    <w:ind w:firstLine="422" w:firstLineChars="200"/>
                    <w:jc w:val="center"/>
                    <w:textAlignment w:val="baseline"/>
                    <w:rPr>
                      <w:b/>
                      <w:bCs/>
                      <w:kern w:val="0"/>
                      <w:szCs w:val="21"/>
                    </w:rPr>
                  </w:pPr>
                </w:p>
              </w:tc>
              <w:tc>
                <w:tcPr>
                  <w:tcW w:w="386" w:type="pct"/>
                  <w:vMerge w:val="continue"/>
                  <w:shd w:val="clear" w:color="auto" w:fill="auto"/>
                  <w:vAlign w:val="center"/>
                </w:tcPr>
                <w:p w14:paraId="7DD808CE">
                  <w:pPr>
                    <w:widowControl/>
                    <w:adjustRightInd w:val="0"/>
                    <w:snapToGrid w:val="0"/>
                    <w:jc w:val="center"/>
                    <w:textAlignment w:val="baseline"/>
                    <w:rPr>
                      <w:kern w:val="0"/>
                      <w:szCs w:val="21"/>
                    </w:rPr>
                  </w:pPr>
                </w:p>
              </w:tc>
              <w:tc>
                <w:tcPr>
                  <w:tcW w:w="333" w:type="pct"/>
                  <w:vMerge w:val="continue"/>
                  <w:shd w:val="clear" w:color="auto" w:fill="auto"/>
                  <w:vAlign w:val="center"/>
                </w:tcPr>
                <w:p w14:paraId="63D6C191">
                  <w:pPr>
                    <w:widowControl/>
                    <w:adjustRightInd w:val="0"/>
                    <w:snapToGrid w:val="0"/>
                    <w:jc w:val="center"/>
                    <w:textAlignment w:val="baseline"/>
                    <w:rPr>
                      <w:kern w:val="0"/>
                      <w:szCs w:val="21"/>
                    </w:rPr>
                  </w:pPr>
                </w:p>
              </w:tc>
              <w:tc>
                <w:tcPr>
                  <w:tcW w:w="670" w:type="pct"/>
                  <w:shd w:val="clear" w:color="auto" w:fill="auto"/>
                  <w:vAlign w:val="center"/>
                </w:tcPr>
                <w:p w14:paraId="40CCC5E5">
                  <w:pPr>
                    <w:widowControl/>
                    <w:adjustRightInd w:val="0"/>
                    <w:snapToGrid w:val="0"/>
                    <w:jc w:val="center"/>
                    <w:textAlignment w:val="baseline"/>
                    <w:rPr>
                      <w:kern w:val="0"/>
                      <w:szCs w:val="21"/>
                    </w:rPr>
                  </w:pPr>
                  <w:r>
                    <w:rPr>
                      <w:kern w:val="0"/>
                      <w:szCs w:val="21"/>
                    </w:rPr>
                    <w:t>75/48</w:t>
                  </w:r>
                </w:p>
              </w:tc>
              <w:tc>
                <w:tcPr>
                  <w:tcW w:w="1005" w:type="pct"/>
                  <w:vMerge w:val="continue"/>
                  <w:shd w:val="clear" w:color="auto" w:fill="auto"/>
                  <w:vAlign w:val="center"/>
                </w:tcPr>
                <w:p w14:paraId="0AD0C374">
                  <w:pPr>
                    <w:widowControl/>
                    <w:adjustRightInd w:val="0"/>
                    <w:snapToGrid w:val="0"/>
                    <w:jc w:val="center"/>
                    <w:textAlignment w:val="baseline"/>
                    <w:rPr>
                      <w:kern w:val="0"/>
                      <w:szCs w:val="21"/>
                    </w:rPr>
                  </w:pPr>
                </w:p>
              </w:tc>
              <w:tc>
                <w:tcPr>
                  <w:tcW w:w="532" w:type="pct"/>
                  <w:shd w:val="clear" w:color="auto" w:fill="auto"/>
                  <w:noWrap/>
                  <w:vAlign w:val="center"/>
                </w:tcPr>
                <w:p w14:paraId="05E6E3C7">
                  <w:pPr>
                    <w:widowControl/>
                    <w:adjustRightInd w:val="0"/>
                    <w:snapToGrid w:val="0"/>
                    <w:jc w:val="center"/>
                    <w:textAlignment w:val="baseline"/>
                    <w:rPr>
                      <w:kern w:val="0"/>
                      <w:szCs w:val="21"/>
                    </w:rPr>
                  </w:pPr>
                  <w:r>
                    <w:rPr>
                      <w:kern w:val="0"/>
                      <w:szCs w:val="21"/>
                    </w:rPr>
                    <w:t>2.5</w:t>
                  </w:r>
                </w:p>
              </w:tc>
              <w:tc>
                <w:tcPr>
                  <w:tcW w:w="734" w:type="pct"/>
                  <w:shd w:val="clear" w:color="auto" w:fill="auto"/>
                  <w:noWrap/>
                  <w:vAlign w:val="center"/>
                </w:tcPr>
                <w:p w14:paraId="05BD0A56">
                  <w:pPr>
                    <w:widowControl/>
                    <w:adjustRightInd w:val="0"/>
                    <w:snapToGrid w:val="0"/>
                    <w:jc w:val="center"/>
                    <w:textAlignment w:val="baseline"/>
                    <w:rPr>
                      <w:kern w:val="0"/>
                      <w:szCs w:val="21"/>
                    </w:rPr>
                  </w:pPr>
                  <w:r>
                    <w:rPr>
                      <w:kern w:val="0"/>
                      <w:szCs w:val="21"/>
                    </w:rPr>
                    <w:t>142.9</w:t>
                  </w:r>
                </w:p>
              </w:tc>
              <w:tc>
                <w:tcPr>
                  <w:tcW w:w="622" w:type="pct"/>
                  <w:shd w:val="clear" w:color="auto" w:fill="auto"/>
                  <w:vAlign w:val="center"/>
                </w:tcPr>
                <w:p w14:paraId="40422BD5">
                  <w:pPr>
                    <w:widowControl/>
                    <w:adjustRightInd w:val="0"/>
                    <w:snapToGrid w:val="0"/>
                    <w:jc w:val="center"/>
                    <w:textAlignment w:val="baseline"/>
                    <w:rPr>
                      <w:kern w:val="0"/>
                      <w:szCs w:val="21"/>
                    </w:rPr>
                  </w:pPr>
                  <w:r>
                    <w:rPr>
                      <w:kern w:val="0"/>
                      <w:szCs w:val="21"/>
                    </w:rPr>
                    <w:t>5</w:t>
                  </w:r>
                </w:p>
              </w:tc>
              <w:tc>
                <w:tcPr>
                  <w:tcW w:w="386" w:type="pct"/>
                  <w:vMerge w:val="continue"/>
                  <w:shd w:val="clear" w:color="auto" w:fill="auto"/>
                  <w:vAlign w:val="center"/>
                </w:tcPr>
                <w:p w14:paraId="459852C2">
                  <w:pPr>
                    <w:widowControl/>
                    <w:adjustRightInd w:val="0"/>
                    <w:snapToGrid w:val="0"/>
                    <w:jc w:val="center"/>
                    <w:textAlignment w:val="baseline"/>
                    <w:rPr>
                      <w:kern w:val="0"/>
                      <w:szCs w:val="21"/>
                    </w:rPr>
                  </w:pPr>
                </w:p>
              </w:tc>
            </w:tr>
            <w:tr w14:paraId="3A2ACC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32" w:type="pct"/>
                  <w:vMerge w:val="continue"/>
                  <w:tcBorders>
                    <w:right w:val="single" w:color="000000" w:sz="6" w:space="0"/>
                    <w:insideV w:val="single" w:sz="6" w:space="0"/>
                    <w:tl2br w:val="nil"/>
                    <w:tr2bl w:val="nil"/>
                  </w:tcBorders>
                  <w:shd w:val="clear" w:color="auto" w:fill="auto"/>
                  <w:vAlign w:val="center"/>
                </w:tcPr>
                <w:p w14:paraId="7C2A3451">
                  <w:pPr>
                    <w:adjustRightInd w:val="0"/>
                    <w:snapToGrid w:val="0"/>
                    <w:ind w:firstLine="422" w:firstLineChars="200"/>
                    <w:jc w:val="center"/>
                    <w:textAlignment w:val="baseline"/>
                    <w:rPr>
                      <w:b/>
                      <w:bCs/>
                      <w:kern w:val="0"/>
                      <w:szCs w:val="21"/>
                    </w:rPr>
                  </w:pPr>
                </w:p>
              </w:tc>
              <w:tc>
                <w:tcPr>
                  <w:tcW w:w="386" w:type="pct"/>
                  <w:vMerge w:val="continue"/>
                  <w:shd w:val="clear" w:color="auto" w:fill="auto"/>
                  <w:vAlign w:val="center"/>
                </w:tcPr>
                <w:p w14:paraId="7A25F172">
                  <w:pPr>
                    <w:widowControl/>
                    <w:adjustRightInd w:val="0"/>
                    <w:snapToGrid w:val="0"/>
                    <w:jc w:val="center"/>
                    <w:textAlignment w:val="baseline"/>
                    <w:rPr>
                      <w:kern w:val="0"/>
                      <w:szCs w:val="21"/>
                    </w:rPr>
                  </w:pPr>
                </w:p>
              </w:tc>
              <w:tc>
                <w:tcPr>
                  <w:tcW w:w="333" w:type="pct"/>
                  <w:shd w:val="clear" w:color="auto" w:fill="auto"/>
                  <w:vAlign w:val="center"/>
                </w:tcPr>
                <w:p w14:paraId="1CACA385">
                  <w:pPr>
                    <w:widowControl/>
                    <w:adjustRightInd w:val="0"/>
                    <w:snapToGrid w:val="0"/>
                    <w:jc w:val="center"/>
                    <w:textAlignment w:val="baseline"/>
                    <w:rPr>
                      <w:kern w:val="0"/>
                      <w:szCs w:val="21"/>
                    </w:rPr>
                  </w:pPr>
                  <w:r>
                    <w:rPr>
                      <w:kern w:val="0"/>
                      <w:szCs w:val="21"/>
                    </w:rPr>
                    <w:t>涤锦</w:t>
                  </w:r>
                </w:p>
              </w:tc>
              <w:tc>
                <w:tcPr>
                  <w:tcW w:w="670" w:type="pct"/>
                  <w:shd w:val="clear" w:color="auto" w:fill="auto"/>
                  <w:noWrap/>
                  <w:vAlign w:val="center"/>
                </w:tcPr>
                <w:p w14:paraId="2609D798">
                  <w:pPr>
                    <w:widowControl/>
                    <w:adjustRightInd w:val="0"/>
                    <w:snapToGrid w:val="0"/>
                    <w:jc w:val="center"/>
                    <w:textAlignment w:val="baseline"/>
                    <w:rPr>
                      <w:kern w:val="0"/>
                      <w:szCs w:val="21"/>
                    </w:rPr>
                  </w:pPr>
                  <w:r>
                    <w:rPr>
                      <w:kern w:val="0"/>
                      <w:szCs w:val="21"/>
                    </w:rPr>
                    <w:t>150/72</w:t>
                  </w:r>
                </w:p>
              </w:tc>
              <w:tc>
                <w:tcPr>
                  <w:tcW w:w="1005" w:type="pct"/>
                  <w:shd w:val="clear" w:color="auto" w:fill="auto"/>
                  <w:noWrap/>
                  <w:vAlign w:val="center"/>
                </w:tcPr>
                <w:p w14:paraId="62A0B77C">
                  <w:pPr>
                    <w:widowControl/>
                    <w:adjustRightInd w:val="0"/>
                    <w:snapToGrid w:val="0"/>
                    <w:jc w:val="center"/>
                    <w:textAlignment w:val="baseline"/>
                    <w:rPr>
                      <w:kern w:val="0"/>
                      <w:szCs w:val="21"/>
                    </w:rPr>
                  </w:pPr>
                  <w:r>
                    <w:rPr>
                      <w:kern w:val="0"/>
                      <w:szCs w:val="21"/>
                    </w:rPr>
                    <w:t>6#</w:t>
                  </w:r>
                </w:p>
                <w:p w14:paraId="4AAC0502">
                  <w:pPr>
                    <w:widowControl/>
                    <w:adjustRightInd w:val="0"/>
                    <w:snapToGrid w:val="0"/>
                    <w:jc w:val="center"/>
                    <w:textAlignment w:val="baseline"/>
                    <w:rPr>
                      <w:kern w:val="0"/>
                      <w:szCs w:val="21"/>
                    </w:rPr>
                  </w:pPr>
                  <w:r>
                    <w:rPr>
                      <w:kern w:val="0"/>
                      <w:szCs w:val="21"/>
                    </w:rPr>
                    <w:t>（切片纺+</w:t>
                  </w:r>
                  <w:r>
                    <w:rPr>
                      <w:szCs w:val="21"/>
                    </w:rPr>
                    <w:t>熔体直纺</w:t>
                  </w:r>
                  <w:r>
                    <w:rPr>
                      <w:kern w:val="0"/>
                      <w:szCs w:val="21"/>
                    </w:rPr>
                    <w:t>）</w:t>
                  </w:r>
                </w:p>
              </w:tc>
              <w:tc>
                <w:tcPr>
                  <w:tcW w:w="532" w:type="pct"/>
                  <w:shd w:val="clear" w:color="auto" w:fill="auto"/>
                  <w:noWrap/>
                  <w:vAlign w:val="center"/>
                </w:tcPr>
                <w:p w14:paraId="44490C52">
                  <w:pPr>
                    <w:widowControl/>
                    <w:adjustRightInd w:val="0"/>
                    <w:snapToGrid w:val="0"/>
                    <w:jc w:val="center"/>
                    <w:textAlignment w:val="baseline"/>
                    <w:rPr>
                      <w:kern w:val="0"/>
                      <w:szCs w:val="21"/>
                    </w:rPr>
                  </w:pPr>
                  <w:r>
                    <w:rPr>
                      <w:kern w:val="0"/>
                      <w:szCs w:val="21"/>
                    </w:rPr>
                    <w:t>1</w:t>
                  </w:r>
                </w:p>
              </w:tc>
              <w:tc>
                <w:tcPr>
                  <w:tcW w:w="734" w:type="pct"/>
                  <w:shd w:val="clear" w:color="auto" w:fill="auto"/>
                  <w:noWrap/>
                  <w:vAlign w:val="center"/>
                </w:tcPr>
                <w:p w14:paraId="416A8386">
                  <w:pPr>
                    <w:widowControl/>
                    <w:adjustRightInd w:val="0"/>
                    <w:snapToGrid w:val="0"/>
                    <w:jc w:val="center"/>
                    <w:textAlignment w:val="baseline"/>
                    <w:rPr>
                      <w:kern w:val="0"/>
                      <w:szCs w:val="21"/>
                    </w:rPr>
                  </w:pPr>
                  <w:r>
                    <w:rPr>
                      <w:kern w:val="0"/>
                      <w:szCs w:val="21"/>
                    </w:rPr>
                    <w:t>114.3</w:t>
                  </w:r>
                </w:p>
              </w:tc>
              <w:tc>
                <w:tcPr>
                  <w:tcW w:w="622" w:type="pct"/>
                  <w:shd w:val="clear" w:color="auto" w:fill="auto"/>
                  <w:vAlign w:val="center"/>
                </w:tcPr>
                <w:p w14:paraId="2E448E70">
                  <w:pPr>
                    <w:widowControl/>
                    <w:adjustRightInd w:val="0"/>
                    <w:snapToGrid w:val="0"/>
                    <w:jc w:val="center"/>
                    <w:textAlignment w:val="baseline"/>
                    <w:rPr>
                      <w:kern w:val="0"/>
                      <w:szCs w:val="21"/>
                    </w:rPr>
                  </w:pPr>
                  <w:r>
                    <w:rPr>
                      <w:kern w:val="0"/>
                      <w:szCs w:val="21"/>
                    </w:rPr>
                    <w:t>4</w:t>
                  </w:r>
                </w:p>
              </w:tc>
              <w:tc>
                <w:tcPr>
                  <w:tcW w:w="386" w:type="pct"/>
                  <w:shd w:val="clear" w:color="auto" w:fill="auto"/>
                  <w:vAlign w:val="center"/>
                </w:tcPr>
                <w:p w14:paraId="1719219A">
                  <w:pPr>
                    <w:widowControl/>
                    <w:adjustRightInd w:val="0"/>
                    <w:snapToGrid w:val="0"/>
                    <w:jc w:val="center"/>
                    <w:textAlignment w:val="baseline"/>
                    <w:rPr>
                      <w:kern w:val="0"/>
                      <w:szCs w:val="21"/>
                    </w:rPr>
                  </w:pPr>
                  <w:r>
                    <w:rPr>
                      <w:kern w:val="0"/>
                      <w:szCs w:val="21"/>
                    </w:rPr>
                    <w:t>8400</w:t>
                  </w:r>
                </w:p>
              </w:tc>
            </w:tr>
            <w:tr w14:paraId="33E4A0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32" w:type="pct"/>
                  <w:vMerge w:val="continue"/>
                  <w:tcBorders>
                    <w:right w:val="single" w:color="000000" w:sz="6" w:space="0"/>
                    <w:insideV w:val="single" w:sz="6" w:space="0"/>
                    <w:tl2br w:val="nil"/>
                    <w:tr2bl w:val="nil"/>
                  </w:tcBorders>
                  <w:shd w:val="clear" w:color="auto" w:fill="auto"/>
                  <w:vAlign w:val="center"/>
                </w:tcPr>
                <w:p w14:paraId="16EC0754">
                  <w:pPr>
                    <w:adjustRightInd w:val="0"/>
                    <w:snapToGrid w:val="0"/>
                    <w:ind w:firstLine="422" w:firstLineChars="200"/>
                    <w:jc w:val="center"/>
                    <w:textAlignment w:val="baseline"/>
                    <w:rPr>
                      <w:b/>
                      <w:bCs/>
                      <w:kern w:val="0"/>
                      <w:szCs w:val="21"/>
                    </w:rPr>
                  </w:pPr>
                </w:p>
              </w:tc>
              <w:tc>
                <w:tcPr>
                  <w:tcW w:w="719" w:type="pct"/>
                  <w:gridSpan w:val="2"/>
                  <w:shd w:val="clear" w:color="auto" w:fill="auto"/>
                  <w:noWrap/>
                  <w:vAlign w:val="center"/>
                </w:tcPr>
                <w:p w14:paraId="77E1F030">
                  <w:pPr>
                    <w:widowControl/>
                    <w:adjustRightInd w:val="0"/>
                    <w:snapToGrid w:val="0"/>
                    <w:jc w:val="center"/>
                    <w:textAlignment w:val="baseline"/>
                    <w:rPr>
                      <w:kern w:val="0"/>
                      <w:szCs w:val="21"/>
                    </w:rPr>
                  </w:pPr>
                  <w:r>
                    <w:rPr>
                      <w:kern w:val="0"/>
                      <w:szCs w:val="21"/>
                    </w:rPr>
                    <w:t>FDY</w:t>
                  </w:r>
                </w:p>
              </w:tc>
              <w:tc>
                <w:tcPr>
                  <w:tcW w:w="670" w:type="pct"/>
                  <w:shd w:val="clear" w:color="auto" w:fill="auto"/>
                  <w:noWrap/>
                  <w:vAlign w:val="center"/>
                </w:tcPr>
                <w:p w14:paraId="31C85700">
                  <w:pPr>
                    <w:widowControl/>
                    <w:adjustRightInd w:val="0"/>
                    <w:snapToGrid w:val="0"/>
                    <w:jc w:val="center"/>
                    <w:textAlignment w:val="baseline"/>
                    <w:rPr>
                      <w:kern w:val="0"/>
                      <w:szCs w:val="21"/>
                    </w:rPr>
                  </w:pPr>
                  <w:r>
                    <w:rPr>
                      <w:kern w:val="0"/>
                      <w:szCs w:val="21"/>
                    </w:rPr>
                    <w:t>50/24半光</w:t>
                  </w:r>
                </w:p>
              </w:tc>
              <w:tc>
                <w:tcPr>
                  <w:tcW w:w="1005" w:type="pct"/>
                  <w:shd w:val="clear" w:color="auto" w:fill="auto"/>
                  <w:noWrap/>
                  <w:vAlign w:val="center"/>
                </w:tcPr>
                <w:p w14:paraId="6DBE74B0">
                  <w:pPr>
                    <w:widowControl/>
                    <w:adjustRightInd w:val="0"/>
                    <w:snapToGrid w:val="0"/>
                    <w:jc w:val="center"/>
                    <w:textAlignment w:val="baseline"/>
                    <w:rPr>
                      <w:kern w:val="0"/>
                      <w:szCs w:val="21"/>
                    </w:rPr>
                  </w:pPr>
                  <w:r>
                    <w:rPr>
                      <w:kern w:val="0"/>
                      <w:szCs w:val="21"/>
                    </w:rPr>
                    <w:t>9#、10#、11#、12#</w:t>
                  </w:r>
                </w:p>
                <w:p w14:paraId="3E8F6E09">
                  <w:pPr>
                    <w:pStyle w:val="2"/>
                    <w:adjustRightInd w:val="0"/>
                    <w:jc w:val="center"/>
                    <w:textAlignment w:val="baseline"/>
                  </w:pPr>
                  <w:r>
                    <w:rPr>
                      <w:sz w:val="21"/>
                      <w:szCs w:val="21"/>
                    </w:rPr>
                    <w:t>（熔体直纺+熔体直纺）</w:t>
                  </w:r>
                </w:p>
              </w:tc>
              <w:tc>
                <w:tcPr>
                  <w:tcW w:w="532" w:type="pct"/>
                  <w:shd w:val="clear" w:color="auto" w:fill="auto"/>
                  <w:noWrap/>
                  <w:vAlign w:val="center"/>
                </w:tcPr>
                <w:p w14:paraId="1F7D30E7">
                  <w:pPr>
                    <w:widowControl/>
                    <w:adjustRightInd w:val="0"/>
                    <w:snapToGrid w:val="0"/>
                    <w:jc w:val="center"/>
                    <w:textAlignment w:val="baseline"/>
                    <w:rPr>
                      <w:kern w:val="0"/>
                      <w:szCs w:val="21"/>
                    </w:rPr>
                  </w:pPr>
                  <w:r>
                    <w:rPr>
                      <w:kern w:val="0"/>
                      <w:szCs w:val="21"/>
                    </w:rPr>
                    <w:t>4</w:t>
                  </w:r>
                </w:p>
              </w:tc>
              <w:tc>
                <w:tcPr>
                  <w:tcW w:w="734" w:type="pct"/>
                  <w:shd w:val="clear" w:color="auto" w:fill="auto"/>
                  <w:noWrap/>
                  <w:vAlign w:val="center"/>
                </w:tcPr>
                <w:p w14:paraId="20C9DB65">
                  <w:pPr>
                    <w:widowControl/>
                    <w:adjustRightInd w:val="0"/>
                    <w:snapToGrid w:val="0"/>
                    <w:jc w:val="center"/>
                    <w:textAlignment w:val="baseline"/>
                    <w:rPr>
                      <w:kern w:val="0"/>
                      <w:szCs w:val="21"/>
                    </w:rPr>
                  </w:pPr>
                  <w:r>
                    <w:rPr>
                      <w:kern w:val="0"/>
                      <w:szCs w:val="21"/>
                    </w:rPr>
                    <w:t>274.3</w:t>
                  </w:r>
                </w:p>
              </w:tc>
              <w:tc>
                <w:tcPr>
                  <w:tcW w:w="622" w:type="pct"/>
                  <w:shd w:val="clear" w:color="auto" w:fill="auto"/>
                  <w:noWrap/>
                  <w:vAlign w:val="center"/>
                </w:tcPr>
                <w:p w14:paraId="7AF2847C">
                  <w:pPr>
                    <w:widowControl/>
                    <w:adjustRightInd w:val="0"/>
                    <w:snapToGrid w:val="0"/>
                    <w:jc w:val="center"/>
                    <w:textAlignment w:val="baseline"/>
                    <w:rPr>
                      <w:kern w:val="0"/>
                      <w:szCs w:val="21"/>
                    </w:rPr>
                  </w:pPr>
                  <w:r>
                    <w:rPr>
                      <w:kern w:val="0"/>
                      <w:szCs w:val="21"/>
                    </w:rPr>
                    <w:t>9.6</w:t>
                  </w:r>
                </w:p>
              </w:tc>
              <w:tc>
                <w:tcPr>
                  <w:tcW w:w="386" w:type="pct"/>
                  <w:shd w:val="clear" w:color="auto" w:fill="auto"/>
                  <w:vAlign w:val="center"/>
                </w:tcPr>
                <w:p w14:paraId="44D17E3C">
                  <w:pPr>
                    <w:widowControl/>
                    <w:adjustRightInd w:val="0"/>
                    <w:snapToGrid w:val="0"/>
                    <w:jc w:val="center"/>
                    <w:textAlignment w:val="baseline"/>
                    <w:rPr>
                      <w:kern w:val="0"/>
                      <w:szCs w:val="21"/>
                    </w:rPr>
                  </w:pPr>
                  <w:r>
                    <w:rPr>
                      <w:kern w:val="0"/>
                      <w:szCs w:val="21"/>
                    </w:rPr>
                    <w:t>8400</w:t>
                  </w:r>
                </w:p>
              </w:tc>
            </w:tr>
            <w:tr w14:paraId="0D02C2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32" w:type="pct"/>
                  <w:vMerge w:val="continue"/>
                  <w:tcBorders>
                    <w:right w:val="single" w:color="000000" w:sz="6" w:space="0"/>
                    <w:insideV w:val="single" w:sz="6" w:space="0"/>
                    <w:tl2br w:val="nil"/>
                    <w:tr2bl w:val="nil"/>
                  </w:tcBorders>
                  <w:shd w:val="clear" w:color="auto" w:fill="auto"/>
                  <w:vAlign w:val="center"/>
                </w:tcPr>
                <w:p w14:paraId="64FEC232">
                  <w:pPr>
                    <w:adjustRightInd w:val="0"/>
                    <w:snapToGrid w:val="0"/>
                    <w:ind w:firstLine="422"/>
                    <w:jc w:val="center"/>
                    <w:textAlignment w:val="baseline"/>
                    <w:rPr>
                      <w:b/>
                      <w:bCs/>
                      <w:kern w:val="0"/>
                      <w:szCs w:val="21"/>
                    </w:rPr>
                  </w:pPr>
                </w:p>
              </w:tc>
              <w:tc>
                <w:tcPr>
                  <w:tcW w:w="1389" w:type="pct"/>
                  <w:gridSpan w:val="3"/>
                  <w:shd w:val="clear" w:color="auto" w:fill="auto"/>
                  <w:noWrap/>
                  <w:vAlign w:val="center"/>
                </w:tcPr>
                <w:p w14:paraId="1C6CDC0C">
                  <w:pPr>
                    <w:widowControl/>
                    <w:adjustRightInd w:val="0"/>
                    <w:snapToGrid w:val="0"/>
                    <w:jc w:val="center"/>
                    <w:textAlignment w:val="baseline"/>
                    <w:rPr>
                      <w:kern w:val="0"/>
                      <w:szCs w:val="21"/>
                    </w:rPr>
                  </w:pPr>
                  <w:r>
                    <w:rPr>
                      <w:kern w:val="0"/>
                      <w:szCs w:val="21"/>
                    </w:rPr>
                    <w:t>三期</w:t>
                  </w:r>
                  <w:r>
                    <w:rPr>
                      <w:szCs w:val="21"/>
                    </w:rPr>
                    <w:t>涤纶长丝</w:t>
                  </w:r>
                  <w:r>
                    <w:rPr>
                      <w:kern w:val="0"/>
                      <w:szCs w:val="21"/>
                    </w:rPr>
                    <w:t>合计</w:t>
                  </w:r>
                </w:p>
              </w:tc>
              <w:tc>
                <w:tcPr>
                  <w:tcW w:w="1005" w:type="pct"/>
                  <w:shd w:val="clear" w:color="auto" w:fill="auto"/>
                  <w:noWrap/>
                  <w:vAlign w:val="center"/>
                </w:tcPr>
                <w:p w14:paraId="174270B5">
                  <w:pPr>
                    <w:widowControl/>
                    <w:adjustRightInd w:val="0"/>
                    <w:snapToGrid w:val="0"/>
                    <w:jc w:val="center"/>
                    <w:textAlignment w:val="baseline"/>
                    <w:rPr>
                      <w:kern w:val="0"/>
                      <w:szCs w:val="21"/>
                    </w:rPr>
                  </w:pPr>
                  <w:r>
                    <w:rPr>
                      <w:kern w:val="0"/>
                      <w:szCs w:val="21"/>
                    </w:rPr>
                    <w:t>12条</w:t>
                  </w:r>
                </w:p>
              </w:tc>
              <w:tc>
                <w:tcPr>
                  <w:tcW w:w="532" w:type="pct"/>
                  <w:shd w:val="clear" w:color="auto" w:fill="auto"/>
                  <w:noWrap/>
                  <w:vAlign w:val="center"/>
                </w:tcPr>
                <w:p w14:paraId="6AEA9A01">
                  <w:pPr>
                    <w:widowControl/>
                    <w:adjustRightInd w:val="0"/>
                    <w:snapToGrid w:val="0"/>
                    <w:jc w:val="center"/>
                    <w:textAlignment w:val="baseline"/>
                    <w:rPr>
                      <w:kern w:val="0"/>
                      <w:szCs w:val="21"/>
                    </w:rPr>
                  </w:pPr>
                  <w:r>
                    <w:rPr>
                      <w:kern w:val="0"/>
                      <w:szCs w:val="21"/>
                    </w:rPr>
                    <w:t>12</w:t>
                  </w:r>
                </w:p>
              </w:tc>
              <w:tc>
                <w:tcPr>
                  <w:tcW w:w="734" w:type="pct"/>
                  <w:shd w:val="clear" w:color="auto" w:fill="auto"/>
                  <w:noWrap/>
                  <w:vAlign w:val="center"/>
                </w:tcPr>
                <w:p w14:paraId="452318CA">
                  <w:pPr>
                    <w:widowControl/>
                    <w:adjustRightInd w:val="0"/>
                    <w:snapToGrid w:val="0"/>
                    <w:jc w:val="center"/>
                    <w:textAlignment w:val="baseline"/>
                    <w:rPr>
                      <w:kern w:val="0"/>
                      <w:szCs w:val="21"/>
                    </w:rPr>
                  </w:pPr>
                  <w:r>
                    <w:rPr>
                      <w:kern w:val="0"/>
                      <w:szCs w:val="21"/>
                    </w:rPr>
                    <w:t>857.1</w:t>
                  </w:r>
                </w:p>
              </w:tc>
              <w:tc>
                <w:tcPr>
                  <w:tcW w:w="622" w:type="pct"/>
                  <w:shd w:val="clear" w:color="auto" w:fill="auto"/>
                  <w:noWrap/>
                  <w:vAlign w:val="center"/>
                </w:tcPr>
                <w:p w14:paraId="6E7AE41B">
                  <w:pPr>
                    <w:widowControl/>
                    <w:adjustRightInd w:val="0"/>
                    <w:snapToGrid w:val="0"/>
                    <w:jc w:val="center"/>
                    <w:textAlignment w:val="baseline"/>
                    <w:rPr>
                      <w:kern w:val="0"/>
                      <w:szCs w:val="21"/>
                    </w:rPr>
                  </w:pPr>
                  <w:r>
                    <w:rPr>
                      <w:kern w:val="0"/>
                      <w:szCs w:val="21"/>
                    </w:rPr>
                    <w:t>30</w:t>
                  </w:r>
                </w:p>
              </w:tc>
              <w:tc>
                <w:tcPr>
                  <w:tcW w:w="386" w:type="pct"/>
                  <w:shd w:val="clear" w:color="auto" w:fill="auto"/>
                  <w:vAlign w:val="center"/>
                </w:tcPr>
                <w:p w14:paraId="7B8DE122">
                  <w:pPr>
                    <w:widowControl/>
                    <w:adjustRightInd w:val="0"/>
                    <w:snapToGrid w:val="0"/>
                    <w:jc w:val="center"/>
                    <w:textAlignment w:val="baseline"/>
                    <w:rPr>
                      <w:kern w:val="0"/>
                      <w:szCs w:val="21"/>
                    </w:rPr>
                  </w:pPr>
                </w:p>
              </w:tc>
            </w:tr>
          </w:tbl>
          <w:p w14:paraId="3DFE9A68">
            <w:pPr>
              <w:pStyle w:val="76"/>
              <w:spacing w:line="500" w:lineRule="exact"/>
              <w:ind w:firstLine="480"/>
            </w:pPr>
            <w:r>
              <w:t>上述产品中均为本项目生产的目标产物，分别设置了单独的生产线。涤纶预取向丝（POY）产品、涤纶牵伸丝（FDY）产品，参照使用国家标准或行业标准生产，包括《涤纶预取向丝》</w:t>
            </w:r>
            <w:r>
              <w:rPr>
                <w:rFonts w:hint="eastAsia"/>
              </w:rPr>
              <w:t>（</w:t>
            </w:r>
            <w:r>
              <w:t>FZ/T54003-2012</w:t>
            </w:r>
            <w:r>
              <w:rPr>
                <w:rFonts w:hint="eastAsia"/>
              </w:rPr>
              <w:t>）</w:t>
            </w:r>
            <w:r>
              <w:t>、《涤纶牵伸丝》</w:t>
            </w:r>
            <w:r>
              <w:rPr>
                <w:rFonts w:hint="eastAsia"/>
              </w:rPr>
              <w:t>（</w:t>
            </w:r>
            <w:r>
              <w:t>GB/T8960-2015</w:t>
            </w:r>
            <w:r>
              <w:rPr>
                <w:rFonts w:hint="eastAsia"/>
              </w:rPr>
              <w:t>）</w:t>
            </w:r>
            <w:r>
              <w:t>等。对于目前国标中不能涵盖的涤纶复合丝（BEY、涤锦）等产品，企业自行拟定了企业标准。</w:t>
            </w:r>
            <w:r>
              <w:rPr>
                <w:rFonts w:hint="eastAsia"/>
              </w:rPr>
              <w:t>BEY、涤锦属于本项目的目标产品，且包含在三期项目备案30万吨产能中，故作为产品管理。上述</w:t>
            </w:r>
            <w:r>
              <w:t>标准均对产品的有效成分含量、有害成分限量及使用用途等要素进行了要求和控制。详细指标见表2-</w:t>
            </w:r>
            <w:r>
              <w:rPr>
                <w:rFonts w:hint="eastAsia"/>
              </w:rPr>
              <w:t>7</w:t>
            </w:r>
            <w:r>
              <w:t>。</w:t>
            </w:r>
          </w:p>
          <w:p w14:paraId="6B765A5A">
            <w:pPr>
              <w:jc w:val="center"/>
              <w:rPr>
                <w:b/>
                <w:sz w:val="24"/>
                <w:szCs w:val="32"/>
              </w:rPr>
            </w:pPr>
            <w:r>
              <w:rPr>
                <w:b/>
                <w:sz w:val="24"/>
                <w:szCs w:val="32"/>
              </w:rPr>
              <w:t>表2-</w:t>
            </w:r>
            <w:r>
              <w:rPr>
                <w:rFonts w:hint="eastAsia"/>
                <w:b/>
                <w:sz w:val="24"/>
                <w:szCs w:val="32"/>
              </w:rPr>
              <w:t>7</w:t>
            </w:r>
            <w:r>
              <w:rPr>
                <w:b/>
                <w:sz w:val="24"/>
                <w:szCs w:val="32"/>
              </w:rPr>
              <w:t>（1）  涤纶预取向丝（POY）质量指标（FZ/T 54003-2012）</w:t>
            </w:r>
          </w:p>
          <w:tbl>
            <w:tblPr>
              <w:tblStyle w:val="4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59"/>
              <w:gridCol w:w="358"/>
              <w:gridCol w:w="492"/>
              <w:gridCol w:w="669"/>
              <w:gridCol w:w="672"/>
              <w:gridCol w:w="672"/>
              <w:gridCol w:w="672"/>
              <w:gridCol w:w="672"/>
              <w:gridCol w:w="672"/>
              <w:gridCol w:w="672"/>
              <w:gridCol w:w="672"/>
              <w:gridCol w:w="672"/>
              <w:gridCol w:w="672"/>
            </w:tblGrid>
            <w:tr w14:paraId="50BBFD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214" w:type="pct"/>
                  <w:vMerge w:val="restart"/>
                  <w:vAlign w:val="center"/>
                </w:tcPr>
                <w:p w14:paraId="36750EFB">
                  <w:pPr>
                    <w:pStyle w:val="296"/>
                    <w:spacing w:line="240" w:lineRule="auto"/>
                    <w:ind w:firstLine="0" w:firstLineChars="0"/>
                    <w:jc w:val="center"/>
                    <w:rPr>
                      <w:b/>
                      <w:bCs/>
                      <w:sz w:val="18"/>
                      <w:szCs w:val="18"/>
                    </w:rPr>
                  </w:pPr>
                  <w:r>
                    <w:rPr>
                      <w:b/>
                      <w:bCs/>
                      <w:sz w:val="18"/>
                      <w:szCs w:val="18"/>
                    </w:rPr>
                    <w:t>序</w:t>
                  </w:r>
                </w:p>
                <w:p w14:paraId="43CC7665">
                  <w:pPr>
                    <w:pStyle w:val="296"/>
                    <w:spacing w:line="240" w:lineRule="auto"/>
                    <w:ind w:firstLine="0" w:firstLineChars="0"/>
                    <w:jc w:val="center"/>
                    <w:rPr>
                      <w:b/>
                      <w:bCs/>
                      <w:sz w:val="18"/>
                      <w:szCs w:val="18"/>
                    </w:rPr>
                  </w:pPr>
                  <w:r>
                    <w:rPr>
                      <w:b/>
                      <w:bCs/>
                      <w:sz w:val="18"/>
                      <w:szCs w:val="18"/>
                    </w:rPr>
                    <w:t>号</w:t>
                  </w:r>
                </w:p>
              </w:tc>
              <w:tc>
                <w:tcPr>
                  <w:tcW w:w="520" w:type="pct"/>
                  <w:gridSpan w:val="2"/>
                  <w:vMerge w:val="restart"/>
                  <w:vAlign w:val="center"/>
                </w:tcPr>
                <w:p w14:paraId="15E6D7E9">
                  <w:pPr>
                    <w:pStyle w:val="296"/>
                    <w:spacing w:line="240" w:lineRule="auto"/>
                    <w:ind w:firstLine="0" w:firstLineChars="0"/>
                    <w:jc w:val="center"/>
                    <w:rPr>
                      <w:b/>
                      <w:bCs/>
                      <w:sz w:val="18"/>
                      <w:szCs w:val="18"/>
                    </w:rPr>
                  </w:pPr>
                  <w:r>
                    <w:rPr>
                      <w:b/>
                      <w:bCs/>
                      <w:sz w:val="18"/>
                      <w:szCs w:val="18"/>
                    </w:rPr>
                    <w:t>项目</w:t>
                  </w:r>
                </w:p>
              </w:tc>
              <w:tc>
                <w:tcPr>
                  <w:tcW w:w="425" w:type="pct"/>
                  <w:vMerge w:val="restart"/>
                  <w:vAlign w:val="center"/>
                </w:tcPr>
                <w:p w14:paraId="53F5C99B">
                  <w:pPr>
                    <w:pStyle w:val="296"/>
                    <w:spacing w:line="240" w:lineRule="auto"/>
                    <w:ind w:firstLine="0" w:firstLineChars="0"/>
                    <w:jc w:val="center"/>
                    <w:rPr>
                      <w:b/>
                      <w:bCs/>
                      <w:sz w:val="18"/>
                      <w:szCs w:val="18"/>
                    </w:rPr>
                  </w:pPr>
                  <w:r>
                    <w:rPr>
                      <w:b/>
                      <w:bCs/>
                      <w:sz w:val="18"/>
                      <w:szCs w:val="18"/>
                    </w:rPr>
                    <w:t>计量</w:t>
                  </w:r>
                </w:p>
                <w:p w14:paraId="17440F7C">
                  <w:pPr>
                    <w:pStyle w:val="296"/>
                    <w:spacing w:line="240" w:lineRule="auto"/>
                    <w:ind w:firstLine="0" w:firstLineChars="0"/>
                    <w:jc w:val="center"/>
                    <w:rPr>
                      <w:b/>
                      <w:bCs/>
                      <w:sz w:val="18"/>
                      <w:szCs w:val="18"/>
                    </w:rPr>
                  </w:pPr>
                  <w:r>
                    <w:rPr>
                      <w:b/>
                      <w:bCs/>
                      <w:sz w:val="18"/>
                      <w:szCs w:val="18"/>
                    </w:rPr>
                    <w:t>单位</w:t>
                  </w:r>
                </w:p>
              </w:tc>
              <w:tc>
                <w:tcPr>
                  <w:tcW w:w="3841" w:type="pct"/>
                  <w:gridSpan w:val="9"/>
                  <w:vAlign w:val="center"/>
                </w:tcPr>
                <w:p w14:paraId="2912C929">
                  <w:pPr>
                    <w:pStyle w:val="296"/>
                    <w:spacing w:line="240" w:lineRule="auto"/>
                    <w:ind w:firstLine="0" w:firstLineChars="0"/>
                    <w:jc w:val="center"/>
                    <w:rPr>
                      <w:b/>
                      <w:bCs/>
                      <w:sz w:val="18"/>
                      <w:szCs w:val="18"/>
                    </w:rPr>
                  </w:pPr>
                  <w:r>
                    <w:rPr>
                      <w:b/>
                      <w:bCs/>
                      <w:sz w:val="18"/>
                      <w:szCs w:val="18"/>
                    </w:rPr>
                    <w:t>分类</w:t>
                  </w:r>
                </w:p>
              </w:tc>
            </w:tr>
            <w:tr w14:paraId="51F973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214" w:type="pct"/>
                  <w:vMerge w:val="continue"/>
                  <w:vAlign w:val="center"/>
                </w:tcPr>
                <w:p w14:paraId="5704FF2F">
                  <w:pPr>
                    <w:pStyle w:val="296"/>
                    <w:spacing w:line="240" w:lineRule="auto"/>
                    <w:ind w:firstLine="0" w:firstLineChars="0"/>
                    <w:jc w:val="center"/>
                    <w:rPr>
                      <w:b/>
                      <w:bCs/>
                      <w:sz w:val="18"/>
                      <w:szCs w:val="18"/>
                    </w:rPr>
                  </w:pPr>
                </w:p>
              </w:tc>
              <w:tc>
                <w:tcPr>
                  <w:tcW w:w="520" w:type="pct"/>
                  <w:gridSpan w:val="2"/>
                  <w:vMerge w:val="continue"/>
                  <w:vAlign w:val="center"/>
                </w:tcPr>
                <w:p w14:paraId="75BE9A1E">
                  <w:pPr>
                    <w:pStyle w:val="296"/>
                    <w:spacing w:line="240" w:lineRule="auto"/>
                    <w:ind w:firstLine="0" w:firstLineChars="0"/>
                    <w:jc w:val="center"/>
                    <w:rPr>
                      <w:b/>
                      <w:bCs/>
                      <w:sz w:val="18"/>
                      <w:szCs w:val="18"/>
                    </w:rPr>
                  </w:pPr>
                </w:p>
              </w:tc>
              <w:tc>
                <w:tcPr>
                  <w:tcW w:w="425" w:type="pct"/>
                  <w:vMerge w:val="continue"/>
                  <w:vAlign w:val="center"/>
                </w:tcPr>
                <w:p w14:paraId="2C2B6E41">
                  <w:pPr>
                    <w:pStyle w:val="296"/>
                    <w:spacing w:line="240" w:lineRule="auto"/>
                    <w:ind w:firstLine="0" w:firstLineChars="0"/>
                    <w:jc w:val="center"/>
                    <w:rPr>
                      <w:b/>
                      <w:bCs/>
                      <w:sz w:val="18"/>
                      <w:szCs w:val="18"/>
                    </w:rPr>
                  </w:pPr>
                </w:p>
              </w:tc>
              <w:tc>
                <w:tcPr>
                  <w:tcW w:w="1280" w:type="pct"/>
                  <w:gridSpan w:val="3"/>
                  <w:vAlign w:val="center"/>
                </w:tcPr>
                <w:p w14:paraId="1931891C">
                  <w:pPr>
                    <w:pStyle w:val="296"/>
                    <w:spacing w:line="240" w:lineRule="auto"/>
                    <w:ind w:firstLine="0" w:firstLineChars="0"/>
                    <w:jc w:val="center"/>
                    <w:rPr>
                      <w:b/>
                      <w:bCs/>
                      <w:sz w:val="18"/>
                      <w:szCs w:val="18"/>
                    </w:rPr>
                  </w:pPr>
                  <w:r>
                    <w:rPr>
                      <w:b/>
                      <w:bCs/>
                      <w:sz w:val="18"/>
                      <w:szCs w:val="18"/>
                    </w:rPr>
                    <w:t>1.5dtex≤dpf&lt;2.9dtex</w:t>
                  </w:r>
                </w:p>
              </w:tc>
              <w:tc>
                <w:tcPr>
                  <w:tcW w:w="1280" w:type="pct"/>
                  <w:gridSpan w:val="3"/>
                  <w:vAlign w:val="center"/>
                </w:tcPr>
                <w:p w14:paraId="1C65B451">
                  <w:pPr>
                    <w:pStyle w:val="296"/>
                    <w:spacing w:line="240" w:lineRule="auto"/>
                    <w:ind w:firstLine="0" w:firstLineChars="0"/>
                    <w:jc w:val="center"/>
                    <w:rPr>
                      <w:b/>
                      <w:bCs/>
                      <w:sz w:val="18"/>
                      <w:szCs w:val="18"/>
                    </w:rPr>
                  </w:pPr>
                  <w:r>
                    <w:rPr>
                      <w:b/>
                      <w:bCs/>
                      <w:sz w:val="18"/>
                      <w:szCs w:val="18"/>
                    </w:rPr>
                    <w:t>2.9dtex≤dpf&lt;5.0dtex</w:t>
                  </w:r>
                </w:p>
              </w:tc>
              <w:tc>
                <w:tcPr>
                  <w:tcW w:w="1280" w:type="pct"/>
                  <w:gridSpan w:val="3"/>
                  <w:vAlign w:val="center"/>
                </w:tcPr>
                <w:p w14:paraId="04C3434C">
                  <w:pPr>
                    <w:pStyle w:val="296"/>
                    <w:spacing w:line="240" w:lineRule="auto"/>
                    <w:ind w:firstLine="0" w:firstLineChars="0"/>
                    <w:jc w:val="center"/>
                    <w:rPr>
                      <w:b/>
                      <w:bCs/>
                      <w:sz w:val="18"/>
                      <w:szCs w:val="18"/>
                    </w:rPr>
                  </w:pPr>
                  <w:r>
                    <w:rPr>
                      <w:b/>
                      <w:bCs/>
                      <w:sz w:val="18"/>
                      <w:szCs w:val="18"/>
                    </w:rPr>
                    <w:t>5.0dtex≤dpf&lt;10.0dtex</w:t>
                  </w:r>
                </w:p>
              </w:tc>
            </w:tr>
            <w:tr w14:paraId="1D14CD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214" w:type="pct"/>
                  <w:vMerge w:val="continue"/>
                  <w:vAlign w:val="center"/>
                </w:tcPr>
                <w:p w14:paraId="69C1AAFF">
                  <w:pPr>
                    <w:pStyle w:val="296"/>
                    <w:spacing w:line="240" w:lineRule="auto"/>
                    <w:ind w:firstLine="0" w:firstLineChars="0"/>
                    <w:jc w:val="center"/>
                    <w:rPr>
                      <w:b/>
                      <w:bCs/>
                      <w:sz w:val="18"/>
                      <w:szCs w:val="18"/>
                    </w:rPr>
                  </w:pPr>
                </w:p>
              </w:tc>
              <w:tc>
                <w:tcPr>
                  <w:tcW w:w="520" w:type="pct"/>
                  <w:gridSpan w:val="2"/>
                  <w:vMerge w:val="continue"/>
                  <w:vAlign w:val="center"/>
                </w:tcPr>
                <w:p w14:paraId="45C9F0D2">
                  <w:pPr>
                    <w:pStyle w:val="296"/>
                    <w:spacing w:line="240" w:lineRule="auto"/>
                    <w:ind w:firstLine="0" w:firstLineChars="0"/>
                    <w:jc w:val="center"/>
                    <w:rPr>
                      <w:b/>
                      <w:bCs/>
                      <w:sz w:val="18"/>
                      <w:szCs w:val="18"/>
                    </w:rPr>
                  </w:pPr>
                </w:p>
              </w:tc>
              <w:tc>
                <w:tcPr>
                  <w:tcW w:w="425" w:type="pct"/>
                  <w:vMerge w:val="continue"/>
                  <w:vAlign w:val="center"/>
                </w:tcPr>
                <w:p w14:paraId="6F288F9D">
                  <w:pPr>
                    <w:pStyle w:val="296"/>
                    <w:spacing w:line="240" w:lineRule="auto"/>
                    <w:ind w:firstLine="0" w:firstLineChars="0"/>
                    <w:jc w:val="center"/>
                    <w:rPr>
                      <w:b/>
                      <w:bCs/>
                      <w:sz w:val="18"/>
                      <w:szCs w:val="18"/>
                    </w:rPr>
                  </w:pPr>
                </w:p>
              </w:tc>
              <w:tc>
                <w:tcPr>
                  <w:tcW w:w="427" w:type="pct"/>
                  <w:vAlign w:val="center"/>
                </w:tcPr>
                <w:p w14:paraId="021A6663">
                  <w:pPr>
                    <w:pStyle w:val="296"/>
                    <w:spacing w:line="240" w:lineRule="auto"/>
                    <w:ind w:firstLine="0" w:firstLineChars="0"/>
                    <w:jc w:val="center"/>
                    <w:rPr>
                      <w:b/>
                      <w:bCs/>
                      <w:sz w:val="18"/>
                      <w:szCs w:val="18"/>
                    </w:rPr>
                  </w:pPr>
                  <w:r>
                    <w:rPr>
                      <w:b/>
                      <w:bCs/>
                      <w:sz w:val="18"/>
                      <w:szCs w:val="18"/>
                    </w:rPr>
                    <w:t>优等品</w:t>
                  </w:r>
                </w:p>
              </w:tc>
              <w:tc>
                <w:tcPr>
                  <w:tcW w:w="427" w:type="pct"/>
                  <w:vAlign w:val="center"/>
                </w:tcPr>
                <w:p w14:paraId="49D68A41">
                  <w:pPr>
                    <w:pStyle w:val="296"/>
                    <w:spacing w:line="240" w:lineRule="auto"/>
                    <w:ind w:firstLine="0" w:firstLineChars="0"/>
                    <w:jc w:val="center"/>
                    <w:rPr>
                      <w:b/>
                      <w:bCs/>
                      <w:sz w:val="18"/>
                      <w:szCs w:val="18"/>
                    </w:rPr>
                  </w:pPr>
                  <w:r>
                    <w:rPr>
                      <w:b/>
                      <w:bCs/>
                      <w:sz w:val="18"/>
                      <w:szCs w:val="18"/>
                    </w:rPr>
                    <w:t>一等品</w:t>
                  </w:r>
                </w:p>
              </w:tc>
              <w:tc>
                <w:tcPr>
                  <w:tcW w:w="427" w:type="pct"/>
                  <w:vAlign w:val="center"/>
                </w:tcPr>
                <w:p w14:paraId="4682B27C">
                  <w:pPr>
                    <w:pStyle w:val="296"/>
                    <w:spacing w:line="240" w:lineRule="auto"/>
                    <w:ind w:firstLine="0" w:firstLineChars="0"/>
                    <w:jc w:val="center"/>
                    <w:rPr>
                      <w:b/>
                      <w:bCs/>
                      <w:sz w:val="18"/>
                      <w:szCs w:val="18"/>
                    </w:rPr>
                  </w:pPr>
                  <w:r>
                    <w:rPr>
                      <w:b/>
                      <w:bCs/>
                      <w:sz w:val="18"/>
                      <w:szCs w:val="18"/>
                    </w:rPr>
                    <w:t>合格品</w:t>
                  </w:r>
                </w:p>
              </w:tc>
              <w:tc>
                <w:tcPr>
                  <w:tcW w:w="427" w:type="pct"/>
                  <w:vAlign w:val="center"/>
                </w:tcPr>
                <w:p w14:paraId="1F062BD8">
                  <w:pPr>
                    <w:pStyle w:val="296"/>
                    <w:spacing w:line="240" w:lineRule="auto"/>
                    <w:ind w:firstLine="0" w:firstLineChars="0"/>
                    <w:jc w:val="center"/>
                    <w:rPr>
                      <w:b/>
                      <w:bCs/>
                      <w:sz w:val="18"/>
                      <w:szCs w:val="18"/>
                    </w:rPr>
                  </w:pPr>
                  <w:r>
                    <w:rPr>
                      <w:b/>
                      <w:bCs/>
                      <w:sz w:val="18"/>
                      <w:szCs w:val="18"/>
                    </w:rPr>
                    <w:t>优等品</w:t>
                  </w:r>
                </w:p>
              </w:tc>
              <w:tc>
                <w:tcPr>
                  <w:tcW w:w="427" w:type="pct"/>
                  <w:vAlign w:val="center"/>
                </w:tcPr>
                <w:p w14:paraId="4ACCCD6B">
                  <w:pPr>
                    <w:pStyle w:val="296"/>
                    <w:spacing w:line="240" w:lineRule="auto"/>
                    <w:ind w:firstLine="0" w:firstLineChars="0"/>
                    <w:jc w:val="center"/>
                    <w:rPr>
                      <w:b/>
                      <w:bCs/>
                      <w:sz w:val="18"/>
                      <w:szCs w:val="18"/>
                    </w:rPr>
                  </w:pPr>
                  <w:r>
                    <w:rPr>
                      <w:b/>
                      <w:bCs/>
                      <w:sz w:val="18"/>
                      <w:szCs w:val="18"/>
                    </w:rPr>
                    <w:t>一等品</w:t>
                  </w:r>
                </w:p>
              </w:tc>
              <w:tc>
                <w:tcPr>
                  <w:tcW w:w="427" w:type="pct"/>
                  <w:vAlign w:val="center"/>
                </w:tcPr>
                <w:p w14:paraId="2DF15472">
                  <w:pPr>
                    <w:pStyle w:val="296"/>
                    <w:spacing w:line="240" w:lineRule="auto"/>
                    <w:ind w:firstLine="0" w:firstLineChars="0"/>
                    <w:jc w:val="center"/>
                    <w:rPr>
                      <w:b/>
                      <w:bCs/>
                      <w:sz w:val="18"/>
                      <w:szCs w:val="18"/>
                    </w:rPr>
                  </w:pPr>
                  <w:r>
                    <w:rPr>
                      <w:b/>
                      <w:bCs/>
                      <w:sz w:val="18"/>
                      <w:szCs w:val="18"/>
                    </w:rPr>
                    <w:t>合格品</w:t>
                  </w:r>
                </w:p>
              </w:tc>
              <w:tc>
                <w:tcPr>
                  <w:tcW w:w="427" w:type="pct"/>
                  <w:vAlign w:val="center"/>
                </w:tcPr>
                <w:p w14:paraId="1E415356">
                  <w:pPr>
                    <w:pStyle w:val="296"/>
                    <w:spacing w:line="240" w:lineRule="auto"/>
                    <w:ind w:firstLine="0" w:firstLineChars="0"/>
                    <w:jc w:val="center"/>
                    <w:rPr>
                      <w:b/>
                      <w:bCs/>
                      <w:sz w:val="18"/>
                      <w:szCs w:val="18"/>
                    </w:rPr>
                  </w:pPr>
                  <w:r>
                    <w:rPr>
                      <w:b/>
                      <w:bCs/>
                      <w:sz w:val="18"/>
                      <w:szCs w:val="18"/>
                    </w:rPr>
                    <w:t>优等品</w:t>
                  </w:r>
                </w:p>
              </w:tc>
              <w:tc>
                <w:tcPr>
                  <w:tcW w:w="427" w:type="pct"/>
                  <w:vAlign w:val="center"/>
                </w:tcPr>
                <w:p w14:paraId="4B26CD61">
                  <w:pPr>
                    <w:pStyle w:val="296"/>
                    <w:spacing w:line="240" w:lineRule="auto"/>
                    <w:ind w:firstLine="0" w:firstLineChars="0"/>
                    <w:jc w:val="center"/>
                    <w:rPr>
                      <w:b/>
                      <w:bCs/>
                      <w:sz w:val="18"/>
                      <w:szCs w:val="18"/>
                    </w:rPr>
                  </w:pPr>
                  <w:r>
                    <w:rPr>
                      <w:b/>
                      <w:bCs/>
                      <w:sz w:val="18"/>
                      <w:szCs w:val="18"/>
                    </w:rPr>
                    <w:t>一等品</w:t>
                  </w:r>
                </w:p>
              </w:tc>
              <w:tc>
                <w:tcPr>
                  <w:tcW w:w="427" w:type="pct"/>
                  <w:vAlign w:val="center"/>
                </w:tcPr>
                <w:p w14:paraId="2AA1D27D">
                  <w:pPr>
                    <w:pStyle w:val="296"/>
                    <w:spacing w:line="240" w:lineRule="auto"/>
                    <w:ind w:firstLine="0" w:firstLineChars="0"/>
                    <w:jc w:val="center"/>
                    <w:rPr>
                      <w:b/>
                      <w:bCs/>
                      <w:sz w:val="18"/>
                      <w:szCs w:val="18"/>
                    </w:rPr>
                  </w:pPr>
                  <w:r>
                    <w:rPr>
                      <w:b/>
                      <w:bCs/>
                      <w:sz w:val="18"/>
                      <w:szCs w:val="18"/>
                    </w:rPr>
                    <w:t>合格品</w:t>
                  </w:r>
                </w:p>
              </w:tc>
            </w:tr>
            <w:tr w14:paraId="043A46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4" w:type="pct"/>
                  <w:vAlign w:val="center"/>
                </w:tcPr>
                <w:p w14:paraId="421C2A93">
                  <w:pPr>
                    <w:pStyle w:val="296"/>
                    <w:spacing w:line="240" w:lineRule="auto"/>
                    <w:ind w:firstLine="0" w:firstLineChars="0"/>
                    <w:jc w:val="center"/>
                    <w:rPr>
                      <w:sz w:val="18"/>
                      <w:szCs w:val="18"/>
                    </w:rPr>
                  </w:pPr>
                  <w:r>
                    <w:rPr>
                      <w:sz w:val="18"/>
                      <w:szCs w:val="18"/>
                    </w:rPr>
                    <w:t>1</w:t>
                  </w:r>
                </w:p>
              </w:tc>
              <w:tc>
                <w:tcPr>
                  <w:tcW w:w="520" w:type="pct"/>
                  <w:gridSpan w:val="2"/>
                  <w:vAlign w:val="center"/>
                </w:tcPr>
                <w:p w14:paraId="4D9A0E09">
                  <w:pPr>
                    <w:pStyle w:val="296"/>
                    <w:spacing w:line="240" w:lineRule="auto"/>
                    <w:ind w:firstLine="0" w:firstLineChars="0"/>
                    <w:jc w:val="center"/>
                    <w:rPr>
                      <w:sz w:val="18"/>
                      <w:szCs w:val="18"/>
                    </w:rPr>
                  </w:pPr>
                  <w:r>
                    <w:rPr>
                      <w:sz w:val="18"/>
                      <w:szCs w:val="18"/>
                    </w:rPr>
                    <w:t>线密度偏差率</w:t>
                  </w:r>
                </w:p>
              </w:tc>
              <w:tc>
                <w:tcPr>
                  <w:tcW w:w="425" w:type="pct"/>
                  <w:vAlign w:val="center"/>
                </w:tcPr>
                <w:p w14:paraId="2A1957CC">
                  <w:pPr>
                    <w:pStyle w:val="296"/>
                    <w:spacing w:line="240" w:lineRule="auto"/>
                    <w:ind w:firstLine="0" w:firstLineChars="0"/>
                    <w:jc w:val="center"/>
                    <w:rPr>
                      <w:sz w:val="18"/>
                      <w:szCs w:val="18"/>
                    </w:rPr>
                  </w:pPr>
                  <w:r>
                    <w:rPr>
                      <w:sz w:val="18"/>
                      <w:szCs w:val="18"/>
                    </w:rPr>
                    <w:t>%</w:t>
                  </w:r>
                </w:p>
              </w:tc>
              <w:tc>
                <w:tcPr>
                  <w:tcW w:w="427" w:type="pct"/>
                  <w:vAlign w:val="center"/>
                </w:tcPr>
                <w:p w14:paraId="2949EF7F">
                  <w:pPr>
                    <w:pStyle w:val="296"/>
                    <w:spacing w:line="240" w:lineRule="auto"/>
                    <w:ind w:firstLine="0" w:firstLineChars="0"/>
                    <w:jc w:val="center"/>
                    <w:rPr>
                      <w:sz w:val="18"/>
                      <w:szCs w:val="18"/>
                    </w:rPr>
                  </w:pPr>
                  <w:r>
                    <w:rPr>
                      <w:sz w:val="18"/>
                      <w:szCs w:val="18"/>
                    </w:rPr>
                    <w:t>±2.0</w:t>
                  </w:r>
                </w:p>
              </w:tc>
              <w:tc>
                <w:tcPr>
                  <w:tcW w:w="427" w:type="pct"/>
                  <w:vAlign w:val="center"/>
                </w:tcPr>
                <w:p w14:paraId="1475B26E">
                  <w:pPr>
                    <w:pStyle w:val="296"/>
                    <w:spacing w:line="240" w:lineRule="auto"/>
                    <w:ind w:firstLine="0" w:firstLineChars="0"/>
                    <w:jc w:val="center"/>
                    <w:rPr>
                      <w:sz w:val="18"/>
                      <w:szCs w:val="18"/>
                    </w:rPr>
                  </w:pPr>
                  <w:r>
                    <w:rPr>
                      <w:sz w:val="18"/>
                      <w:szCs w:val="18"/>
                    </w:rPr>
                    <w:t>±2.5</w:t>
                  </w:r>
                </w:p>
              </w:tc>
              <w:tc>
                <w:tcPr>
                  <w:tcW w:w="427" w:type="pct"/>
                  <w:vAlign w:val="center"/>
                </w:tcPr>
                <w:p w14:paraId="024AF0E5">
                  <w:pPr>
                    <w:pStyle w:val="296"/>
                    <w:spacing w:line="240" w:lineRule="auto"/>
                    <w:ind w:firstLine="0" w:firstLineChars="0"/>
                    <w:jc w:val="center"/>
                    <w:rPr>
                      <w:sz w:val="18"/>
                      <w:szCs w:val="18"/>
                    </w:rPr>
                  </w:pPr>
                  <w:r>
                    <w:rPr>
                      <w:sz w:val="18"/>
                      <w:szCs w:val="18"/>
                    </w:rPr>
                    <w:t>±3.0</w:t>
                  </w:r>
                </w:p>
              </w:tc>
              <w:tc>
                <w:tcPr>
                  <w:tcW w:w="427" w:type="pct"/>
                  <w:vAlign w:val="center"/>
                </w:tcPr>
                <w:p w14:paraId="100826E2">
                  <w:pPr>
                    <w:pStyle w:val="296"/>
                    <w:spacing w:line="240" w:lineRule="auto"/>
                    <w:ind w:firstLine="0" w:firstLineChars="0"/>
                    <w:jc w:val="center"/>
                    <w:rPr>
                      <w:sz w:val="18"/>
                      <w:szCs w:val="18"/>
                    </w:rPr>
                  </w:pPr>
                  <w:r>
                    <w:rPr>
                      <w:sz w:val="18"/>
                      <w:szCs w:val="18"/>
                    </w:rPr>
                    <w:t>±2.0</w:t>
                  </w:r>
                </w:p>
              </w:tc>
              <w:tc>
                <w:tcPr>
                  <w:tcW w:w="427" w:type="pct"/>
                  <w:vAlign w:val="center"/>
                </w:tcPr>
                <w:p w14:paraId="23C86D98">
                  <w:pPr>
                    <w:pStyle w:val="296"/>
                    <w:spacing w:line="240" w:lineRule="auto"/>
                    <w:ind w:firstLine="0" w:firstLineChars="0"/>
                    <w:jc w:val="center"/>
                    <w:rPr>
                      <w:sz w:val="18"/>
                      <w:szCs w:val="18"/>
                    </w:rPr>
                  </w:pPr>
                  <w:r>
                    <w:rPr>
                      <w:sz w:val="18"/>
                      <w:szCs w:val="18"/>
                    </w:rPr>
                    <w:t>±2.5</w:t>
                  </w:r>
                </w:p>
              </w:tc>
              <w:tc>
                <w:tcPr>
                  <w:tcW w:w="427" w:type="pct"/>
                  <w:vAlign w:val="center"/>
                </w:tcPr>
                <w:p w14:paraId="5B212141">
                  <w:pPr>
                    <w:pStyle w:val="296"/>
                    <w:spacing w:line="240" w:lineRule="auto"/>
                    <w:ind w:firstLine="0" w:firstLineChars="0"/>
                    <w:jc w:val="center"/>
                    <w:rPr>
                      <w:sz w:val="18"/>
                      <w:szCs w:val="18"/>
                    </w:rPr>
                  </w:pPr>
                  <w:r>
                    <w:rPr>
                      <w:sz w:val="18"/>
                      <w:szCs w:val="18"/>
                    </w:rPr>
                    <w:t>±3.0</w:t>
                  </w:r>
                </w:p>
              </w:tc>
              <w:tc>
                <w:tcPr>
                  <w:tcW w:w="427" w:type="pct"/>
                  <w:vAlign w:val="center"/>
                </w:tcPr>
                <w:p w14:paraId="2105ADEE">
                  <w:pPr>
                    <w:pStyle w:val="296"/>
                    <w:spacing w:line="240" w:lineRule="auto"/>
                    <w:ind w:firstLine="0" w:firstLineChars="0"/>
                    <w:jc w:val="center"/>
                    <w:rPr>
                      <w:sz w:val="18"/>
                      <w:szCs w:val="18"/>
                    </w:rPr>
                  </w:pPr>
                  <w:r>
                    <w:rPr>
                      <w:sz w:val="18"/>
                      <w:szCs w:val="18"/>
                    </w:rPr>
                    <w:t>±2.0</w:t>
                  </w:r>
                </w:p>
              </w:tc>
              <w:tc>
                <w:tcPr>
                  <w:tcW w:w="427" w:type="pct"/>
                  <w:vAlign w:val="center"/>
                </w:tcPr>
                <w:p w14:paraId="71EE4BD7">
                  <w:pPr>
                    <w:pStyle w:val="296"/>
                    <w:spacing w:line="240" w:lineRule="auto"/>
                    <w:ind w:firstLine="0" w:firstLineChars="0"/>
                    <w:jc w:val="center"/>
                    <w:rPr>
                      <w:sz w:val="18"/>
                      <w:szCs w:val="18"/>
                    </w:rPr>
                  </w:pPr>
                  <w:r>
                    <w:rPr>
                      <w:sz w:val="18"/>
                      <w:szCs w:val="18"/>
                    </w:rPr>
                    <w:t>±2.5</w:t>
                  </w:r>
                </w:p>
              </w:tc>
              <w:tc>
                <w:tcPr>
                  <w:tcW w:w="427" w:type="pct"/>
                  <w:vAlign w:val="center"/>
                </w:tcPr>
                <w:p w14:paraId="5DE062C7">
                  <w:pPr>
                    <w:pStyle w:val="296"/>
                    <w:spacing w:line="240" w:lineRule="auto"/>
                    <w:ind w:firstLine="0" w:firstLineChars="0"/>
                    <w:jc w:val="center"/>
                    <w:rPr>
                      <w:sz w:val="18"/>
                      <w:szCs w:val="18"/>
                    </w:rPr>
                  </w:pPr>
                  <w:r>
                    <w:rPr>
                      <w:sz w:val="18"/>
                      <w:szCs w:val="18"/>
                    </w:rPr>
                    <w:t>±3.0</w:t>
                  </w:r>
                </w:p>
              </w:tc>
            </w:tr>
            <w:tr w14:paraId="0081B7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4" w:type="pct"/>
                  <w:vAlign w:val="center"/>
                </w:tcPr>
                <w:p w14:paraId="4ABE16BB">
                  <w:pPr>
                    <w:pStyle w:val="296"/>
                    <w:spacing w:line="240" w:lineRule="auto"/>
                    <w:ind w:firstLine="0" w:firstLineChars="0"/>
                    <w:jc w:val="center"/>
                    <w:rPr>
                      <w:sz w:val="18"/>
                      <w:szCs w:val="18"/>
                    </w:rPr>
                  </w:pPr>
                  <w:r>
                    <w:rPr>
                      <w:sz w:val="18"/>
                      <w:szCs w:val="18"/>
                    </w:rPr>
                    <w:t>2</w:t>
                  </w:r>
                </w:p>
              </w:tc>
              <w:tc>
                <w:tcPr>
                  <w:tcW w:w="520" w:type="pct"/>
                  <w:gridSpan w:val="2"/>
                  <w:vAlign w:val="center"/>
                </w:tcPr>
                <w:p w14:paraId="797ADA79">
                  <w:pPr>
                    <w:pStyle w:val="296"/>
                    <w:spacing w:line="240" w:lineRule="auto"/>
                    <w:ind w:firstLine="0" w:firstLineChars="0"/>
                    <w:jc w:val="center"/>
                    <w:rPr>
                      <w:sz w:val="18"/>
                      <w:szCs w:val="18"/>
                    </w:rPr>
                  </w:pPr>
                  <w:r>
                    <w:rPr>
                      <w:sz w:val="18"/>
                      <w:szCs w:val="18"/>
                    </w:rPr>
                    <w:t>线密度变异系数CVb  ≤</w:t>
                  </w:r>
                </w:p>
              </w:tc>
              <w:tc>
                <w:tcPr>
                  <w:tcW w:w="425" w:type="pct"/>
                  <w:vAlign w:val="center"/>
                </w:tcPr>
                <w:p w14:paraId="791C4C4A">
                  <w:pPr>
                    <w:pStyle w:val="296"/>
                    <w:spacing w:line="240" w:lineRule="auto"/>
                    <w:ind w:firstLine="0" w:firstLineChars="0"/>
                    <w:jc w:val="center"/>
                    <w:rPr>
                      <w:sz w:val="18"/>
                      <w:szCs w:val="18"/>
                    </w:rPr>
                  </w:pPr>
                  <w:r>
                    <w:rPr>
                      <w:sz w:val="18"/>
                      <w:szCs w:val="18"/>
                    </w:rPr>
                    <w:t>%</w:t>
                  </w:r>
                </w:p>
              </w:tc>
              <w:tc>
                <w:tcPr>
                  <w:tcW w:w="427" w:type="pct"/>
                  <w:vAlign w:val="center"/>
                </w:tcPr>
                <w:p w14:paraId="4DA7A84C">
                  <w:pPr>
                    <w:pStyle w:val="296"/>
                    <w:spacing w:line="240" w:lineRule="auto"/>
                    <w:ind w:firstLine="0" w:firstLineChars="0"/>
                    <w:jc w:val="center"/>
                    <w:rPr>
                      <w:sz w:val="18"/>
                      <w:szCs w:val="18"/>
                    </w:rPr>
                  </w:pPr>
                  <w:r>
                    <w:rPr>
                      <w:sz w:val="18"/>
                      <w:szCs w:val="18"/>
                    </w:rPr>
                    <w:t>0.60</w:t>
                  </w:r>
                </w:p>
              </w:tc>
              <w:tc>
                <w:tcPr>
                  <w:tcW w:w="427" w:type="pct"/>
                  <w:vAlign w:val="center"/>
                </w:tcPr>
                <w:p w14:paraId="33F0375D">
                  <w:pPr>
                    <w:pStyle w:val="296"/>
                    <w:spacing w:line="240" w:lineRule="auto"/>
                    <w:ind w:firstLine="0" w:firstLineChars="0"/>
                    <w:jc w:val="center"/>
                    <w:rPr>
                      <w:sz w:val="18"/>
                      <w:szCs w:val="18"/>
                    </w:rPr>
                  </w:pPr>
                  <w:r>
                    <w:rPr>
                      <w:sz w:val="18"/>
                      <w:szCs w:val="18"/>
                    </w:rPr>
                    <w:t>0.80</w:t>
                  </w:r>
                </w:p>
              </w:tc>
              <w:tc>
                <w:tcPr>
                  <w:tcW w:w="427" w:type="pct"/>
                  <w:vAlign w:val="center"/>
                </w:tcPr>
                <w:p w14:paraId="2188B6C4">
                  <w:pPr>
                    <w:pStyle w:val="296"/>
                    <w:spacing w:line="240" w:lineRule="auto"/>
                    <w:ind w:firstLine="0" w:firstLineChars="0"/>
                    <w:jc w:val="center"/>
                    <w:rPr>
                      <w:sz w:val="18"/>
                      <w:szCs w:val="18"/>
                    </w:rPr>
                  </w:pPr>
                  <w:r>
                    <w:rPr>
                      <w:sz w:val="18"/>
                      <w:szCs w:val="18"/>
                    </w:rPr>
                    <w:t>1.1</w:t>
                  </w:r>
                </w:p>
              </w:tc>
              <w:tc>
                <w:tcPr>
                  <w:tcW w:w="427" w:type="pct"/>
                  <w:vAlign w:val="center"/>
                </w:tcPr>
                <w:p w14:paraId="14D837BA">
                  <w:pPr>
                    <w:pStyle w:val="296"/>
                    <w:spacing w:line="240" w:lineRule="auto"/>
                    <w:ind w:firstLine="0" w:firstLineChars="0"/>
                    <w:jc w:val="center"/>
                    <w:rPr>
                      <w:sz w:val="18"/>
                      <w:szCs w:val="18"/>
                    </w:rPr>
                  </w:pPr>
                  <w:r>
                    <w:rPr>
                      <w:sz w:val="18"/>
                      <w:szCs w:val="18"/>
                    </w:rPr>
                    <w:t>0.50</w:t>
                  </w:r>
                </w:p>
              </w:tc>
              <w:tc>
                <w:tcPr>
                  <w:tcW w:w="427" w:type="pct"/>
                  <w:vAlign w:val="center"/>
                </w:tcPr>
                <w:p w14:paraId="45DE88BA">
                  <w:pPr>
                    <w:pStyle w:val="296"/>
                    <w:spacing w:line="240" w:lineRule="auto"/>
                    <w:ind w:firstLine="0" w:firstLineChars="0"/>
                    <w:jc w:val="center"/>
                    <w:rPr>
                      <w:sz w:val="18"/>
                      <w:szCs w:val="18"/>
                    </w:rPr>
                  </w:pPr>
                  <w:r>
                    <w:rPr>
                      <w:sz w:val="18"/>
                      <w:szCs w:val="18"/>
                    </w:rPr>
                    <w:t>0.70</w:t>
                  </w:r>
                </w:p>
              </w:tc>
              <w:tc>
                <w:tcPr>
                  <w:tcW w:w="427" w:type="pct"/>
                  <w:vAlign w:val="center"/>
                </w:tcPr>
                <w:p w14:paraId="05301D38">
                  <w:pPr>
                    <w:pStyle w:val="296"/>
                    <w:spacing w:line="240" w:lineRule="auto"/>
                    <w:ind w:firstLine="0" w:firstLineChars="0"/>
                    <w:jc w:val="center"/>
                    <w:rPr>
                      <w:sz w:val="18"/>
                      <w:szCs w:val="18"/>
                    </w:rPr>
                  </w:pPr>
                  <w:r>
                    <w:rPr>
                      <w:sz w:val="18"/>
                      <w:szCs w:val="18"/>
                    </w:rPr>
                    <w:t>1.0</w:t>
                  </w:r>
                </w:p>
              </w:tc>
              <w:tc>
                <w:tcPr>
                  <w:tcW w:w="427" w:type="pct"/>
                  <w:vAlign w:val="center"/>
                </w:tcPr>
                <w:p w14:paraId="21DD9210">
                  <w:pPr>
                    <w:pStyle w:val="296"/>
                    <w:spacing w:line="240" w:lineRule="auto"/>
                    <w:ind w:firstLine="0" w:firstLineChars="0"/>
                    <w:jc w:val="center"/>
                    <w:rPr>
                      <w:sz w:val="18"/>
                      <w:szCs w:val="18"/>
                    </w:rPr>
                  </w:pPr>
                  <w:r>
                    <w:rPr>
                      <w:sz w:val="18"/>
                      <w:szCs w:val="18"/>
                    </w:rPr>
                    <w:t>0.50</w:t>
                  </w:r>
                </w:p>
              </w:tc>
              <w:tc>
                <w:tcPr>
                  <w:tcW w:w="427" w:type="pct"/>
                  <w:vAlign w:val="center"/>
                </w:tcPr>
                <w:p w14:paraId="4C392370">
                  <w:pPr>
                    <w:pStyle w:val="296"/>
                    <w:spacing w:line="240" w:lineRule="auto"/>
                    <w:ind w:firstLine="0" w:firstLineChars="0"/>
                    <w:jc w:val="center"/>
                    <w:rPr>
                      <w:sz w:val="18"/>
                      <w:szCs w:val="18"/>
                    </w:rPr>
                  </w:pPr>
                  <w:r>
                    <w:rPr>
                      <w:sz w:val="18"/>
                      <w:szCs w:val="18"/>
                    </w:rPr>
                    <w:t>0.70</w:t>
                  </w:r>
                </w:p>
              </w:tc>
              <w:tc>
                <w:tcPr>
                  <w:tcW w:w="427" w:type="pct"/>
                  <w:vAlign w:val="center"/>
                </w:tcPr>
                <w:p w14:paraId="47115F4C">
                  <w:pPr>
                    <w:pStyle w:val="296"/>
                    <w:spacing w:line="240" w:lineRule="auto"/>
                    <w:ind w:firstLine="0" w:firstLineChars="0"/>
                    <w:jc w:val="center"/>
                    <w:rPr>
                      <w:sz w:val="18"/>
                      <w:szCs w:val="18"/>
                    </w:rPr>
                  </w:pPr>
                  <w:r>
                    <w:rPr>
                      <w:sz w:val="18"/>
                      <w:szCs w:val="18"/>
                    </w:rPr>
                    <w:t>1.0</w:t>
                  </w:r>
                </w:p>
              </w:tc>
            </w:tr>
            <w:tr w14:paraId="1868F6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4" w:type="pct"/>
                  <w:vAlign w:val="center"/>
                </w:tcPr>
                <w:p w14:paraId="0B735C74">
                  <w:pPr>
                    <w:pStyle w:val="296"/>
                    <w:spacing w:line="240" w:lineRule="auto"/>
                    <w:ind w:firstLine="0" w:firstLineChars="0"/>
                    <w:jc w:val="center"/>
                    <w:rPr>
                      <w:sz w:val="18"/>
                      <w:szCs w:val="18"/>
                    </w:rPr>
                  </w:pPr>
                  <w:r>
                    <w:rPr>
                      <w:sz w:val="18"/>
                      <w:szCs w:val="18"/>
                    </w:rPr>
                    <w:t>3</w:t>
                  </w:r>
                </w:p>
              </w:tc>
              <w:tc>
                <w:tcPr>
                  <w:tcW w:w="520" w:type="pct"/>
                  <w:gridSpan w:val="2"/>
                  <w:vAlign w:val="center"/>
                </w:tcPr>
                <w:p w14:paraId="63AE92D9">
                  <w:pPr>
                    <w:pStyle w:val="296"/>
                    <w:spacing w:line="240" w:lineRule="auto"/>
                    <w:ind w:firstLine="0" w:firstLineChars="0"/>
                    <w:jc w:val="center"/>
                    <w:rPr>
                      <w:sz w:val="18"/>
                      <w:szCs w:val="18"/>
                    </w:rPr>
                  </w:pPr>
                  <w:r>
                    <w:rPr>
                      <w:sz w:val="18"/>
                      <w:szCs w:val="18"/>
                    </w:rPr>
                    <w:t>断裂强度    ≥</w:t>
                  </w:r>
                </w:p>
              </w:tc>
              <w:tc>
                <w:tcPr>
                  <w:tcW w:w="425" w:type="pct"/>
                  <w:vAlign w:val="center"/>
                </w:tcPr>
                <w:p w14:paraId="3B4489D4">
                  <w:pPr>
                    <w:pStyle w:val="296"/>
                    <w:spacing w:line="240" w:lineRule="auto"/>
                    <w:ind w:firstLine="0" w:firstLineChars="0"/>
                    <w:jc w:val="center"/>
                    <w:rPr>
                      <w:sz w:val="18"/>
                      <w:szCs w:val="18"/>
                    </w:rPr>
                  </w:pPr>
                  <w:r>
                    <w:rPr>
                      <w:sz w:val="18"/>
                      <w:szCs w:val="18"/>
                    </w:rPr>
                    <w:t>cN/dtex</w:t>
                  </w:r>
                </w:p>
              </w:tc>
              <w:tc>
                <w:tcPr>
                  <w:tcW w:w="427" w:type="pct"/>
                  <w:vAlign w:val="center"/>
                </w:tcPr>
                <w:p w14:paraId="4F6856E4">
                  <w:pPr>
                    <w:pStyle w:val="296"/>
                    <w:spacing w:line="240" w:lineRule="auto"/>
                    <w:ind w:firstLine="0" w:firstLineChars="0"/>
                    <w:jc w:val="center"/>
                    <w:rPr>
                      <w:sz w:val="18"/>
                      <w:szCs w:val="18"/>
                    </w:rPr>
                  </w:pPr>
                  <w:r>
                    <w:rPr>
                      <w:sz w:val="18"/>
                      <w:szCs w:val="18"/>
                    </w:rPr>
                    <w:t>2.3</w:t>
                  </w:r>
                </w:p>
              </w:tc>
              <w:tc>
                <w:tcPr>
                  <w:tcW w:w="427" w:type="pct"/>
                  <w:vAlign w:val="center"/>
                </w:tcPr>
                <w:p w14:paraId="70DA509A">
                  <w:pPr>
                    <w:pStyle w:val="296"/>
                    <w:spacing w:line="240" w:lineRule="auto"/>
                    <w:ind w:firstLine="0" w:firstLineChars="0"/>
                    <w:jc w:val="center"/>
                    <w:rPr>
                      <w:sz w:val="18"/>
                      <w:szCs w:val="18"/>
                    </w:rPr>
                  </w:pPr>
                  <w:r>
                    <w:rPr>
                      <w:sz w:val="18"/>
                      <w:szCs w:val="18"/>
                    </w:rPr>
                    <w:t>2.1</w:t>
                  </w:r>
                </w:p>
              </w:tc>
              <w:tc>
                <w:tcPr>
                  <w:tcW w:w="427" w:type="pct"/>
                  <w:vAlign w:val="center"/>
                </w:tcPr>
                <w:p w14:paraId="025313BE">
                  <w:pPr>
                    <w:pStyle w:val="296"/>
                    <w:spacing w:line="240" w:lineRule="auto"/>
                    <w:ind w:firstLine="0" w:firstLineChars="0"/>
                    <w:jc w:val="center"/>
                    <w:rPr>
                      <w:sz w:val="18"/>
                      <w:szCs w:val="18"/>
                    </w:rPr>
                  </w:pPr>
                  <w:r>
                    <w:rPr>
                      <w:sz w:val="18"/>
                      <w:szCs w:val="18"/>
                    </w:rPr>
                    <w:t>1.9</w:t>
                  </w:r>
                </w:p>
              </w:tc>
              <w:tc>
                <w:tcPr>
                  <w:tcW w:w="427" w:type="pct"/>
                  <w:vAlign w:val="center"/>
                </w:tcPr>
                <w:p w14:paraId="482913CC">
                  <w:pPr>
                    <w:pStyle w:val="296"/>
                    <w:spacing w:line="240" w:lineRule="auto"/>
                    <w:ind w:firstLine="0" w:firstLineChars="0"/>
                    <w:jc w:val="center"/>
                    <w:rPr>
                      <w:sz w:val="18"/>
                      <w:szCs w:val="18"/>
                    </w:rPr>
                  </w:pPr>
                  <w:r>
                    <w:rPr>
                      <w:sz w:val="18"/>
                      <w:szCs w:val="18"/>
                    </w:rPr>
                    <w:t>2.2</w:t>
                  </w:r>
                </w:p>
              </w:tc>
              <w:tc>
                <w:tcPr>
                  <w:tcW w:w="427" w:type="pct"/>
                  <w:vAlign w:val="center"/>
                </w:tcPr>
                <w:p w14:paraId="6AE966A8">
                  <w:pPr>
                    <w:pStyle w:val="296"/>
                    <w:spacing w:line="240" w:lineRule="auto"/>
                    <w:ind w:firstLine="0" w:firstLineChars="0"/>
                    <w:jc w:val="center"/>
                    <w:rPr>
                      <w:sz w:val="18"/>
                      <w:szCs w:val="18"/>
                    </w:rPr>
                  </w:pPr>
                  <w:r>
                    <w:rPr>
                      <w:sz w:val="18"/>
                      <w:szCs w:val="18"/>
                    </w:rPr>
                    <w:t>2.0</w:t>
                  </w:r>
                </w:p>
              </w:tc>
              <w:tc>
                <w:tcPr>
                  <w:tcW w:w="427" w:type="pct"/>
                  <w:vAlign w:val="center"/>
                </w:tcPr>
                <w:p w14:paraId="17141AF1">
                  <w:pPr>
                    <w:pStyle w:val="296"/>
                    <w:spacing w:line="240" w:lineRule="auto"/>
                    <w:ind w:firstLine="0" w:firstLineChars="0"/>
                    <w:jc w:val="center"/>
                    <w:rPr>
                      <w:sz w:val="18"/>
                      <w:szCs w:val="18"/>
                    </w:rPr>
                  </w:pPr>
                  <w:r>
                    <w:rPr>
                      <w:sz w:val="18"/>
                      <w:szCs w:val="18"/>
                    </w:rPr>
                    <w:t>1.8</w:t>
                  </w:r>
                </w:p>
              </w:tc>
              <w:tc>
                <w:tcPr>
                  <w:tcW w:w="427" w:type="pct"/>
                  <w:vAlign w:val="center"/>
                </w:tcPr>
                <w:p w14:paraId="795A5634">
                  <w:pPr>
                    <w:pStyle w:val="296"/>
                    <w:spacing w:line="240" w:lineRule="auto"/>
                    <w:ind w:firstLine="0" w:firstLineChars="0"/>
                    <w:jc w:val="center"/>
                    <w:rPr>
                      <w:sz w:val="18"/>
                      <w:szCs w:val="18"/>
                    </w:rPr>
                  </w:pPr>
                  <w:r>
                    <w:rPr>
                      <w:sz w:val="18"/>
                      <w:szCs w:val="18"/>
                    </w:rPr>
                    <w:t>2.2</w:t>
                  </w:r>
                </w:p>
              </w:tc>
              <w:tc>
                <w:tcPr>
                  <w:tcW w:w="427" w:type="pct"/>
                  <w:vAlign w:val="center"/>
                </w:tcPr>
                <w:p w14:paraId="19AA141C">
                  <w:pPr>
                    <w:pStyle w:val="296"/>
                    <w:spacing w:line="240" w:lineRule="auto"/>
                    <w:ind w:firstLine="0" w:firstLineChars="0"/>
                    <w:jc w:val="center"/>
                    <w:rPr>
                      <w:sz w:val="18"/>
                      <w:szCs w:val="18"/>
                    </w:rPr>
                  </w:pPr>
                  <w:r>
                    <w:rPr>
                      <w:sz w:val="18"/>
                      <w:szCs w:val="18"/>
                    </w:rPr>
                    <w:t>2.0</w:t>
                  </w:r>
                </w:p>
              </w:tc>
              <w:tc>
                <w:tcPr>
                  <w:tcW w:w="427" w:type="pct"/>
                  <w:vAlign w:val="center"/>
                </w:tcPr>
                <w:p w14:paraId="2CD23C88">
                  <w:pPr>
                    <w:pStyle w:val="296"/>
                    <w:spacing w:line="240" w:lineRule="auto"/>
                    <w:ind w:firstLine="0" w:firstLineChars="0"/>
                    <w:jc w:val="center"/>
                    <w:rPr>
                      <w:sz w:val="18"/>
                      <w:szCs w:val="18"/>
                    </w:rPr>
                  </w:pPr>
                  <w:r>
                    <w:rPr>
                      <w:sz w:val="18"/>
                      <w:szCs w:val="18"/>
                    </w:rPr>
                    <w:t>1.8</w:t>
                  </w:r>
                </w:p>
              </w:tc>
            </w:tr>
            <w:tr w14:paraId="2C35C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4" w:type="pct"/>
                  <w:vAlign w:val="center"/>
                </w:tcPr>
                <w:p w14:paraId="0DC10AA9">
                  <w:pPr>
                    <w:pStyle w:val="296"/>
                    <w:spacing w:line="240" w:lineRule="auto"/>
                    <w:ind w:firstLine="0" w:firstLineChars="0"/>
                    <w:jc w:val="center"/>
                    <w:rPr>
                      <w:sz w:val="18"/>
                      <w:szCs w:val="18"/>
                    </w:rPr>
                  </w:pPr>
                  <w:r>
                    <w:rPr>
                      <w:sz w:val="18"/>
                      <w:szCs w:val="18"/>
                    </w:rPr>
                    <w:t>4</w:t>
                  </w:r>
                </w:p>
              </w:tc>
              <w:tc>
                <w:tcPr>
                  <w:tcW w:w="520" w:type="pct"/>
                  <w:gridSpan w:val="2"/>
                  <w:vAlign w:val="center"/>
                </w:tcPr>
                <w:p w14:paraId="41C2AEF1">
                  <w:pPr>
                    <w:pStyle w:val="296"/>
                    <w:spacing w:line="240" w:lineRule="auto"/>
                    <w:ind w:firstLine="0" w:firstLineChars="0"/>
                    <w:jc w:val="center"/>
                    <w:rPr>
                      <w:sz w:val="18"/>
                      <w:szCs w:val="18"/>
                    </w:rPr>
                  </w:pPr>
                  <w:r>
                    <w:rPr>
                      <w:sz w:val="18"/>
                      <w:szCs w:val="18"/>
                    </w:rPr>
                    <w:t>断裂强度变异系数CVb≤</w:t>
                  </w:r>
                </w:p>
              </w:tc>
              <w:tc>
                <w:tcPr>
                  <w:tcW w:w="425" w:type="pct"/>
                  <w:vAlign w:val="center"/>
                </w:tcPr>
                <w:p w14:paraId="64BE1A35">
                  <w:pPr>
                    <w:pStyle w:val="296"/>
                    <w:spacing w:line="240" w:lineRule="auto"/>
                    <w:ind w:firstLine="0" w:firstLineChars="0"/>
                    <w:jc w:val="center"/>
                    <w:rPr>
                      <w:sz w:val="18"/>
                      <w:szCs w:val="18"/>
                    </w:rPr>
                  </w:pPr>
                  <w:r>
                    <w:rPr>
                      <w:sz w:val="18"/>
                      <w:szCs w:val="18"/>
                    </w:rPr>
                    <w:t>%</w:t>
                  </w:r>
                </w:p>
              </w:tc>
              <w:tc>
                <w:tcPr>
                  <w:tcW w:w="427" w:type="pct"/>
                  <w:vAlign w:val="center"/>
                </w:tcPr>
                <w:p w14:paraId="6C00481B">
                  <w:pPr>
                    <w:pStyle w:val="296"/>
                    <w:spacing w:line="240" w:lineRule="auto"/>
                    <w:ind w:firstLine="0" w:firstLineChars="0"/>
                    <w:jc w:val="center"/>
                    <w:rPr>
                      <w:sz w:val="18"/>
                      <w:szCs w:val="18"/>
                    </w:rPr>
                  </w:pPr>
                  <w:r>
                    <w:rPr>
                      <w:sz w:val="18"/>
                      <w:szCs w:val="18"/>
                    </w:rPr>
                    <w:t>4.5</w:t>
                  </w:r>
                </w:p>
              </w:tc>
              <w:tc>
                <w:tcPr>
                  <w:tcW w:w="427" w:type="pct"/>
                  <w:vAlign w:val="center"/>
                </w:tcPr>
                <w:p w14:paraId="61DB2061">
                  <w:pPr>
                    <w:pStyle w:val="296"/>
                    <w:spacing w:line="240" w:lineRule="auto"/>
                    <w:ind w:firstLine="0" w:firstLineChars="0"/>
                    <w:jc w:val="center"/>
                    <w:rPr>
                      <w:sz w:val="18"/>
                      <w:szCs w:val="18"/>
                    </w:rPr>
                  </w:pPr>
                  <w:r>
                    <w:rPr>
                      <w:sz w:val="18"/>
                      <w:szCs w:val="18"/>
                    </w:rPr>
                    <w:t>6.0</w:t>
                  </w:r>
                </w:p>
              </w:tc>
              <w:tc>
                <w:tcPr>
                  <w:tcW w:w="427" w:type="pct"/>
                  <w:vAlign w:val="center"/>
                </w:tcPr>
                <w:p w14:paraId="2E760AB9">
                  <w:pPr>
                    <w:pStyle w:val="296"/>
                    <w:spacing w:line="240" w:lineRule="auto"/>
                    <w:ind w:firstLine="0" w:firstLineChars="0"/>
                    <w:jc w:val="center"/>
                    <w:rPr>
                      <w:sz w:val="18"/>
                      <w:szCs w:val="18"/>
                    </w:rPr>
                  </w:pPr>
                  <w:r>
                    <w:rPr>
                      <w:sz w:val="18"/>
                      <w:szCs w:val="18"/>
                    </w:rPr>
                    <w:t>8.5</w:t>
                  </w:r>
                </w:p>
              </w:tc>
              <w:tc>
                <w:tcPr>
                  <w:tcW w:w="427" w:type="pct"/>
                  <w:vAlign w:val="center"/>
                </w:tcPr>
                <w:p w14:paraId="01861AC0">
                  <w:pPr>
                    <w:pStyle w:val="296"/>
                    <w:spacing w:line="240" w:lineRule="auto"/>
                    <w:ind w:firstLine="0" w:firstLineChars="0"/>
                    <w:jc w:val="center"/>
                    <w:rPr>
                      <w:sz w:val="18"/>
                      <w:szCs w:val="18"/>
                    </w:rPr>
                  </w:pPr>
                  <w:r>
                    <w:rPr>
                      <w:sz w:val="18"/>
                      <w:szCs w:val="18"/>
                    </w:rPr>
                    <w:t>4.5</w:t>
                  </w:r>
                </w:p>
              </w:tc>
              <w:tc>
                <w:tcPr>
                  <w:tcW w:w="427" w:type="pct"/>
                  <w:vAlign w:val="center"/>
                </w:tcPr>
                <w:p w14:paraId="10BCEC6E">
                  <w:pPr>
                    <w:pStyle w:val="296"/>
                    <w:spacing w:line="240" w:lineRule="auto"/>
                    <w:ind w:firstLine="0" w:firstLineChars="0"/>
                    <w:jc w:val="center"/>
                    <w:rPr>
                      <w:sz w:val="18"/>
                      <w:szCs w:val="18"/>
                    </w:rPr>
                  </w:pPr>
                  <w:r>
                    <w:rPr>
                      <w:sz w:val="18"/>
                      <w:szCs w:val="18"/>
                    </w:rPr>
                    <w:t>6.0</w:t>
                  </w:r>
                </w:p>
              </w:tc>
              <w:tc>
                <w:tcPr>
                  <w:tcW w:w="427" w:type="pct"/>
                  <w:vAlign w:val="center"/>
                </w:tcPr>
                <w:p w14:paraId="3AC6DFAD">
                  <w:pPr>
                    <w:pStyle w:val="296"/>
                    <w:spacing w:line="240" w:lineRule="auto"/>
                    <w:ind w:firstLine="0" w:firstLineChars="0"/>
                    <w:jc w:val="center"/>
                    <w:rPr>
                      <w:sz w:val="18"/>
                      <w:szCs w:val="18"/>
                    </w:rPr>
                  </w:pPr>
                  <w:r>
                    <w:rPr>
                      <w:sz w:val="18"/>
                      <w:szCs w:val="18"/>
                    </w:rPr>
                    <w:t>8.5</w:t>
                  </w:r>
                </w:p>
              </w:tc>
              <w:tc>
                <w:tcPr>
                  <w:tcW w:w="427" w:type="pct"/>
                  <w:vAlign w:val="center"/>
                </w:tcPr>
                <w:p w14:paraId="7A7FB929">
                  <w:pPr>
                    <w:pStyle w:val="296"/>
                    <w:spacing w:line="240" w:lineRule="auto"/>
                    <w:ind w:firstLine="0" w:firstLineChars="0"/>
                    <w:jc w:val="center"/>
                    <w:rPr>
                      <w:sz w:val="18"/>
                      <w:szCs w:val="18"/>
                    </w:rPr>
                  </w:pPr>
                  <w:r>
                    <w:rPr>
                      <w:sz w:val="18"/>
                      <w:szCs w:val="18"/>
                    </w:rPr>
                    <w:t>4.0</w:t>
                  </w:r>
                </w:p>
              </w:tc>
              <w:tc>
                <w:tcPr>
                  <w:tcW w:w="427" w:type="pct"/>
                  <w:vAlign w:val="center"/>
                </w:tcPr>
                <w:p w14:paraId="10EF632B">
                  <w:pPr>
                    <w:pStyle w:val="296"/>
                    <w:spacing w:line="240" w:lineRule="auto"/>
                    <w:ind w:firstLine="0" w:firstLineChars="0"/>
                    <w:jc w:val="center"/>
                    <w:rPr>
                      <w:sz w:val="18"/>
                      <w:szCs w:val="18"/>
                    </w:rPr>
                  </w:pPr>
                  <w:r>
                    <w:rPr>
                      <w:sz w:val="18"/>
                      <w:szCs w:val="18"/>
                    </w:rPr>
                    <w:t>5.5</w:t>
                  </w:r>
                </w:p>
              </w:tc>
              <w:tc>
                <w:tcPr>
                  <w:tcW w:w="427" w:type="pct"/>
                  <w:vAlign w:val="center"/>
                </w:tcPr>
                <w:p w14:paraId="4ABC131B">
                  <w:pPr>
                    <w:pStyle w:val="296"/>
                    <w:spacing w:line="240" w:lineRule="auto"/>
                    <w:ind w:firstLine="0" w:firstLineChars="0"/>
                    <w:jc w:val="center"/>
                    <w:rPr>
                      <w:sz w:val="18"/>
                      <w:szCs w:val="18"/>
                    </w:rPr>
                  </w:pPr>
                  <w:r>
                    <w:rPr>
                      <w:sz w:val="18"/>
                      <w:szCs w:val="18"/>
                    </w:rPr>
                    <w:t>8.0</w:t>
                  </w:r>
                </w:p>
              </w:tc>
            </w:tr>
            <w:tr w14:paraId="22CFD8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4" w:type="pct"/>
                  <w:vAlign w:val="center"/>
                </w:tcPr>
                <w:p w14:paraId="26EA6EA0">
                  <w:pPr>
                    <w:pStyle w:val="296"/>
                    <w:spacing w:line="240" w:lineRule="auto"/>
                    <w:ind w:firstLine="0" w:firstLineChars="0"/>
                    <w:jc w:val="center"/>
                    <w:rPr>
                      <w:sz w:val="18"/>
                      <w:szCs w:val="18"/>
                    </w:rPr>
                  </w:pPr>
                  <w:r>
                    <w:rPr>
                      <w:sz w:val="18"/>
                      <w:szCs w:val="18"/>
                    </w:rPr>
                    <w:t>5</w:t>
                  </w:r>
                </w:p>
              </w:tc>
              <w:tc>
                <w:tcPr>
                  <w:tcW w:w="520" w:type="pct"/>
                  <w:gridSpan w:val="2"/>
                  <w:vAlign w:val="center"/>
                </w:tcPr>
                <w:p w14:paraId="0AA2B7C3">
                  <w:pPr>
                    <w:pStyle w:val="296"/>
                    <w:spacing w:line="240" w:lineRule="auto"/>
                    <w:ind w:firstLine="0" w:firstLineChars="0"/>
                    <w:jc w:val="center"/>
                    <w:rPr>
                      <w:sz w:val="18"/>
                      <w:szCs w:val="18"/>
                    </w:rPr>
                  </w:pPr>
                  <w:r>
                    <w:rPr>
                      <w:sz w:val="18"/>
                      <w:szCs w:val="18"/>
                    </w:rPr>
                    <w:t>断裂伸长率</w:t>
                  </w:r>
                </w:p>
              </w:tc>
              <w:tc>
                <w:tcPr>
                  <w:tcW w:w="425" w:type="pct"/>
                  <w:vAlign w:val="center"/>
                </w:tcPr>
                <w:p w14:paraId="1F7059D5">
                  <w:pPr>
                    <w:pStyle w:val="296"/>
                    <w:spacing w:line="240" w:lineRule="auto"/>
                    <w:ind w:firstLine="0" w:firstLineChars="0"/>
                    <w:jc w:val="center"/>
                    <w:rPr>
                      <w:sz w:val="18"/>
                      <w:szCs w:val="18"/>
                    </w:rPr>
                  </w:pPr>
                  <w:r>
                    <w:rPr>
                      <w:sz w:val="18"/>
                      <w:szCs w:val="18"/>
                    </w:rPr>
                    <w:t>%</w:t>
                  </w:r>
                </w:p>
              </w:tc>
              <w:tc>
                <w:tcPr>
                  <w:tcW w:w="427" w:type="pct"/>
                  <w:vAlign w:val="center"/>
                </w:tcPr>
                <w:p w14:paraId="3432F761">
                  <w:pPr>
                    <w:pStyle w:val="296"/>
                    <w:spacing w:line="240" w:lineRule="auto"/>
                    <w:ind w:firstLine="0" w:firstLineChars="0"/>
                    <w:jc w:val="center"/>
                    <w:rPr>
                      <w:sz w:val="18"/>
                      <w:szCs w:val="18"/>
                    </w:rPr>
                  </w:pPr>
                  <w:r>
                    <w:rPr>
                      <w:sz w:val="18"/>
                      <w:szCs w:val="18"/>
                    </w:rPr>
                    <w:t>M1±4.0</w:t>
                  </w:r>
                </w:p>
              </w:tc>
              <w:tc>
                <w:tcPr>
                  <w:tcW w:w="427" w:type="pct"/>
                  <w:vAlign w:val="center"/>
                </w:tcPr>
                <w:p w14:paraId="22490427">
                  <w:pPr>
                    <w:pStyle w:val="296"/>
                    <w:spacing w:line="240" w:lineRule="auto"/>
                    <w:ind w:firstLine="0" w:firstLineChars="0"/>
                    <w:jc w:val="center"/>
                    <w:rPr>
                      <w:sz w:val="18"/>
                      <w:szCs w:val="18"/>
                    </w:rPr>
                  </w:pPr>
                  <w:r>
                    <w:rPr>
                      <w:sz w:val="18"/>
                      <w:szCs w:val="18"/>
                    </w:rPr>
                    <w:t>M1±6.0</w:t>
                  </w:r>
                </w:p>
              </w:tc>
              <w:tc>
                <w:tcPr>
                  <w:tcW w:w="427" w:type="pct"/>
                  <w:vAlign w:val="center"/>
                </w:tcPr>
                <w:p w14:paraId="663123AF">
                  <w:pPr>
                    <w:pStyle w:val="296"/>
                    <w:spacing w:line="240" w:lineRule="auto"/>
                    <w:ind w:firstLine="0" w:firstLineChars="0"/>
                    <w:jc w:val="center"/>
                    <w:rPr>
                      <w:sz w:val="18"/>
                      <w:szCs w:val="18"/>
                    </w:rPr>
                  </w:pPr>
                  <w:r>
                    <w:rPr>
                      <w:sz w:val="18"/>
                      <w:szCs w:val="18"/>
                    </w:rPr>
                    <w:t>M1±9.0</w:t>
                  </w:r>
                </w:p>
              </w:tc>
              <w:tc>
                <w:tcPr>
                  <w:tcW w:w="427" w:type="pct"/>
                  <w:vAlign w:val="center"/>
                </w:tcPr>
                <w:p w14:paraId="0632D069">
                  <w:pPr>
                    <w:pStyle w:val="296"/>
                    <w:spacing w:line="240" w:lineRule="auto"/>
                    <w:ind w:firstLine="0" w:firstLineChars="0"/>
                    <w:jc w:val="center"/>
                    <w:rPr>
                      <w:sz w:val="18"/>
                      <w:szCs w:val="18"/>
                    </w:rPr>
                  </w:pPr>
                  <w:r>
                    <w:rPr>
                      <w:sz w:val="18"/>
                      <w:szCs w:val="18"/>
                    </w:rPr>
                    <w:t>M1±4.0</w:t>
                  </w:r>
                </w:p>
              </w:tc>
              <w:tc>
                <w:tcPr>
                  <w:tcW w:w="427" w:type="pct"/>
                  <w:vAlign w:val="center"/>
                </w:tcPr>
                <w:p w14:paraId="66720BD5">
                  <w:pPr>
                    <w:pStyle w:val="296"/>
                    <w:spacing w:line="240" w:lineRule="auto"/>
                    <w:ind w:firstLine="0" w:firstLineChars="0"/>
                    <w:jc w:val="center"/>
                    <w:rPr>
                      <w:sz w:val="18"/>
                      <w:szCs w:val="18"/>
                    </w:rPr>
                  </w:pPr>
                  <w:r>
                    <w:rPr>
                      <w:sz w:val="18"/>
                      <w:szCs w:val="18"/>
                    </w:rPr>
                    <w:t>M1±6.0</w:t>
                  </w:r>
                </w:p>
              </w:tc>
              <w:tc>
                <w:tcPr>
                  <w:tcW w:w="427" w:type="pct"/>
                  <w:vAlign w:val="center"/>
                </w:tcPr>
                <w:p w14:paraId="403CD35B">
                  <w:pPr>
                    <w:pStyle w:val="296"/>
                    <w:spacing w:line="240" w:lineRule="auto"/>
                    <w:ind w:firstLine="0" w:firstLineChars="0"/>
                    <w:jc w:val="center"/>
                    <w:rPr>
                      <w:sz w:val="18"/>
                      <w:szCs w:val="18"/>
                    </w:rPr>
                  </w:pPr>
                  <w:r>
                    <w:rPr>
                      <w:sz w:val="18"/>
                      <w:szCs w:val="18"/>
                    </w:rPr>
                    <w:t>M1±9.0</w:t>
                  </w:r>
                </w:p>
              </w:tc>
              <w:tc>
                <w:tcPr>
                  <w:tcW w:w="427" w:type="pct"/>
                  <w:vAlign w:val="center"/>
                </w:tcPr>
                <w:p w14:paraId="78850FE3">
                  <w:pPr>
                    <w:pStyle w:val="296"/>
                    <w:spacing w:line="240" w:lineRule="auto"/>
                    <w:ind w:firstLine="0" w:firstLineChars="0"/>
                    <w:jc w:val="center"/>
                    <w:rPr>
                      <w:sz w:val="18"/>
                      <w:szCs w:val="18"/>
                    </w:rPr>
                  </w:pPr>
                  <w:r>
                    <w:rPr>
                      <w:sz w:val="18"/>
                      <w:szCs w:val="18"/>
                    </w:rPr>
                    <w:t>M1±4.0</w:t>
                  </w:r>
                </w:p>
              </w:tc>
              <w:tc>
                <w:tcPr>
                  <w:tcW w:w="427" w:type="pct"/>
                  <w:vAlign w:val="center"/>
                </w:tcPr>
                <w:p w14:paraId="23BF82C2">
                  <w:pPr>
                    <w:pStyle w:val="296"/>
                    <w:spacing w:line="240" w:lineRule="auto"/>
                    <w:ind w:firstLine="0" w:firstLineChars="0"/>
                    <w:jc w:val="center"/>
                    <w:rPr>
                      <w:sz w:val="18"/>
                      <w:szCs w:val="18"/>
                    </w:rPr>
                  </w:pPr>
                  <w:r>
                    <w:rPr>
                      <w:sz w:val="18"/>
                      <w:szCs w:val="18"/>
                    </w:rPr>
                    <w:t>M1±6.0</w:t>
                  </w:r>
                </w:p>
              </w:tc>
              <w:tc>
                <w:tcPr>
                  <w:tcW w:w="427" w:type="pct"/>
                  <w:vAlign w:val="center"/>
                </w:tcPr>
                <w:p w14:paraId="050819BB">
                  <w:pPr>
                    <w:pStyle w:val="296"/>
                    <w:spacing w:line="240" w:lineRule="auto"/>
                    <w:ind w:firstLine="0" w:firstLineChars="0"/>
                    <w:jc w:val="center"/>
                    <w:rPr>
                      <w:sz w:val="18"/>
                      <w:szCs w:val="18"/>
                    </w:rPr>
                  </w:pPr>
                  <w:r>
                    <w:rPr>
                      <w:sz w:val="18"/>
                      <w:szCs w:val="18"/>
                    </w:rPr>
                    <w:t>M1±9.0</w:t>
                  </w:r>
                </w:p>
              </w:tc>
            </w:tr>
            <w:tr w14:paraId="61EB18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4" w:type="pct"/>
                  <w:vAlign w:val="center"/>
                </w:tcPr>
                <w:p w14:paraId="1ABDF1D8">
                  <w:pPr>
                    <w:pStyle w:val="296"/>
                    <w:spacing w:line="240" w:lineRule="auto"/>
                    <w:ind w:firstLine="0" w:firstLineChars="0"/>
                    <w:jc w:val="center"/>
                    <w:rPr>
                      <w:sz w:val="18"/>
                      <w:szCs w:val="18"/>
                    </w:rPr>
                  </w:pPr>
                  <w:r>
                    <w:rPr>
                      <w:sz w:val="18"/>
                      <w:szCs w:val="18"/>
                    </w:rPr>
                    <w:t>6</w:t>
                  </w:r>
                </w:p>
              </w:tc>
              <w:tc>
                <w:tcPr>
                  <w:tcW w:w="520" w:type="pct"/>
                  <w:gridSpan w:val="2"/>
                  <w:vAlign w:val="center"/>
                </w:tcPr>
                <w:p w14:paraId="03F3A11F">
                  <w:pPr>
                    <w:pStyle w:val="296"/>
                    <w:spacing w:line="240" w:lineRule="auto"/>
                    <w:ind w:firstLine="0" w:firstLineChars="0"/>
                    <w:jc w:val="center"/>
                    <w:rPr>
                      <w:sz w:val="18"/>
                      <w:szCs w:val="18"/>
                    </w:rPr>
                  </w:pPr>
                  <w:r>
                    <w:rPr>
                      <w:sz w:val="18"/>
                      <w:szCs w:val="18"/>
                    </w:rPr>
                    <w:t>断裂伸长变异系数CVb≤</w:t>
                  </w:r>
                </w:p>
              </w:tc>
              <w:tc>
                <w:tcPr>
                  <w:tcW w:w="425" w:type="pct"/>
                  <w:vAlign w:val="center"/>
                </w:tcPr>
                <w:p w14:paraId="3478D7D6">
                  <w:pPr>
                    <w:pStyle w:val="296"/>
                    <w:spacing w:line="240" w:lineRule="auto"/>
                    <w:ind w:firstLine="0" w:firstLineChars="0"/>
                    <w:jc w:val="center"/>
                    <w:rPr>
                      <w:sz w:val="18"/>
                      <w:szCs w:val="18"/>
                    </w:rPr>
                  </w:pPr>
                  <w:r>
                    <w:rPr>
                      <w:sz w:val="18"/>
                      <w:szCs w:val="18"/>
                    </w:rPr>
                    <w:t>%</w:t>
                  </w:r>
                </w:p>
              </w:tc>
              <w:tc>
                <w:tcPr>
                  <w:tcW w:w="427" w:type="pct"/>
                  <w:vAlign w:val="center"/>
                </w:tcPr>
                <w:p w14:paraId="1AFD01B7">
                  <w:pPr>
                    <w:pStyle w:val="296"/>
                    <w:spacing w:line="240" w:lineRule="auto"/>
                    <w:ind w:firstLine="0" w:firstLineChars="0"/>
                    <w:jc w:val="center"/>
                    <w:rPr>
                      <w:sz w:val="18"/>
                      <w:szCs w:val="18"/>
                    </w:rPr>
                  </w:pPr>
                  <w:r>
                    <w:rPr>
                      <w:sz w:val="18"/>
                      <w:szCs w:val="18"/>
                    </w:rPr>
                    <w:t>5.0</w:t>
                  </w:r>
                </w:p>
              </w:tc>
              <w:tc>
                <w:tcPr>
                  <w:tcW w:w="427" w:type="pct"/>
                  <w:vAlign w:val="center"/>
                </w:tcPr>
                <w:p w14:paraId="77377C34">
                  <w:pPr>
                    <w:pStyle w:val="296"/>
                    <w:spacing w:line="240" w:lineRule="auto"/>
                    <w:ind w:firstLine="0" w:firstLineChars="0"/>
                    <w:jc w:val="center"/>
                    <w:rPr>
                      <w:sz w:val="18"/>
                      <w:szCs w:val="18"/>
                    </w:rPr>
                  </w:pPr>
                  <w:r>
                    <w:rPr>
                      <w:sz w:val="18"/>
                      <w:szCs w:val="18"/>
                    </w:rPr>
                    <w:t>6.5</w:t>
                  </w:r>
                </w:p>
              </w:tc>
              <w:tc>
                <w:tcPr>
                  <w:tcW w:w="427" w:type="pct"/>
                  <w:vAlign w:val="center"/>
                </w:tcPr>
                <w:p w14:paraId="26A4D5F9">
                  <w:pPr>
                    <w:pStyle w:val="296"/>
                    <w:spacing w:line="240" w:lineRule="auto"/>
                    <w:ind w:firstLine="0" w:firstLineChars="0"/>
                    <w:jc w:val="center"/>
                    <w:rPr>
                      <w:sz w:val="18"/>
                      <w:szCs w:val="18"/>
                    </w:rPr>
                  </w:pPr>
                  <w:r>
                    <w:rPr>
                      <w:sz w:val="18"/>
                      <w:szCs w:val="18"/>
                    </w:rPr>
                    <w:t>9.0</w:t>
                  </w:r>
                </w:p>
              </w:tc>
              <w:tc>
                <w:tcPr>
                  <w:tcW w:w="427" w:type="pct"/>
                  <w:vAlign w:val="center"/>
                </w:tcPr>
                <w:p w14:paraId="1CB16755">
                  <w:pPr>
                    <w:pStyle w:val="296"/>
                    <w:spacing w:line="240" w:lineRule="auto"/>
                    <w:ind w:firstLine="0" w:firstLineChars="0"/>
                    <w:jc w:val="center"/>
                    <w:rPr>
                      <w:sz w:val="18"/>
                      <w:szCs w:val="18"/>
                    </w:rPr>
                  </w:pPr>
                  <w:r>
                    <w:rPr>
                      <w:sz w:val="18"/>
                      <w:szCs w:val="18"/>
                    </w:rPr>
                    <w:t>5.0</w:t>
                  </w:r>
                </w:p>
              </w:tc>
              <w:tc>
                <w:tcPr>
                  <w:tcW w:w="427" w:type="pct"/>
                  <w:vAlign w:val="center"/>
                </w:tcPr>
                <w:p w14:paraId="5CD5F25B">
                  <w:pPr>
                    <w:pStyle w:val="296"/>
                    <w:spacing w:line="240" w:lineRule="auto"/>
                    <w:ind w:firstLine="0" w:firstLineChars="0"/>
                    <w:jc w:val="center"/>
                    <w:rPr>
                      <w:sz w:val="18"/>
                      <w:szCs w:val="18"/>
                    </w:rPr>
                  </w:pPr>
                  <w:r>
                    <w:rPr>
                      <w:sz w:val="18"/>
                      <w:szCs w:val="18"/>
                    </w:rPr>
                    <w:t>6.5</w:t>
                  </w:r>
                </w:p>
              </w:tc>
              <w:tc>
                <w:tcPr>
                  <w:tcW w:w="427" w:type="pct"/>
                  <w:vAlign w:val="center"/>
                </w:tcPr>
                <w:p w14:paraId="16BF7C08">
                  <w:pPr>
                    <w:pStyle w:val="296"/>
                    <w:spacing w:line="240" w:lineRule="auto"/>
                    <w:ind w:firstLine="0" w:firstLineChars="0"/>
                    <w:jc w:val="center"/>
                    <w:rPr>
                      <w:sz w:val="18"/>
                      <w:szCs w:val="18"/>
                    </w:rPr>
                  </w:pPr>
                  <w:r>
                    <w:rPr>
                      <w:sz w:val="18"/>
                      <w:szCs w:val="18"/>
                    </w:rPr>
                    <w:t>9.0</w:t>
                  </w:r>
                </w:p>
              </w:tc>
              <w:tc>
                <w:tcPr>
                  <w:tcW w:w="427" w:type="pct"/>
                  <w:vAlign w:val="center"/>
                </w:tcPr>
                <w:p w14:paraId="4B05F2C2">
                  <w:pPr>
                    <w:pStyle w:val="296"/>
                    <w:spacing w:line="240" w:lineRule="auto"/>
                    <w:ind w:firstLine="0" w:firstLineChars="0"/>
                    <w:jc w:val="center"/>
                    <w:rPr>
                      <w:sz w:val="18"/>
                      <w:szCs w:val="18"/>
                    </w:rPr>
                  </w:pPr>
                  <w:r>
                    <w:rPr>
                      <w:sz w:val="18"/>
                      <w:szCs w:val="18"/>
                    </w:rPr>
                    <w:t>4.5</w:t>
                  </w:r>
                </w:p>
              </w:tc>
              <w:tc>
                <w:tcPr>
                  <w:tcW w:w="427" w:type="pct"/>
                  <w:vAlign w:val="center"/>
                </w:tcPr>
                <w:p w14:paraId="3E3ECAA1">
                  <w:pPr>
                    <w:pStyle w:val="296"/>
                    <w:spacing w:line="240" w:lineRule="auto"/>
                    <w:ind w:firstLine="0" w:firstLineChars="0"/>
                    <w:jc w:val="center"/>
                    <w:rPr>
                      <w:sz w:val="18"/>
                      <w:szCs w:val="18"/>
                    </w:rPr>
                  </w:pPr>
                  <w:r>
                    <w:rPr>
                      <w:sz w:val="18"/>
                      <w:szCs w:val="18"/>
                    </w:rPr>
                    <w:t>6.0</w:t>
                  </w:r>
                </w:p>
              </w:tc>
              <w:tc>
                <w:tcPr>
                  <w:tcW w:w="427" w:type="pct"/>
                  <w:vAlign w:val="center"/>
                </w:tcPr>
                <w:p w14:paraId="09F04747">
                  <w:pPr>
                    <w:pStyle w:val="296"/>
                    <w:spacing w:line="240" w:lineRule="auto"/>
                    <w:ind w:firstLine="0" w:firstLineChars="0"/>
                    <w:jc w:val="center"/>
                    <w:rPr>
                      <w:sz w:val="18"/>
                      <w:szCs w:val="18"/>
                    </w:rPr>
                  </w:pPr>
                  <w:r>
                    <w:rPr>
                      <w:sz w:val="18"/>
                      <w:szCs w:val="18"/>
                    </w:rPr>
                    <w:t>8.5</w:t>
                  </w:r>
                </w:p>
              </w:tc>
            </w:tr>
            <w:tr w14:paraId="720F02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4" w:type="pct"/>
                  <w:vMerge w:val="restart"/>
                  <w:vAlign w:val="center"/>
                </w:tcPr>
                <w:p w14:paraId="1318D38E">
                  <w:pPr>
                    <w:pStyle w:val="296"/>
                    <w:spacing w:line="240" w:lineRule="auto"/>
                    <w:ind w:firstLine="0" w:firstLineChars="0"/>
                    <w:jc w:val="center"/>
                    <w:rPr>
                      <w:sz w:val="18"/>
                      <w:szCs w:val="18"/>
                    </w:rPr>
                  </w:pPr>
                  <w:r>
                    <w:rPr>
                      <w:sz w:val="18"/>
                      <w:szCs w:val="18"/>
                    </w:rPr>
                    <w:t>7</w:t>
                  </w:r>
                </w:p>
              </w:tc>
              <w:tc>
                <w:tcPr>
                  <w:tcW w:w="215" w:type="pct"/>
                  <w:vMerge w:val="restart"/>
                  <w:vAlign w:val="center"/>
                </w:tcPr>
                <w:p w14:paraId="3A78A044">
                  <w:pPr>
                    <w:pStyle w:val="296"/>
                    <w:spacing w:line="240" w:lineRule="auto"/>
                    <w:ind w:firstLine="0" w:firstLineChars="0"/>
                    <w:jc w:val="center"/>
                    <w:rPr>
                      <w:sz w:val="18"/>
                      <w:szCs w:val="18"/>
                    </w:rPr>
                  </w:pPr>
                  <w:r>
                    <w:rPr>
                      <w:sz w:val="18"/>
                      <w:szCs w:val="18"/>
                    </w:rPr>
                    <w:t>条干不匀率</w:t>
                  </w:r>
                </w:p>
              </w:tc>
              <w:tc>
                <w:tcPr>
                  <w:tcW w:w="305" w:type="pct"/>
                  <w:vAlign w:val="center"/>
                </w:tcPr>
                <w:p w14:paraId="40A91497">
                  <w:pPr>
                    <w:pStyle w:val="296"/>
                    <w:spacing w:line="240" w:lineRule="auto"/>
                    <w:ind w:firstLine="0" w:firstLineChars="0"/>
                    <w:jc w:val="center"/>
                    <w:rPr>
                      <w:sz w:val="18"/>
                      <w:szCs w:val="18"/>
                    </w:rPr>
                  </w:pPr>
                  <w:r>
                    <w:rPr>
                      <w:sz w:val="18"/>
                      <w:szCs w:val="18"/>
                    </w:rPr>
                    <w:t>U≤</w:t>
                  </w:r>
                </w:p>
              </w:tc>
              <w:tc>
                <w:tcPr>
                  <w:tcW w:w="425" w:type="pct"/>
                  <w:vAlign w:val="center"/>
                </w:tcPr>
                <w:p w14:paraId="3187AE10">
                  <w:pPr>
                    <w:pStyle w:val="296"/>
                    <w:spacing w:line="240" w:lineRule="auto"/>
                    <w:ind w:firstLine="0" w:firstLineChars="0"/>
                    <w:jc w:val="center"/>
                    <w:rPr>
                      <w:sz w:val="18"/>
                      <w:szCs w:val="18"/>
                    </w:rPr>
                  </w:pPr>
                  <w:r>
                    <w:rPr>
                      <w:sz w:val="18"/>
                      <w:szCs w:val="18"/>
                    </w:rPr>
                    <w:t>%</w:t>
                  </w:r>
                </w:p>
              </w:tc>
              <w:tc>
                <w:tcPr>
                  <w:tcW w:w="427" w:type="pct"/>
                  <w:vAlign w:val="center"/>
                </w:tcPr>
                <w:p w14:paraId="3D2D610C">
                  <w:pPr>
                    <w:pStyle w:val="296"/>
                    <w:spacing w:line="240" w:lineRule="auto"/>
                    <w:ind w:firstLine="0" w:firstLineChars="0"/>
                    <w:jc w:val="center"/>
                    <w:rPr>
                      <w:sz w:val="18"/>
                      <w:szCs w:val="18"/>
                    </w:rPr>
                  </w:pPr>
                  <w:r>
                    <w:rPr>
                      <w:sz w:val="18"/>
                      <w:szCs w:val="18"/>
                    </w:rPr>
                    <w:t>0.96</w:t>
                  </w:r>
                </w:p>
              </w:tc>
              <w:tc>
                <w:tcPr>
                  <w:tcW w:w="427" w:type="pct"/>
                  <w:vAlign w:val="center"/>
                </w:tcPr>
                <w:p w14:paraId="10F0DCE8">
                  <w:pPr>
                    <w:pStyle w:val="296"/>
                    <w:spacing w:line="240" w:lineRule="auto"/>
                    <w:ind w:firstLine="0" w:firstLineChars="0"/>
                    <w:jc w:val="center"/>
                    <w:rPr>
                      <w:sz w:val="18"/>
                      <w:szCs w:val="18"/>
                    </w:rPr>
                  </w:pPr>
                  <w:r>
                    <w:rPr>
                      <w:sz w:val="18"/>
                      <w:szCs w:val="18"/>
                    </w:rPr>
                    <w:t>1.36</w:t>
                  </w:r>
                </w:p>
              </w:tc>
              <w:tc>
                <w:tcPr>
                  <w:tcW w:w="427" w:type="pct"/>
                  <w:vAlign w:val="center"/>
                </w:tcPr>
                <w:p w14:paraId="03577811">
                  <w:pPr>
                    <w:pStyle w:val="296"/>
                    <w:spacing w:line="240" w:lineRule="auto"/>
                    <w:ind w:firstLine="0" w:firstLineChars="0"/>
                    <w:jc w:val="center"/>
                    <w:rPr>
                      <w:sz w:val="18"/>
                      <w:szCs w:val="18"/>
                    </w:rPr>
                  </w:pPr>
                  <w:r>
                    <w:rPr>
                      <w:sz w:val="18"/>
                      <w:szCs w:val="18"/>
                    </w:rPr>
                    <w:t>1.76</w:t>
                  </w:r>
                </w:p>
              </w:tc>
              <w:tc>
                <w:tcPr>
                  <w:tcW w:w="427" w:type="pct"/>
                  <w:vAlign w:val="center"/>
                </w:tcPr>
                <w:p w14:paraId="4DA5D81A">
                  <w:pPr>
                    <w:pStyle w:val="296"/>
                    <w:spacing w:line="240" w:lineRule="auto"/>
                    <w:ind w:firstLine="0" w:firstLineChars="0"/>
                    <w:jc w:val="center"/>
                    <w:rPr>
                      <w:sz w:val="18"/>
                      <w:szCs w:val="18"/>
                    </w:rPr>
                  </w:pPr>
                  <w:r>
                    <w:rPr>
                      <w:sz w:val="18"/>
                      <w:szCs w:val="18"/>
                    </w:rPr>
                    <w:t>0.88</w:t>
                  </w:r>
                </w:p>
              </w:tc>
              <w:tc>
                <w:tcPr>
                  <w:tcW w:w="427" w:type="pct"/>
                  <w:vAlign w:val="center"/>
                </w:tcPr>
                <w:p w14:paraId="6E603290">
                  <w:pPr>
                    <w:pStyle w:val="296"/>
                    <w:spacing w:line="240" w:lineRule="auto"/>
                    <w:ind w:firstLine="0" w:firstLineChars="0"/>
                    <w:jc w:val="center"/>
                    <w:rPr>
                      <w:sz w:val="18"/>
                      <w:szCs w:val="18"/>
                    </w:rPr>
                  </w:pPr>
                  <w:r>
                    <w:rPr>
                      <w:sz w:val="18"/>
                      <w:szCs w:val="18"/>
                    </w:rPr>
                    <w:t>1.28</w:t>
                  </w:r>
                </w:p>
              </w:tc>
              <w:tc>
                <w:tcPr>
                  <w:tcW w:w="427" w:type="pct"/>
                  <w:vAlign w:val="center"/>
                </w:tcPr>
                <w:p w14:paraId="7B80A556">
                  <w:pPr>
                    <w:pStyle w:val="296"/>
                    <w:spacing w:line="240" w:lineRule="auto"/>
                    <w:ind w:firstLine="0" w:firstLineChars="0"/>
                    <w:jc w:val="center"/>
                    <w:rPr>
                      <w:sz w:val="18"/>
                      <w:szCs w:val="18"/>
                    </w:rPr>
                  </w:pPr>
                  <w:r>
                    <w:rPr>
                      <w:sz w:val="18"/>
                      <w:szCs w:val="18"/>
                    </w:rPr>
                    <w:t>1.96</w:t>
                  </w:r>
                </w:p>
              </w:tc>
              <w:tc>
                <w:tcPr>
                  <w:tcW w:w="427" w:type="pct"/>
                  <w:vAlign w:val="center"/>
                </w:tcPr>
                <w:p w14:paraId="1153CB28">
                  <w:pPr>
                    <w:pStyle w:val="296"/>
                    <w:spacing w:line="240" w:lineRule="auto"/>
                    <w:ind w:firstLine="0" w:firstLineChars="0"/>
                    <w:jc w:val="center"/>
                    <w:rPr>
                      <w:sz w:val="18"/>
                      <w:szCs w:val="18"/>
                    </w:rPr>
                  </w:pPr>
                  <w:r>
                    <w:rPr>
                      <w:sz w:val="18"/>
                      <w:szCs w:val="18"/>
                    </w:rPr>
                    <w:t>0.80</w:t>
                  </w:r>
                </w:p>
              </w:tc>
              <w:tc>
                <w:tcPr>
                  <w:tcW w:w="427" w:type="pct"/>
                  <w:vAlign w:val="center"/>
                </w:tcPr>
                <w:p w14:paraId="56A57B32">
                  <w:pPr>
                    <w:pStyle w:val="296"/>
                    <w:spacing w:line="240" w:lineRule="auto"/>
                    <w:ind w:firstLine="0" w:firstLineChars="0"/>
                    <w:jc w:val="center"/>
                    <w:rPr>
                      <w:sz w:val="18"/>
                      <w:szCs w:val="18"/>
                    </w:rPr>
                  </w:pPr>
                  <w:r>
                    <w:rPr>
                      <w:sz w:val="18"/>
                      <w:szCs w:val="18"/>
                    </w:rPr>
                    <w:t>1.20</w:t>
                  </w:r>
                </w:p>
              </w:tc>
              <w:tc>
                <w:tcPr>
                  <w:tcW w:w="427" w:type="pct"/>
                  <w:vAlign w:val="center"/>
                </w:tcPr>
                <w:p w14:paraId="257419D0">
                  <w:pPr>
                    <w:pStyle w:val="296"/>
                    <w:spacing w:line="240" w:lineRule="auto"/>
                    <w:ind w:firstLine="0" w:firstLineChars="0"/>
                    <w:jc w:val="center"/>
                    <w:rPr>
                      <w:sz w:val="18"/>
                      <w:szCs w:val="18"/>
                    </w:rPr>
                  </w:pPr>
                  <w:r>
                    <w:rPr>
                      <w:sz w:val="18"/>
                      <w:szCs w:val="18"/>
                    </w:rPr>
                    <w:t>1.60</w:t>
                  </w:r>
                </w:p>
              </w:tc>
            </w:tr>
            <w:tr w14:paraId="462D2C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4" w:type="pct"/>
                  <w:vMerge w:val="continue"/>
                  <w:vAlign w:val="center"/>
                </w:tcPr>
                <w:p w14:paraId="44E29C37">
                  <w:pPr>
                    <w:pStyle w:val="296"/>
                    <w:spacing w:line="240" w:lineRule="auto"/>
                    <w:ind w:firstLine="0" w:firstLineChars="0"/>
                    <w:jc w:val="center"/>
                    <w:rPr>
                      <w:sz w:val="18"/>
                      <w:szCs w:val="18"/>
                    </w:rPr>
                  </w:pPr>
                </w:p>
              </w:tc>
              <w:tc>
                <w:tcPr>
                  <w:tcW w:w="215" w:type="pct"/>
                  <w:vMerge w:val="continue"/>
                  <w:vAlign w:val="center"/>
                </w:tcPr>
                <w:p w14:paraId="448FC984">
                  <w:pPr>
                    <w:pStyle w:val="296"/>
                    <w:spacing w:line="240" w:lineRule="auto"/>
                    <w:ind w:firstLine="0" w:firstLineChars="0"/>
                    <w:jc w:val="center"/>
                    <w:rPr>
                      <w:sz w:val="18"/>
                      <w:szCs w:val="18"/>
                    </w:rPr>
                  </w:pPr>
                </w:p>
              </w:tc>
              <w:tc>
                <w:tcPr>
                  <w:tcW w:w="305" w:type="pct"/>
                  <w:vAlign w:val="center"/>
                </w:tcPr>
                <w:p w14:paraId="5B329721">
                  <w:pPr>
                    <w:pStyle w:val="296"/>
                    <w:spacing w:line="240" w:lineRule="auto"/>
                    <w:ind w:firstLine="0" w:firstLineChars="0"/>
                    <w:jc w:val="center"/>
                    <w:rPr>
                      <w:sz w:val="18"/>
                      <w:szCs w:val="18"/>
                    </w:rPr>
                  </w:pPr>
                  <w:r>
                    <w:rPr>
                      <w:sz w:val="18"/>
                      <w:szCs w:val="18"/>
                    </w:rPr>
                    <w:t>CV≤</w:t>
                  </w:r>
                </w:p>
              </w:tc>
              <w:tc>
                <w:tcPr>
                  <w:tcW w:w="425" w:type="pct"/>
                  <w:vAlign w:val="center"/>
                </w:tcPr>
                <w:p w14:paraId="3EDCC673">
                  <w:pPr>
                    <w:pStyle w:val="296"/>
                    <w:spacing w:line="240" w:lineRule="auto"/>
                    <w:ind w:firstLine="0" w:firstLineChars="0"/>
                    <w:jc w:val="center"/>
                    <w:rPr>
                      <w:sz w:val="18"/>
                      <w:szCs w:val="18"/>
                    </w:rPr>
                  </w:pPr>
                  <w:r>
                    <w:rPr>
                      <w:sz w:val="18"/>
                      <w:szCs w:val="18"/>
                    </w:rPr>
                    <w:t>%</w:t>
                  </w:r>
                </w:p>
              </w:tc>
              <w:tc>
                <w:tcPr>
                  <w:tcW w:w="427" w:type="pct"/>
                  <w:vAlign w:val="center"/>
                </w:tcPr>
                <w:p w14:paraId="36B5EE1D">
                  <w:pPr>
                    <w:pStyle w:val="296"/>
                    <w:spacing w:line="240" w:lineRule="auto"/>
                    <w:ind w:firstLine="0" w:firstLineChars="0"/>
                    <w:jc w:val="center"/>
                    <w:rPr>
                      <w:sz w:val="18"/>
                      <w:szCs w:val="18"/>
                    </w:rPr>
                  </w:pPr>
                  <w:r>
                    <w:rPr>
                      <w:sz w:val="18"/>
                      <w:szCs w:val="18"/>
                    </w:rPr>
                    <w:t>1.20</w:t>
                  </w:r>
                </w:p>
              </w:tc>
              <w:tc>
                <w:tcPr>
                  <w:tcW w:w="427" w:type="pct"/>
                  <w:vAlign w:val="center"/>
                </w:tcPr>
                <w:p w14:paraId="7C7C9B2F">
                  <w:pPr>
                    <w:pStyle w:val="296"/>
                    <w:spacing w:line="240" w:lineRule="auto"/>
                    <w:ind w:firstLine="0" w:firstLineChars="0"/>
                    <w:jc w:val="center"/>
                    <w:rPr>
                      <w:sz w:val="18"/>
                      <w:szCs w:val="18"/>
                    </w:rPr>
                  </w:pPr>
                  <w:r>
                    <w:rPr>
                      <w:sz w:val="18"/>
                      <w:szCs w:val="18"/>
                    </w:rPr>
                    <w:t>1.70</w:t>
                  </w:r>
                </w:p>
              </w:tc>
              <w:tc>
                <w:tcPr>
                  <w:tcW w:w="427" w:type="pct"/>
                  <w:vAlign w:val="center"/>
                </w:tcPr>
                <w:p w14:paraId="535A534F">
                  <w:pPr>
                    <w:pStyle w:val="296"/>
                    <w:spacing w:line="240" w:lineRule="auto"/>
                    <w:ind w:firstLine="0" w:firstLineChars="0"/>
                    <w:jc w:val="center"/>
                    <w:rPr>
                      <w:sz w:val="18"/>
                      <w:szCs w:val="18"/>
                    </w:rPr>
                  </w:pPr>
                  <w:r>
                    <w:rPr>
                      <w:sz w:val="18"/>
                      <w:szCs w:val="18"/>
                    </w:rPr>
                    <w:t>2.20</w:t>
                  </w:r>
                </w:p>
              </w:tc>
              <w:tc>
                <w:tcPr>
                  <w:tcW w:w="427" w:type="pct"/>
                  <w:vAlign w:val="center"/>
                </w:tcPr>
                <w:p w14:paraId="4B3AD3A4">
                  <w:pPr>
                    <w:pStyle w:val="296"/>
                    <w:spacing w:line="240" w:lineRule="auto"/>
                    <w:ind w:firstLine="0" w:firstLineChars="0"/>
                    <w:jc w:val="center"/>
                    <w:rPr>
                      <w:sz w:val="18"/>
                      <w:szCs w:val="18"/>
                    </w:rPr>
                  </w:pPr>
                  <w:r>
                    <w:rPr>
                      <w:sz w:val="18"/>
                      <w:szCs w:val="18"/>
                    </w:rPr>
                    <w:t>1.10</w:t>
                  </w:r>
                </w:p>
              </w:tc>
              <w:tc>
                <w:tcPr>
                  <w:tcW w:w="427" w:type="pct"/>
                  <w:vAlign w:val="center"/>
                </w:tcPr>
                <w:p w14:paraId="2AD62188">
                  <w:pPr>
                    <w:pStyle w:val="296"/>
                    <w:spacing w:line="240" w:lineRule="auto"/>
                    <w:ind w:firstLine="0" w:firstLineChars="0"/>
                    <w:jc w:val="center"/>
                    <w:rPr>
                      <w:sz w:val="18"/>
                      <w:szCs w:val="18"/>
                    </w:rPr>
                  </w:pPr>
                  <w:r>
                    <w:rPr>
                      <w:sz w:val="18"/>
                      <w:szCs w:val="18"/>
                    </w:rPr>
                    <w:t>1.60</w:t>
                  </w:r>
                </w:p>
              </w:tc>
              <w:tc>
                <w:tcPr>
                  <w:tcW w:w="427" w:type="pct"/>
                  <w:vAlign w:val="center"/>
                </w:tcPr>
                <w:p w14:paraId="73D127E8">
                  <w:pPr>
                    <w:pStyle w:val="296"/>
                    <w:spacing w:line="240" w:lineRule="auto"/>
                    <w:ind w:firstLine="0" w:firstLineChars="0"/>
                    <w:jc w:val="center"/>
                    <w:rPr>
                      <w:sz w:val="18"/>
                      <w:szCs w:val="18"/>
                    </w:rPr>
                  </w:pPr>
                  <w:r>
                    <w:rPr>
                      <w:sz w:val="18"/>
                      <w:szCs w:val="18"/>
                    </w:rPr>
                    <w:t>2.10</w:t>
                  </w:r>
                </w:p>
              </w:tc>
              <w:tc>
                <w:tcPr>
                  <w:tcW w:w="427" w:type="pct"/>
                  <w:vAlign w:val="center"/>
                </w:tcPr>
                <w:p w14:paraId="39F4F6C1">
                  <w:pPr>
                    <w:pStyle w:val="296"/>
                    <w:spacing w:line="240" w:lineRule="auto"/>
                    <w:ind w:firstLine="0" w:firstLineChars="0"/>
                    <w:jc w:val="center"/>
                    <w:rPr>
                      <w:sz w:val="18"/>
                      <w:szCs w:val="18"/>
                    </w:rPr>
                  </w:pPr>
                  <w:r>
                    <w:rPr>
                      <w:sz w:val="18"/>
                      <w:szCs w:val="18"/>
                    </w:rPr>
                    <w:t>1.00</w:t>
                  </w:r>
                </w:p>
              </w:tc>
              <w:tc>
                <w:tcPr>
                  <w:tcW w:w="427" w:type="pct"/>
                  <w:vAlign w:val="center"/>
                </w:tcPr>
                <w:p w14:paraId="05AB0D2E">
                  <w:pPr>
                    <w:pStyle w:val="296"/>
                    <w:spacing w:line="240" w:lineRule="auto"/>
                    <w:ind w:firstLine="0" w:firstLineChars="0"/>
                    <w:jc w:val="center"/>
                    <w:rPr>
                      <w:sz w:val="18"/>
                      <w:szCs w:val="18"/>
                    </w:rPr>
                  </w:pPr>
                  <w:r>
                    <w:rPr>
                      <w:sz w:val="18"/>
                      <w:szCs w:val="18"/>
                    </w:rPr>
                    <w:t>1.50</w:t>
                  </w:r>
                </w:p>
              </w:tc>
              <w:tc>
                <w:tcPr>
                  <w:tcW w:w="427" w:type="pct"/>
                  <w:vAlign w:val="center"/>
                </w:tcPr>
                <w:p w14:paraId="0E2540A2">
                  <w:pPr>
                    <w:pStyle w:val="296"/>
                    <w:spacing w:line="240" w:lineRule="auto"/>
                    <w:ind w:firstLine="0" w:firstLineChars="0"/>
                    <w:jc w:val="center"/>
                    <w:rPr>
                      <w:sz w:val="18"/>
                      <w:szCs w:val="18"/>
                    </w:rPr>
                  </w:pPr>
                  <w:r>
                    <w:rPr>
                      <w:sz w:val="18"/>
                      <w:szCs w:val="18"/>
                    </w:rPr>
                    <w:t>2.00</w:t>
                  </w:r>
                </w:p>
              </w:tc>
            </w:tr>
            <w:tr w14:paraId="0C7513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4" w:type="pct"/>
                  <w:vAlign w:val="center"/>
                </w:tcPr>
                <w:p w14:paraId="4E1851B9">
                  <w:pPr>
                    <w:pStyle w:val="296"/>
                    <w:spacing w:line="240" w:lineRule="auto"/>
                    <w:ind w:firstLine="0" w:firstLineChars="0"/>
                    <w:jc w:val="center"/>
                    <w:rPr>
                      <w:sz w:val="18"/>
                      <w:szCs w:val="18"/>
                    </w:rPr>
                  </w:pPr>
                  <w:r>
                    <w:rPr>
                      <w:sz w:val="18"/>
                      <w:szCs w:val="18"/>
                    </w:rPr>
                    <w:t>8</w:t>
                  </w:r>
                </w:p>
              </w:tc>
              <w:tc>
                <w:tcPr>
                  <w:tcW w:w="520" w:type="pct"/>
                  <w:gridSpan w:val="2"/>
                  <w:vAlign w:val="center"/>
                </w:tcPr>
                <w:p w14:paraId="160414BB">
                  <w:pPr>
                    <w:pStyle w:val="296"/>
                    <w:spacing w:line="240" w:lineRule="auto"/>
                    <w:ind w:firstLine="0" w:firstLineChars="0"/>
                    <w:jc w:val="center"/>
                    <w:rPr>
                      <w:sz w:val="18"/>
                      <w:szCs w:val="18"/>
                    </w:rPr>
                  </w:pPr>
                  <w:r>
                    <w:rPr>
                      <w:sz w:val="18"/>
                      <w:szCs w:val="18"/>
                    </w:rPr>
                    <w:t>含油率/(%)</w:t>
                  </w:r>
                </w:p>
              </w:tc>
              <w:tc>
                <w:tcPr>
                  <w:tcW w:w="425" w:type="pct"/>
                  <w:vAlign w:val="center"/>
                </w:tcPr>
                <w:p w14:paraId="359BFA57">
                  <w:pPr>
                    <w:pStyle w:val="296"/>
                    <w:spacing w:line="240" w:lineRule="auto"/>
                    <w:ind w:firstLine="0" w:firstLineChars="0"/>
                    <w:jc w:val="center"/>
                    <w:rPr>
                      <w:sz w:val="18"/>
                      <w:szCs w:val="18"/>
                    </w:rPr>
                  </w:pPr>
                  <w:r>
                    <w:rPr>
                      <w:sz w:val="18"/>
                      <w:szCs w:val="18"/>
                    </w:rPr>
                    <w:t>%</w:t>
                  </w:r>
                </w:p>
              </w:tc>
              <w:tc>
                <w:tcPr>
                  <w:tcW w:w="3841" w:type="pct"/>
                  <w:gridSpan w:val="9"/>
                  <w:vAlign w:val="center"/>
                </w:tcPr>
                <w:p w14:paraId="3BDF9C1F">
                  <w:pPr>
                    <w:pStyle w:val="296"/>
                    <w:spacing w:line="240" w:lineRule="auto"/>
                    <w:ind w:firstLine="0" w:firstLineChars="0"/>
                    <w:jc w:val="center"/>
                    <w:rPr>
                      <w:sz w:val="18"/>
                      <w:szCs w:val="18"/>
                    </w:rPr>
                  </w:pPr>
                  <w:r>
                    <w:rPr>
                      <w:sz w:val="18"/>
                      <w:szCs w:val="18"/>
                    </w:rPr>
                    <w:t>M2±0.12</w:t>
                  </w:r>
                </w:p>
              </w:tc>
            </w:tr>
            <w:tr w14:paraId="5ADBF4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00" w:type="pct"/>
                  <w:gridSpan w:val="13"/>
                  <w:vAlign w:val="center"/>
                </w:tcPr>
                <w:p w14:paraId="02855E57">
                  <w:pPr>
                    <w:pStyle w:val="296"/>
                    <w:spacing w:line="240" w:lineRule="auto"/>
                    <w:ind w:firstLine="0" w:firstLineChars="0"/>
                    <w:jc w:val="left"/>
                    <w:rPr>
                      <w:sz w:val="18"/>
                      <w:szCs w:val="18"/>
                    </w:rPr>
                  </w:pPr>
                  <w:r>
                    <w:rPr>
                      <w:sz w:val="18"/>
                      <w:szCs w:val="18"/>
                    </w:rPr>
                    <w:t>注1： M1为断裂伸长率中心值，由供需双方确定。</w:t>
                  </w:r>
                </w:p>
                <w:p w14:paraId="5180F24A">
                  <w:pPr>
                    <w:pStyle w:val="296"/>
                    <w:spacing w:line="240" w:lineRule="auto"/>
                    <w:ind w:firstLine="0" w:firstLineChars="0"/>
                    <w:jc w:val="left"/>
                    <w:rPr>
                      <w:sz w:val="18"/>
                      <w:szCs w:val="18"/>
                    </w:rPr>
                  </w:pPr>
                  <w:r>
                    <w:rPr>
                      <w:sz w:val="18"/>
                      <w:szCs w:val="18"/>
                    </w:rPr>
                    <w:t>注2： M2为含油率中心值，由供需双方确定。</w:t>
                  </w:r>
                </w:p>
              </w:tc>
            </w:tr>
          </w:tbl>
          <w:p w14:paraId="432E682B">
            <w:pPr>
              <w:jc w:val="center"/>
              <w:rPr>
                <w:b/>
              </w:rPr>
            </w:pPr>
          </w:p>
          <w:p w14:paraId="665F2478">
            <w:pPr>
              <w:jc w:val="center"/>
              <w:rPr>
                <w:b/>
                <w:sz w:val="24"/>
                <w:szCs w:val="32"/>
              </w:rPr>
            </w:pPr>
            <w:r>
              <w:rPr>
                <w:b/>
                <w:sz w:val="24"/>
                <w:szCs w:val="32"/>
              </w:rPr>
              <w:t>表2-</w:t>
            </w:r>
            <w:r>
              <w:rPr>
                <w:rFonts w:hint="eastAsia"/>
                <w:b/>
                <w:sz w:val="24"/>
                <w:szCs w:val="32"/>
              </w:rPr>
              <w:t>7</w:t>
            </w:r>
            <w:r>
              <w:rPr>
                <w:b/>
                <w:sz w:val="24"/>
                <w:szCs w:val="32"/>
              </w:rPr>
              <w:t>（2）  涤纶牵伸丝（FDY）质量指标（GB/T 8960-2015）</w:t>
            </w:r>
          </w:p>
          <w:tbl>
            <w:tblPr>
              <w:tblStyle w:val="92"/>
              <w:tblW w:w="80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728"/>
              <w:gridCol w:w="732"/>
              <w:gridCol w:w="732"/>
              <w:gridCol w:w="732"/>
              <w:gridCol w:w="732"/>
              <w:gridCol w:w="732"/>
              <w:gridCol w:w="732"/>
              <w:gridCol w:w="732"/>
              <w:gridCol w:w="732"/>
              <w:gridCol w:w="732"/>
            </w:tblGrid>
            <w:tr w14:paraId="588D0C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6" w:type="pct"/>
                  <w:vMerge w:val="restart"/>
                  <w:vAlign w:val="center"/>
                </w:tcPr>
                <w:p w14:paraId="6B06EA2E">
                  <w:pPr>
                    <w:pStyle w:val="296"/>
                    <w:spacing w:line="240" w:lineRule="auto"/>
                    <w:ind w:firstLine="0" w:firstLineChars="0"/>
                    <w:jc w:val="center"/>
                    <w:rPr>
                      <w:b/>
                      <w:bCs/>
                      <w:sz w:val="18"/>
                      <w:szCs w:val="18"/>
                    </w:rPr>
                  </w:pPr>
                  <w:r>
                    <w:rPr>
                      <w:b/>
                      <w:bCs/>
                      <w:sz w:val="18"/>
                      <w:szCs w:val="18"/>
                    </w:rPr>
                    <w:t>项目</w:t>
                  </w:r>
                </w:p>
              </w:tc>
              <w:tc>
                <w:tcPr>
                  <w:tcW w:w="315" w:type="pct"/>
                  <w:vMerge w:val="restart"/>
                  <w:vAlign w:val="center"/>
                </w:tcPr>
                <w:p w14:paraId="0352D7B5">
                  <w:pPr>
                    <w:pStyle w:val="296"/>
                    <w:spacing w:line="240" w:lineRule="auto"/>
                    <w:ind w:firstLine="0" w:firstLineChars="0"/>
                    <w:jc w:val="center"/>
                    <w:rPr>
                      <w:b/>
                      <w:bCs/>
                      <w:sz w:val="18"/>
                      <w:szCs w:val="18"/>
                    </w:rPr>
                  </w:pPr>
                  <w:r>
                    <w:rPr>
                      <w:b/>
                      <w:bCs/>
                      <w:sz w:val="18"/>
                      <w:szCs w:val="18"/>
                    </w:rPr>
                    <w:t>计量</w:t>
                  </w:r>
                </w:p>
                <w:p w14:paraId="1C29EAEF">
                  <w:pPr>
                    <w:pStyle w:val="296"/>
                    <w:spacing w:line="240" w:lineRule="auto"/>
                    <w:ind w:firstLine="0" w:firstLineChars="0"/>
                    <w:jc w:val="center"/>
                    <w:rPr>
                      <w:b/>
                      <w:bCs/>
                      <w:sz w:val="18"/>
                      <w:szCs w:val="18"/>
                    </w:rPr>
                  </w:pPr>
                  <w:r>
                    <w:rPr>
                      <w:b/>
                      <w:bCs/>
                      <w:sz w:val="18"/>
                      <w:szCs w:val="18"/>
                    </w:rPr>
                    <w:t>单位</w:t>
                  </w:r>
                </w:p>
              </w:tc>
              <w:tc>
                <w:tcPr>
                  <w:tcW w:w="4229" w:type="pct"/>
                  <w:gridSpan w:val="9"/>
                  <w:vAlign w:val="center"/>
                </w:tcPr>
                <w:p w14:paraId="0F26A4CD">
                  <w:pPr>
                    <w:pStyle w:val="296"/>
                    <w:spacing w:line="240" w:lineRule="auto"/>
                    <w:ind w:firstLine="0" w:firstLineChars="0"/>
                    <w:jc w:val="center"/>
                    <w:rPr>
                      <w:b/>
                      <w:bCs/>
                      <w:sz w:val="18"/>
                      <w:szCs w:val="18"/>
                    </w:rPr>
                  </w:pPr>
                  <w:r>
                    <w:rPr>
                      <w:b/>
                      <w:bCs/>
                      <w:sz w:val="18"/>
                      <w:szCs w:val="18"/>
                    </w:rPr>
                    <w:t>单丝线密度（dpf）</w:t>
                  </w:r>
                </w:p>
              </w:tc>
            </w:tr>
            <w:tr w14:paraId="66D94F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6" w:type="pct"/>
                  <w:vMerge w:val="continue"/>
                  <w:vAlign w:val="center"/>
                </w:tcPr>
                <w:p w14:paraId="3612AA21">
                  <w:pPr>
                    <w:pStyle w:val="296"/>
                    <w:spacing w:line="240" w:lineRule="auto"/>
                    <w:ind w:firstLine="0" w:firstLineChars="0"/>
                    <w:jc w:val="center"/>
                    <w:rPr>
                      <w:b/>
                      <w:bCs/>
                      <w:sz w:val="18"/>
                      <w:szCs w:val="18"/>
                    </w:rPr>
                  </w:pPr>
                </w:p>
              </w:tc>
              <w:tc>
                <w:tcPr>
                  <w:tcW w:w="315" w:type="pct"/>
                  <w:vMerge w:val="continue"/>
                  <w:vAlign w:val="center"/>
                </w:tcPr>
                <w:p w14:paraId="05158211">
                  <w:pPr>
                    <w:pStyle w:val="296"/>
                    <w:spacing w:line="240" w:lineRule="auto"/>
                    <w:ind w:firstLine="0" w:firstLineChars="0"/>
                    <w:jc w:val="center"/>
                    <w:rPr>
                      <w:b/>
                      <w:bCs/>
                      <w:sz w:val="18"/>
                      <w:szCs w:val="18"/>
                    </w:rPr>
                  </w:pPr>
                </w:p>
              </w:tc>
              <w:tc>
                <w:tcPr>
                  <w:tcW w:w="1261" w:type="pct"/>
                  <w:gridSpan w:val="3"/>
                  <w:vAlign w:val="center"/>
                </w:tcPr>
                <w:p w14:paraId="252B83FE">
                  <w:pPr>
                    <w:pStyle w:val="296"/>
                    <w:spacing w:line="240" w:lineRule="auto"/>
                    <w:ind w:firstLine="0" w:firstLineChars="0"/>
                    <w:jc w:val="center"/>
                    <w:rPr>
                      <w:b/>
                      <w:bCs/>
                      <w:sz w:val="18"/>
                      <w:szCs w:val="18"/>
                    </w:rPr>
                  </w:pPr>
                  <w:r>
                    <w:rPr>
                      <w:b/>
                      <w:bCs/>
                      <w:sz w:val="18"/>
                      <w:szCs w:val="18"/>
                    </w:rPr>
                    <w:t>0.3dtex&lt;dpf≤1.0dtex</w:t>
                  </w:r>
                </w:p>
              </w:tc>
              <w:tc>
                <w:tcPr>
                  <w:tcW w:w="1261" w:type="pct"/>
                  <w:gridSpan w:val="3"/>
                  <w:vAlign w:val="center"/>
                </w:tcPr>
                <w:p w14:paraId="11737B7F">
                  <w:pPr>
                    <w:pStyle w:val="296"/>
                    <w:spacing w:line="240" w:lineRule="auto"/>
                    <w:ind w:firstLine="0" w:firstLineChars="0"/>
                    <w:jc w:val="center"/>
                    <w:rPr>
                      <w:b/>
                      <w:bCs/>
                      <w:sz w:val="18"/>
                      <w:szCs w:val="18"/>
                    </w:rPr>
                  </w:pPr>
                  <w:r>
                    <w:rPr>
                      <w:b/>
                      <w:bCs/>
                      <w:sz w:val="18"/>
                      <w:szCs w:val="18"/>
                    </w:rPr>
                    <w:t>1.0dtex&lt;dpf≤5.6dtex</w:t>
                  </w:r>
                </w:p>
              </w:tc>
              <w:tc>
                <w:tcPr>
                  <w:tcW w:w="1707" w:type="pct"/>
                  <w:gridSpan w:val="3"/>
                  <w:vAlign w:val="center"/>
                </w:tcPr>
                <w:p w14:paraId="165570E9">
                  <w:pPr>
                    <w:pStyle w:val="296"/>
                    <w:spacing w:line="240" w:lineRule="auto"/>
                    <w:ind w:firstLine="0" w:firstLineChars="0"/>
                    <w:jc w:val="center"/>
                    <w:rPr>
                      <w:b/>
                      <w:bCs/>
                      <w:sz w:val="18"/>
                      <w:szCs w:val="18"/>
                    </w:rPr>
                  </w:pPr>
                  <w:r>
                    <w:rPr>
                      <w:b/>
                      <w:bCs/>
                      <w:sz w:val="18"/>
                      <w:szCs w:val="18"/>
                    </w:rPr>
                    <w:t>5.6dtex&lt;dpf≤7.0dtex</w:t>
                  </w:r>
                </w:p>
              </w:tc>
            </w:tr>
            <w:tr w14:paraId="75F08B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6" w:type="pct"/>
                  <w:vMerge w:val="continue"/>
                  <w:vAlign w:val="center"/>
                </w:tcPr>
                <w:p w14:paraId="39D8E9F6">
                  <w:pPr>
                    <w:pStyle w:val="296"/>
                    <w:spacing w:line="240" w:lineRule="auto"/>
                    <w:ind w:firstLine="0" w:firstLineChars="0"/>
                    <w:jc w:val="center"/>
                    <w:rPr>
                      <w:b/>
                      <w:bCs/>
                      <w:sz w:val="18"/>
                      <w:szCs w:val="18"/>
                    </w:rPr>
                  </w:pPr>
                </w:p>
              </w:tc>
              <w:tc>
                <w:tcPr>
                  <w:tcW w:w="315" w:type="pct"/>
                  <w:vMerge w:val="continue"/>
                  <w:vAlign w:val="center"/>
                </w:tcPr>
                <w:p w14:paraId="519449B3">
                  <w:pPr>
                    <w:pStyle w:val="296"/>
                    <w:spacing w:line="240" w:lineRule="auto"/>
                    <w:ind w:firstLine="0" w:firstLineChars="0"/>
                    <w:jc w:val="center"/>
                    <w:rPr>
                      <w:b/>
                      <w:bCs/>
                      <w:sz w:val="18"/>
                      <w:szCs w:val="18"/>
                    </w:rPr>
                  </w:pPr>
                </w:p>
              </w:tc>
              <w:tc>
                <w:tcPr>
                  <w:tcW w:w="419" w:type="pct"/>
                  <w:vAlign w:val="center"/>
                </w:tcPr>
                <w:p w14:paraId="40DC2EDF">
                  <w:pPr>
                    <w:pStyle w:val="296"/>
                    <w:spacing w:line="240" w:lineRule="auto"/>
                    <w:ind w:firstLine="0" w:firstLineChars="0"/>
                    <w:jc w:val="center"/>
                    <w:rPr>
                      <w:b/>
                      <w:bCs/>
                      <w:sz w:val="18"/>
                      <w:szCs w:val="18"/>
                    </w:rPr>
                  </w:pPr>
                  <w:r>
                    <w:rPr>
                      <w:b/>
                      <w:bCs/>
                      <w:sz w:val="18"/>
                      <w:szCs w:val="18"/>
                    </w:rPr>
                    <w:t>优等品</w:t>
                  </w:r>
                </w:p>
              </w:tc>
              <w:tc>
                <w:tcPr>
                  <w:tcW w:w="420" w:type="pct"/>
                  <w:vAlign w:val="center"/>
                </w:tcPr>
                <w:p w14:paraId="59FEE87E">
                  <w:pPr>
                    <w:pStyle w:val="296"/>
                    <w:spacing w:line="240" w:lineRule="auto"/>
                    <w:ind w:firstLine="0" w:firstLineChars="0"/>
                    <w:jc w:val="center"/>
                    <w:rPr>
                      <w:b/>
                      <w:bCs/>
                      <w:sz w:val="18"/>
                      <w:szCs w:val="18"/>
                    </w:rPr>
                  </w:pPr>
                  <w:r>
                    <w:rPr>
                      <w:b/>
                      <w:bCs/>
                      <w:sz w:val="18"/>
                      <w:szCs w:val="18"/>
                    </w:rPr>
                    <w:t>一等品</w:t>
                  </w:r>
                </w:p>
              </w:tc>
              <w:tc>
                <w:tcPr>
                  <w:tcW w:w="422" w:type="pct"/>
                  <w:vAlign w:val="center"/>
                </w:tcPr>
                <w:p w14:paraId="232A0E8E">
                  <w:pPr>
                    <w:pStyle w:val="296"/>
                    <w:spacing w:line="240" w:lineRule="auto"/>
                    <w:ind w:firstLine="0" w:firstLineChars="0"/>
                    <w:jc w:val="center"/>
                    <w:rPr>
                      <w:b/>
                      <w:bCs/>
                      <w:sz w:val="18"/>
                      <w:szCs w:val="18"/>
                    </w:rPr>
                  </w:pPr>
                  <w:r>
                    <w:rPr>
                      <w:b/>
                      <w:bCs/>
                      <w:sz w:val="18"/>
                      <w:szCs w:val="18"/>
                    </w:rPr>
                    <w:t>合格品</w:t>
                  </w:r>
                </w:p>
              </w:tc>
              <w:tc>
                <w:tcPr>
                  <w:tcW w:w="420" w:type="pct"/>
                  <w:vAlign w:val="center"/>
                </w:tcPr>
                <w:p w14:paraId="1F7D1CD4">
                  <w:pPr>
                    <w:pStyle w:val="296"/>
                    <w:spacing w:line="240" w:lineRule="auto"/>
                    <w:ind w:firstLine="0" w:firstLineChars="0"/>
                    <w:jc w:val="center"/>
                    <w:rPr>
                      <w:b/>
                      <w:bCs/>
                      <w:sz w:val="18"/>
                      <w:szCs w:val="18"/>
                    </w:rPr>
                  </w:pPr>
                  <w:r>
                    <w:rPr>
                      <w:b/>
                      <w:bCs/>
                      <w:sz w:val="18"/>
                      <w:szCs w:val="18"/>
                    </w:rPr>
                    <w:t>优等品</w:t>
                  </w:r>
                </w:p>
              </w:tc>
              <w:tc>
                <w:tcPr>
                  <w:tcW w:w="420" w:type="pct"/>
                  <w:vAlign w:val="center"/>
                </w:tcPr>
                <w:p w14:paraId="1DC7B02F">
                  <w:pPr>
                    <w:pStyle w:val="296"/>
                    <w:spacing w:line="240" w:lineRule="auto"/>
                    <w:ind w:firstLine="0" w:firstLineChars="0"/>
                    <w:jc w:val="center"/>
                    <w:rPr>
                      <w:b/>
                      <w:bCs/>
                      <w:sz w:val="18"/>
                      <w:szCs w:val="18"/>
                    </w:rPr>
                  </w:pPr>
                  <w:r>
                    <w:rPr>
                      <w:b/>
                      <w:bCs/>
                      <w:sz w:val="18"/>
                      <w:szCs w:val="18"/>
                    </w:rPr>
                    <w:t>一等品</w:t>
                  </w:r>
                </w:p>
              </w:tc>
              <w:tc>
                <w:tcPr>
                  <w:tcW w:w="421" w:type="pct"/>
                  <w:vAlign w:val="center"/>
                </w:tcPr>
                <w:p w14:paraId="10BEB346">
                  <w:pPr>
                    <w:pStyle w:val="296"/>
                    <w:spacing w:line="240" w:lineRule="auto"/>
                    <w:ind w:firstLine="0" w:firstLineChars="0"/>
                    <w:jc w:val="center"/>
                    <w:rPr>
                      <w:b/>
                      <w:bCs/>
                      <w:sz w:val="18"/>
                      <w:szCs w:val="18"/>
                    </w:rPr>
                  </w:pPr>
                  <w:r>
                    <w:rPr>
                      <w:b/>
                      <w:bCs/>
                      <w:sz w:val="18"/>
                      <w:szCs w:val="18"/>
                    </w:rPr>
                    <w:t>合格品</w:t>
                  </w:r>
                </w:p>
              </w:tc>
              <w:tc>
                <w:tcPr>
                  <w:tcW w:w="422" w:type="pct"/>
                  <w:vAlign w:val="center"/>
                </w:tcPr>
                <w:p w14:paraId="7EF040BE">
                  <w:pPr>
                    <w:pStyle w:val="296"/>
                    <w:spacing w:line="240" w:lineRule="auto"/>
                    <w:ind w:firstLine="0" w:firstLineChars="0"/>
                    <w:jc w:val="center"/>
                    <w:rPr>
                      <w:b/>
                      <w:bCs/>
                      <w:sz w:val="18"/>
                      <w:szCs w:val="18"/>
                    </w:rPr>
                  </w:pPr>
                  <w:r>
                    <w:rPr>
                      <w:b/>
                      <w:bCs/>
                      <w:sz w:val="18"/>
                      <w:szCs w:val="18"/>
                    </w:rPr>
                    <w:t>优等品</w:t>
                  </w:r>
                </w:p>
              </w:tc>
              <w:tc>
                <w:tcPr>
                  <w:tcW w:w="420" w:type="pct"/>
                  <w:vAlign w:val="center"/>
                </w:tcPr>
                <w:p w14:paraId="61F0C1B1">
                  <w:pPr>
                    <w:pStyle w:val="296"/>
                    <w:spacing w:line="240" w:lineRule="auto"/>
                    <w:ind w:firstLine="0" w:firstLineChars="0"/>
                    <w:jc w:val="center"/>
                    <w:rPr>
                      <w:b/>
                      <w:bCs/>
                      <w:sz w:val="18"/>
                      <w:szCs w:val="18"/>
                    </w:rPr>
                  </w:pPr>
                  <w:r>
                    <w:rPr>
                      <w:b/>
                      <w:bCs/>
                      <w:sz w:val="18"/>
                      <w:szCs w:val="18"/>
                    </w:rPr>
                    <w:t>一等品</w:t>
                  </w:r>
                </w:p>
              </w:tc>
              <w:tc>
                <w:tcPr>
                  <w:tcW w:w="865" w:type="pct"/>
                  <w:vAlign w:val="center"/>
                </w:tcPr>
                <w:p w14:paraId="6C438920">
                  <w:pPr>
                    <w:pStyle w:val="296"/>
                    <w:spacing w:line="240" w:lineRule="auto"/>
                    <w:ind w:firstLine="0" w:firstLineChars="0"/>
                    <w:jc w:val="center"/>
                    <w:rPr>
                      <w:b/>
                      <w:bCs/>
                      <w:sz w:val="18"/>
                      <w:szCs w:val="18"/>
                    </w:rPr>
                  </w:pPr>
                  <w:r>
                    <w:rPr>
                      <w:b/>
                      <w:bCs/>
                      <w:sz w:val="18"/>
                      <w:szCs w:val="18"/>
                    </w:rPr>
                    <w:t>合格品</w:t>
                  </w:r>
                </w:p>
              </w:tc>
            </w:tr>
            <w:tr w14:paraId="453349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6" w:type="pct"/>
                  <w:vAlign w:val="center"/>
                </w:tcPr>
                <w:p w14:paraId="281390CC">
                  <w:pPr>
                    <w:pStyle w:val="296"/>
                    <w:spacing w:line="240" w:lineRule="auto"/>
                    <w:ind w:firstLine="0" w:firstLineChars="0"/>
                    <w:jc w:val="center"/>
                    <w:rPr>
                      <w:sz w:val="18"/>
                      <w:szCs w:val="18"/>
                    </w:rPr>
                  </w:pPr>
                  <w:r>
                    <w:rPr>
                      <w:sz w:val="18"/>
                      <w:szCs w:val="18"/>
                    </w:rPr>
                    <w:t>线密度偏差率</w:t>
                  </w:r>
                </w:p>
              </w:tc>
              <w:tc>
                <w:tcPr>
                  <w:tcW w:w="315" w:type="pct"/>
                  <w:vAlign w:val="center"/>
                </w:tcPr>
                <w:p w14:paraId="11A6AD91">
                  <w:pPr>
                    <w:pStyle w:val="296"/>
                    <w:spacing w:line="240" w:lineRule="auto"/>
                    <w:ind w:firstLine="0" w:firstLineChars="0"/>
                    <w:jc w:val="center"/>
                    <w:rPr>
                      <w:sz w:val="18"/>
                      <w:szCs w:val="18"/>
                    </w:rPr>
                  </w:pPr>
                  <w:r>
                    <w:rPr>
                      <w:sz w:val="18"/>
                      <w:szCs w:val="18"/>
                    </w:rPr>
                    <w:t>%</w:t>
                  </w:r>
                </w:p>
              </w:tc>
              <w:tc>
                <w:tcPr>
                  <w:tcW w:w="419" w:type="pct"/>
                  <w:vAlign w:val="center"/>
                </w:tcPr>
                <w:p w14:paraId="425D43C8">
                  <w:pPr>
                    <w:pStyle w:val="296"/>
                    <w:spacing w:line="240" w:lineRule="auto"/>
                    <w:ind w:firstLine="0" w:firstLineChars="0"/>
                    <w:jc w:val="center"/>
                    <w:rPr>
                      <w:sz w:val="18"/>
                      <w:szCs w:val="18"/>
                    </w:rPr>
                  </w:pPr>
                  <w:r>
                    <w:rPr>
                      <w:sz w:val="18"/>
                      <w:szCs w:val="18"/>
                    </w:rPr>
                    <w:t>±2.0</w:t>
                  </w:r>
                </w:p>
              </w:tc>
              <w:tc>
                <w:tcPr>
                  <w:tcW w:w="420" w:type="pct"/>
                  <w:vAlign w:val="center"/>
                </w:tcPr>
                <w:p w14:paraId="0EFE1AAA">
                  <w:pPr>
                    <w:pStyle w:val="296"/>
                    <w:spacing w:line="240" w:lineRule="auto"/>
                    <w:ind w:firstLine="0" w:firstLineChars="0"/>
                    <w:jc w:val="center"/>
                    <w:rPr>
                      <w:sz w:val="18"/>
                      <w:szCs w:val="18"/>
                    </w:rPr>
                  </w:pPr>
                  <w:r>
                    <w:rPr>
                      <w:sz w:val="18"/>
                      <w:szCs w:val="18"/>
                    </w:rPr>
                    <w:t>±2.5</w:t>
                  </w:r>
                </w:p>
              </w:tc>
              <w:tc>
                <w:tcPr>
                  <w:tcW w:w="422" w:type="pct"/>
                  <w:vAlign w:val="center"/>
                </w:tcPr>
                <w:p w14:paraId="4551986A">
                  <w:pPr>
                    <w:pStyle w:val="296"/>
                    <w:spacing w:line="240" w:lineRule="auto"/>
                    <w:ind w:firstLine="0" w:firstLineChars="0"/>
                    <w:jc w:val="center"/>
                    <w:rPr>
                      <w:sz w:val="18"/>
                      <w:szCs w:val="18"/>
                    </w:rPr>
                  </w:pPr>
                  <w:r>
                    <w:rPr>
                      <w:sz w:val="18"/>
                      <w:szCs w:val="18"/>
                    </w:rPr>
                    <w:t>±3.5</w:t>
                  </w:r>
                </w:p>
              </w:tc>
              <w:tc>
                <w:tcPr>
                  <w:tcW w:w="420" w:type="pct"/>
                  <w:vAlign w:val="center"/>
                </w:tcPr>
                <w:p w14:paraId="6650FE3C">
                  <w:pPr>
                    <w:pStyle w:val="296"/>
                    <w:spacing w:line="240" w:lineRule="auto"/>
                    <w:ind w:firstLine="0" w:firstLineChars="0"/>
                    <w:jc w:val="center"/>
                    <w:rPr>
                      <w:sz w:val="18"/>
                      <w:szCs w:val="18"/>
                    </w:rPr>
                  </w:pPr>
                  <w:r>
                    <w:rPr>
                      <w:sz w:val="18"/>
                      <w:szCs w:val="18"/>
                    </w:rPr>
                    <w:t>±1.5</w:t>
                  </w:r>
                </w:p>
              </w:tc>
              <w:tc>
                <w:tcPr>
                  <w:tcW w:w="420" w:type="pct"/>
                  <w:vAlign w:val="center"/>
                </w:tcPr>
                <w:p w14:paraId="4C363AEF">
                  <w:pPr>
                    <w:pStyle w:val="296"/>
                    <w:spacing w:line="240" w:lineRule="auto"/>
                    <w:ind w:firstLine="0" w:firstLineChars="0"/>
                    <w:jc w:val="center"/>
                    <w:rPr>
                      <w:sz w:val="18"/>
                      <w:szCs w:val="18"/>
                    </w:rPr>
                  </w:pPr>
                  <w:r>
                    <w:rPr>
                      <w:sz w:val="18"/>
                      <w:szCs w:val="18"/>
                    </w:rPr>
                    <w:t>±2.0</w:t>
                  </w:r>
                </w:p>
              </w:tc>
              <w:tc>
                <w:tcPr>
                  <w:tcW w:w="421" w:type="pct"/>
                  <w:vAlign w:val="center"/>
                </w:tcPr>
                <w:p w14:paraId="577FB552">
                  <w:pPr>
                    <w:pStyle w:val="296"/>
                    <w:spacing w:line="240" w:lineRule="auto"/>
                    <w:ind w:firstLine="0" w:firstLineChars="0"/>
                    <w:jc w:val="center"/>
                    <w:rPr>
                      <w:sz w:val="18"/>
                      <w:szCs w:val="18"/>
                    </w:rPr>
                  </w:pPr>
                  <w:r>
                    <w:rPr>
                      <w:sz w:val="18"/>
                      <w:szCs w:val="18"/>
                    </w:rPr>
                    <w:t>±3.0</w:t>
                  </w:r>
                </w:p>
              </w:tc>
              <w:tc>
                <w:tcPr>
                  <w:tcW w:w="422" w:type="pct"/>
                  <w:vAlign w:val="center"/>
                </w:tcPr>
                <w:p w14:paraId="595BE41A">
                  <w:pPr>
                    <w:pStyle w:val="296"/>
                    <w:spacing w:line="240" w:lineRule="auto"/>
                    <w:ind w:firstLine="0" w:firstLineChars="0"/>
                    <w:jc w:val="center"/>
                    <w:rPr>
                      <w:sz w:val="18"/>
                      <w:szCs w:val="18"/>
                    </w:rPr>
                  </w:pPr>
                  <w:r>
                    <w:rPr>
                      <w:sz w:val="18"/>
                      <w:szCs w:val="18"/>
                    </w:rPr>
                    <w:t>±1.5</w:t>
                  </w:r>
                </w:p>
              </w:tc>
              <w:tc>
                <w:tcPr>
                  <w:tcW w:w="420" w:type="pct"/>
                  <w:vAlign w:val="center"/>
                </w:tcPr>
                <w:p w14:paraId="354AA711">
                  <w:pPr>
                    <w:pStyle w:val="296"/>
                    <w:spacing w:line="240" w:lineRule="auto"/>
                    <w:ind w:firstLine="0" w:firstLineChars="0"/>
                    <w:jc w:val="center"/>
                    <w:rPr>
                      <w:sz w:val="18"/>
                      <w:szCs w:val="18"/>
                    </w:rPr>
                  </w:pPr>
                  <w:r>
                    <w:rPr>
                      <w:sz w:val="18"/>
                      <w:szCs w:val="18"/>
                    </w:rPr>
                    <w:t>±2.0</w:t>
                  </w:r>
                </w:p>
              </w:tc>
              <w:tc>
                <w:tcPr>
                  <w:tcW w:w="865" w:type="pct"/>
                  <w:vAlign w:val="center"/>
                </w:tcPr>
                <w:p w14:paraId="0BF8070E">
                  <w:pPr>
                    <w:pStyle w:val="296"/>
                    <w:spacing w:line="240" w:lineRule="auto"/>
                    <w:ind w:firstLine="0" w:firstLineChars="0"/>
                    <w:jc w:val="center"/>
                    <w:rPr>
                      <w:sz w:val="18"/>
                      <w:szCs w:val="18"/>
                    </w:rPr>
                  </w:pPr>
                  <w:r>
                    <w:rPr>
                      <w:sz w:val="18"/>
                      <w:szCs w:val="18"/>
                    </w:rPr>
                    <w:t>±3.0</w:t>
                  </w:r>
                </w:p>
              </w:tc>
            </w:tr>
            <w:tr w14:paraId="1C1812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6" w:type="pct"/>
                  <w:vAlign w:val="center"/>
                </w:tcPr>
                <w:p w14:paraId="5B90D98E">
                  <w:pPr>
                    <w:pStyle w:val="296"/>
                    <w:spacing w:line="240" w:lineRule="auto"/>
                    <w:ind w:firstLine="0" w:firstLineChars="0"/>
                    <w:jc w:val="center"/>
                    <w:rPr>
                      <w:sz w:val="18"/>
                      <w:szCs w:val="18"/>
                    </w:rPr>
                  </w:pPr>
                  <w:r>
                    <w:rPr>
                      <w:sz w:val="18"/>
                      <w:szCs w:val="18"/>
                    </w:rPr>
                    <w:t>线密度变异系数CVb  ≤</w:t>
                  </w:r>
                </w:p>
              </w:tc>
              <w:tc>
                <w:tcPr>
                  <w:tcW w:w="315" w:type="pct"/>
                  <w:vAlign w:val="center"/>
                </w:tcPr>
                <w:p w14:paraId="5EF705B5">
                  <w:pPr>
                    <w:pStyle w:val="296"/>
                    <w:spacing w:line="240" w:lineRule="auto"/>
                    <w:ind w:firstLine="0" w:firstLineChars="0"/>
                    <w:jc w:val="center"/>
                    <w:rPr>
                      <w:sz w:val="18"/>
                      <w:szCs w:val="18"/>
                    </w:rPr>
                  </w:pPr>
                  <w:r>
                    <w:rPr>
                      <w:sz w:val="18"/>
                      <w:szCs w:val="18"/>
                    </w:rPr>
                    <w:t>%</w:t>
                  </w:r>
                </w:p>
              </w:tc>
              <w:tc>
                <w:tcPr>
                  <w:tcW w:w="419" w:type="pct"/>
                  <w:vAlign w:val="center"/>
                </w:tcPr>
                <w:p w14:paraId="45A2EAE3">
                  <w:pPr>
                    <w:pStyle w:val="296"/>
                    <w:spacing w:line="240" w:lineRule="auto"/>
                    <w:ind w:firstLine="0" w:firstLineChars="0"/>
                    <w:jc w:val="center"/>
                    <w:rPr>
                      <w:sz w:val="18"/>
                      <w:szCs w:val="18"/>
                    </w:rPr>
                  </w:pPr>
                  <w:r>
                    <w:rPr>
                      <w:sz w:val="18"/>
                      <w:szCs w:val="18"/>
                    </w:rPr>
                    <w:t>1.50</w:t>
                  </w:r>
                </w:p>
              </w:tc>
              <w:tc>
                <w:tcPr>
                  <w:tcW w:w="420" w:type="pct"/>
                  <w:vAlign w:val="center"/>
                </w:tcPr>
                <w:p w14:paraId="1619E327">
                  <w:pPr>
                    <w:pStyle w:val="296"/>
                    <w:spacing w:line="240" w:lineRule="auto"/>
                    <w:ind w:firstLine="0" w:firstLineChars="0"/>
                    <w:jc w:val="center"/>
                    <w:rPr>
                      <w:sz w:val="18"/>
                      <w:szCs w:val="18"/>
                    </w:rPr>
                  </w:pPr>
                  <w:r>
                    <w:rPr>
                      <w:sz w:val="18"/>
                      <w:szCs w:val="18"/>
                    </w:rPr>
                    <w:t>2.00</w:t>
                  </w:r>
                </w:p>
              </w:tc>
              <w:tc>
                <w:tcPr>
                  <w:tcW w:w="422" w:type="pct"/>
                  <w:vAlign w:val="center"/>
                </w:tcPr>
                <w:p w14:paraId="7A2C1D17">
                  <w:pPr>
                    <w:pStyle w:val="296"/>
                    <w:spacing w:line="240" w:lineRule="auto"/>
                    <w:ind w:firstLine="0" w:firstLineChars="0"/>
                    <w:jc w:val="center"/>
                    <w:rPr>
                      <w:sz w:val="18"/>
                      <w:szCs w:val="18"/>
                    </w:rPr>
                  </w:pPr>
                  <w:r>
                    <w:rPr>
                      <w:sz w:val="18"/>
                      <w:szCs w:val="18"/>
                    </w:rPr>
                    <w:t>3.00</w:t>
                  </w:r>
                </w:p>
              </w:tc>
              <w:tc>
                <w:tcPr>
                  <w:tcW w:w="420" w:type="pct"/>
                  <w:vAlign w:val="center"/>
                </w:tcPr>
                <w:p w14:paraId="0964F7F7">
                  <w:pPr>
                    <w:pStyle w:val="296"/>
                    <w:spacing w:line="240" w:lineRule="auto"/>
                    <w:ind w:firstLine="0" w:firstLineChars="0"/>
                    <w:jc w:val="center"/>
                    <w:rPr>
                      <w:sz w:val="18"/>
                      <w:szCs w:val="18"/>
                    </w:rPr>
                  </w:pPr>
                  <w:r>
                    <w:rPr>
                      <w:sz w:val="18"/>
                      <w:szCs w:val="18"/>
                    </w:rPr>
                    <w:t>1.00</w:t>
                  </w:r>
                </w:p>
              </w:tc>
              <w:tc>
                <w:tcPr>
                  <w:tcW w:w="420" w:type="pct"/>
                  <w:vAlign w:val="center"/>
                </w:tcPr>
                <w:p w14:paraId="018974E8">
                  <w:pPr>
                    <w:pStyle w:val="296"/>
                    <w:spacing w:line="240" w:lineRule="auto"/>
                    <w:ind w:firstLine="0" w:firstLineChars="0"/>
                    <w:jc w:val="center"/>
                    <w:rPr>
                      <w:sz w:val="18"/>
                      <w:szCs w:val="18"/>
                    </w:rPr>
                  </w:pPr>
                  <w:r>
                    <w:rPr>
                      <w:sz w:val="18"/>
                      <w:szCs w:val="18"/>
                    </w:rPr>
                    <w:t>1.30</w:t>
                  </w:r>
                </w:p>
              </w:tc>
              <w:tc>
                <w:tcPr>
                  <w:tcW w:w="421" w:type="pct"/>
                  <w:vAlign w:val="center"/>
                </w:tcPr>
                <w:p w14:paraId="1156A846">
                  <w:pPr>
                    <w:pStyle w:val="296"/>
                    <w:spacing w:line="240" w:lineRule="auto"/>
                    <w:ind w:firstLine="0" w:firstLineChars="0"/>
                    <w:jc w:val="center"/>
                    <w:rPr>
                      <w:sz w:val="18"/>
                      <w:szCs w:val="18"/>
                    </w:rPr>
                  </w:pPr>
                  <w:r>
                    <w:rPr>
                      <w:sz w:val="18"/>
                      <w:szCs w:val="18"/>
                    </w:rPr>
                    <w:t>1.80</w:t>
                  </w:r>
                </w:p>
              </w:tc>
              <w:tc>
                <w:tcPr>
                  <w:tcW w:w="422" w:type="pct"/>
                  <w:vAlign w:val="center"/>
                </w:tcPr>
                <w:p w14:paraId="44823D8D">
                  <w:pPr>
                    <w:pStyle w:val="296"/>
                    <w:spacing w:line="240" w:lineRule="auto"/>
                    <w:ind w:firstLine="0" w:firstLineChars="0"/>
                    <w:jc w:val="center"/>
                    <w:rPr>
                      <w:sz w:val="18"/>
                      <w:szCs w:val="18"/>
                    </w:rPr>
                  </w:pPr>
                  <w:r>
                    <w:rPr>
                      <w:sz w:val="18"/>
                      <w:szCs w:val="18"/>
                    </w:rPr>
                    <w:t>1.00</w:t>
                  </w:r>
                </w:p>
              </w:tc>
              <w:tc>
                <w:tcPr>
                  <w:tcW w:w="420" w:type="pct"/>
                  <w:vAlign w:val="center"/>
                </w:tcPr>
                <w:p w14:paraId="5380316F">
                  <w:pPr>
                    <w:pStyle w:val="296"/>
                    <w:spacing w:line="240" w:lineRule="auto"/>
                    <w:ind w:firstLine="0" w:firstLineChars="0"/>
                    <w:jc w:val="center"/>
                    <w:rPr>
                      <w:sz w:val="18"/>
                      <w:szCs w:val="18"/>
                    </w:rPr>
                  </w:pPr>
                  <w:r>
                    <w:rPr>
                      <w:sz w:val="18"/>
                      <w:szCs w:val="18"/>
                    </w:rPr>
                    <w:t>1.50</w:t>
                  </w:r>
                </w:p>
              </w:tc>
              <w:tc>
                <w:tcPr>
                  <w:tcW w:w="865" w:type="pct"/>
                  <w:vAlign w:val="center"/>
                </w:tcPr>
                <w:p w14:paraId="77F5645C">
                  <w:pPr>
                    <w:pStyle w:val="296"/>
                    <w:spacing w:line="240" w:lineRule="auto"/>
                    <w:ind w:firstLine="0" w:firstLineChars="0"/>
                    <w:jc w:val="center"/>
                    <w:rPr>
                      <w:sz w:val="18"/>
                      <w:szCs w:val="18"/>
                    </w:rPr>
                  </w:pPr>
                  <w:r>
                    <w:rPr>
                      <w:sz w:val="18"/>
                      <w:szCs w:val="18"/>
                    </w:rPr>
                    <w:t>2.00</w:t>
                  </w:r>
                </w:p>
              </w:tc>
            </w:tr>
            <w:tr w14:paraId="32C28B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6" w:type="pct"/>
                  <w:vAlign w:val="center"/>
                </w:tcPr>
                <w:p w14:paraId="629D273C">
                  <w:pPr>
                    <w:pStyle w:val="296"/>
                    <w:spacing w:line="240" w:lineRule="auto"/>
                    <w:ind w:firstLine="0" w:firstLineChars="0"/>
                    <w:jc w:val="center"/>
                    <w:rPr>
                      <w:sz w:val="18"/>
                      <w:szCs w:val="18"/>
                    </w:rPr>
                  </w:pPr>
                  <w:r>
                    <w:rPr>
                      <w:sz w:val="18"/>
                      <w:szCs w:val="18"/>
                    </w:rPr>
                    <w:t>断裂强度    ≥</w:t>
                  </w:r>
                </w:p>
              </w:tc>
              <w:tc>
                <w:tcPr>
                  <w:tcW w:w="315" w:type="pct"/>
                  <w:vAlign w:val="center"/>
                </w:tcPr>
                <w:p w14:paraId="41F712E5">
                  <w:pPr>
                    <w:pStyle w:val="296"/>
                    <w:spacing w:line="240" w:lineRule="auto"/>
                    <w:ind w:firstLine="0" w:firstLineChars="0"/>
                    <w:jc w:val="center"/>
                    <w:rPr>
                      <w:sz w:val="18"/>
                      <w:szCs w:val="18"/>
                    </w:rPr>
                  </w:pPr>
                  <w:r>
                    <w:rPr>
                      <w:sz w:val="18"/>
                      <w:szCs w:val="18"/>
                    </w:rPr>
                    <w:t>cN/dtex</w:t>
                  </w:r>
                </w:p>
              </w:tc>
              <w:tc>
                <w:tcPr>
                  <w:tcW w:w="419" w:type="pct"/>
                  <w:vAlign w:val="center"/>
                </w:tcPr>
                <w:p w14:paraId="3E9CBCD3">
                  <w:pPr>
                    <w:pStyle w:val="296"/>
                    <w:spacing w:line="240" w:lineRule="auto"/>
                    <w:ind w:firstLine="0" w:firstLineChars="0"/>
                    <w:jc w:val="center"/>
                    <w:rPr>
                      <w:sz w:val="18"/>
                      <w:szCs w:val="18"/>
                    </w:rPr>
                  </w:pPr>
                  <w:r>
                    <w:rPr>
                      <w:sz w:val="18"/>
                      <w:szCs w:val="18"/>
                    </w:rPr>
                    <w:t>3.50</w:t>
                  </w:r>
                </w:p>
              </w:tc>
              <w:tc>
                <w:tcPr>
                  <w:tcW w:w="420" w:type="pct"/>
                  <w:vAlign w:val="center"/>
                </w:tcPr>
                <w:p w14:paraId="1E04B821">
                  <w:pPr>
                    <w:pStyle w:val="296"/>
                    <w:spacing w:line="240" w:lineRule="auto"/>
                    <w:ind w:firstLine="0" w:firstLineChars="0"/>
                    <w:jc w:val="center"/>
                    <w:rPr>
                      <w:sz w:val="18"/>
                      <w:szCs w:val="18"/>
                    </w:rPr>
                  </w:pPr>
                  <w:r>
                    <w:rPr>
                      <w:sz w:val="18"/>
                      <w:szCs w:val="18"/>
                    </w:rPr>
                    <w:t>3.30</w:t>
                  </w:r>
                </w:p>
              </w:tc>
              <w:tc>
                <w:tcPr>
                  <w:tcW w:w="422" w:type="pct"/>
                  <w:vAlign w:val="center"/>
                </w:tcPr>
                <w:p w14:paraId="36189CC9">
                  <w:pPr>
                    <w:pStyle w:val="296"/>
                    <w:spacing w:line="240" w:lineRule="auto"/>
                    <w:ind w:firstLine="0" w:firstLineChars="0"/>
                    <w:jc w:val="center"/>
                    <w:rPr>
                      <w:sz w:val="18"/>
                      <w:szCs w:val="18"/>
                    </w:rPr>
                  </w:pPr>
                  <w:r>
                    <w:rPr>
                      <w:sz w:val="18"/>
                      <w:szCs w:val="18"/>
                    </w:rPr>
                    <w:t>3.00</w:t>
                  </w:r>
                </w:p>
              </w:tc>
              <w:tc>
                <w:tcPr>
                  <w:tcW w:w="420" w:type="pct"/>
                  <w:vAlign w:val="center"/>
                </w:tcPr>
                <w:p w14:paraId="694399D8">
                  <w:pPr>
                    <w:pStyle w:val="296"/>
                    <w:spacing w:line="240" w:lineRule="auto"/>
                    <w:ind w:firstLine="0" w:firstLineChars="0"/>
                    <w:jc w:val="center"/>
                    <w:rPr>
                      <w:sz w:val="18"/>
                      <w:szCs w:val="18"/>
                    </w:rPr>
                  </w:pPr>
                  <w:r>
                    <w:rPr>
                      <w:sz w:val="18"/>
                      <w:szCs w:val="18"/>
                    </w:rPr>
                    <w:t>3.80</w:t>
                  </w:r>
                </w:p>
              </w:tc>
              <w:tc>
                <w:tcPr>
                  <w:tcW w:w="420" w:type="pct"/>
                  <w:vAlign w:val="center"/>
                </w:tcPr>
                <w:p w14:paraId="6171D09A">
                  <w:pPr>
                    <w:pStyle w:val="296"/>
                    <w:spacing w:line="240" w:lineRule="auto"/>
                    <w:ind w:firstLine="0" w:firstLineChars="0"/>
                    <w:jc w:val="center"/>
                    <w:rPr>
                      <w:sz w:val="18"/>
                      <w:szCs w:val="18"/>
                    </w:rPr>
                  </w:pPr>
                  <w:r>
                    <w:rPr>
                      <w:sz w:val="18"/>
                      <w:szCs w:val="18"/>
                    </w:rPr>
                    <w:t>3.50</w:t>
                  </w:r>
                </w:p>
              </w:tc>
              <w:tc>
                <w:tcPr>
                  <w:tcW w:w="421" w:type="pct"/>
                  <w:vAlign w:val="center"/>
                </w:tcPr>
                <w:p w14:paraId="665C9BAE">
                  <w:pPr>
                    <w:pStyle w:val="296"/>
                    <w:spacing w:line="240" w:lineRule="auto"/>
                    <w:ind w:firstLine="0" w:firstLineChars="0"/>
                    <w:jc w:val="center"/>
                    <w:rPr>
                      <w:sz w:val="18"/>
                      <w:szCs w:val="18"/>
                    </w:rPr>
                  </w:pPr>
                  <w:r>
                    <w:rPr>
                      <w:sz w:val="18"/>
                      <w:szCs w:val="18"/>
                    </w:rPr>
                    <w:t>3.10</w:t>
                  </w:r>
                </w:p>
              </w:tc>
              <w:tc>
                <w:tcPr>
                  <w:tcW w:w="422" w:type="pct"/>
                  <w:vAlign w:val="center"/>
                </w:tcPr>
                <w:p w14:paraId="09CD4618">
                  <w:pPr>
                    <w:pStyle w:val="296"/>
                    <w:spacing w:line="240" w:lineRule="auto"/>
                    <w:ind w:firstLine="0" w:firstLineChars="0"/>
                    <w:jc w:val="center"/>
                    <w:rPr>
                      <w:sz w:val="18"/>
                      <w:szCs w:val="18"/>
                    </w:rPr>
                  </w:pPr>
                  <w:r>
                    <w:rPr>
                      <w:sz w:val="18"/>
                      <w:szCs w:val="18"/>
                    </w:rPr>
                    <w:t>3.70</w:t>
                  </w:r>
                </w:p>
              </w:tc>
              <w:tc>
                <w:tcPr>
                  <w:tcW w:w="420" w:type="pct"/>
                  <w:vAlign w:val="center"/>
                </w:tcPr>
                <w:p w14:paraId="2306BF11">
                  <w:pPr>
                    <w:pStyle w:val="296"/>
                    <w:spacing w:line="240" w:lineRule="auto"/>
                    <w:ind w:firstLine="0" w:firstLineChars="0"/>
                    <w:jc w:val="center"/>
                    <w:rPr>
                      <w:sz w:val="18"/>
                      <w:szCs w:val="18"/>
                    </w:rPr>
                  </w:pPr>
                  <w:r>
                    <w:rPr>
                      <w:sz w:val="18"/>
                      <w:szCs w:val="18"/>
                    </w:rPr>
                    <w:t>3.40</w:t>
                  </w:r>
                </w:p>
              </w:tc>
              <w:tc>
                <w:tcPr>
                  <w:tcW w:w="865" w:type="pct"/>
                  <w:vAlign w:val="center"/>
                </w:tcPr>
                <w:p w14:paraId="54DCB96E">
                  <w:pPr>
                    <w:pStyle w:val="296"/>
                    <w:spacing w:line="240" w:lineRule="auto"/>
                    <w:ind w:firstLine="0" w:firstLineChars="0"/>
                    <w:jc w:val="center"/>
                    <w:rPr>
                      <w:sz w:val="18"/>
                      <w:szCs w:val="18"/>
                    </w:rPr>
                  </w:pPr>
                  <w:r>
                    <w:rPr>
                      <w:sz w:val="18"/>
                      <w:szCs w:val="18"/>
                    </w:rPr>
                    <w:t>3.00</w:t>
                  </w:r>
                </w:p>
              </w:tc>
            </w:tr>
            <w:tr w14:paraId="38297E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6" w:type="pct"/>
                  <w:vAlign w:val="center"/>
                </w:tcPr>
                <w:p w14:paraId="6C5C4BC1">
                  <w:pPr>
                    <w:pStyle w:val="296"/>
                    <w:spacing w:line="240" w:lineRule="auto"/>
                    <w:ind w:firstLine="0" w:firstLineChars="0"/>
                    <w:jc w:val="center"/>
                    <w:rPr>
                      <w:sz w:val="18"/>
                      <w:szCs w:val="18"/>
                    </w:rPr>
                  </w:pPr>
                  <w:r>
                    <w:rPr>
                      <w:sz w:val="18"/>
                      <w:szCs w:val="18"/>
                    </w:rPr>
                    <w:t>断裂强度变异系数CVb≤</w:t>
                  </w:r>
                </w:p>
              </w:tc>
              <w:tc>
                <w:tcPr>
                  <w:tcW w:w="315" w:type="pct"/>
                  <w:vAlign w:val="center"/>
                </w:tcPr>
                <w:p w14:paraId="2BD31E81">
                  <w:pPr>
                    <w:pStyle w:val="296"/>
                    <w:spacing w:line="240" w:lineRule="auto"/>
                    <w:ind w:firstLine="0" w:firstLineChars="0"/>
                    <w:jc w:val="center"/>
                    <w:rPr>
                      <w:sz w:val="18"/>
                      <w:szCs w:val="18"/>
                    </w:rPr>
                  </w:pPr>
                  <w:r>
                    <w:rPr>
                      <w:sz w:val="18"/>
                      <w:szCs w:val="18"/>
                    </w:rPr>
                    <w:t>%</w:t>
                  </w:r>
                </w:p>
              </w:tc>
              <w:tc>
                <w:tcPr>
                  <w:tcW w:w="419" w:type="pct"/>
                  <w:vAlign w:val="center"/>
                </w:tcPr>
                <w:p w14:paraId="5D460A36">
                  <w:pPr>
                    <w:pStyle w:val="296"/>
                    <w:spacing w:line="240" w:lineRule="auto"/>
                    <w:ind w:firstLine="0" w:firstLineChars="0"/>
                    <w:jc w:val="center"/>
                    <w:rPr>
                      <w:sz w:val="18"/>
                      <w:szCs w:val="18"/>
                    </w:rPr>
                  </w:pPr>
                  <w:r>
                    <w:rPr>
                      <w:sz w:val="18"/>
                      <w:szCs w:val="18"/>
                    </w:rPr>
                    <w:t>7.00</w:t>
                  </w:r>
                </w:p>
              </w:tc>
              <w:tc>
                <w:tcPr>
                  <w:tcW w:w="420" w:type="pct"/>
                  <w:vAlign w:val="center"/>
                </w:tcPr>
                <w:p w14:paraId="6302A12B">
                  <w:pPr>
                    <w:pStyle w:val="296"/>
                    <w:spacing w:line="240" w:lineRule="auto"/>
                    <w:ind w:firstLine="0" w:firstLineChars="0"/>
                    <w:jc w:val="center"/>
                    <w:rPr>
                      <w:sz w:val="18"/>
                      <w:szCs w:val="18"/>
                    </w:rPr>
                  </w:pPr>
                  <w:r>
                    <w:rPr>
                      <w:sz w:val="18"/>
                      <w:szCs w:val="18"/>
                    </w:rPr>
                    <w:t>9.00</w:t>
                  </w:r>
                </w:p>
              </w:tc>
              <w:tc>
                <w:tcPr>
                  <w:tcW w:w="422" w:type="pct"/>
                  <w:vAlign w:val="center"/>
                </w:tcPr>
                <w:p w14:paraId="76EDC982">
                  <w:pPr>
                    <w:pStyle w:val="296"/>
                    <w:spacing w:line="240" w:lineRule="auto"/>
                    <w:ind w:firstLine="0" w:firstLineChars="0"/>
                    <w:jc w:val="center"/>
                    <w:rPr>
                      <w:sz w:val="18"/>
                      <w:szCs w:val="18"/>
                    </w:rPr>
                  </w:pPr>
                  <w:r>
                    <w:rPr>
                      <w:sz w:val="18"/>
                      <w:szCs w:val="18"/>
                    </w:rPr>
                    <w:t>11.00</w:t>
                  </w:r>
                </w:p>
              </w:tc>
              <w:tc>
                <w:tcPr>
                  <w:tcW w:w="420" w:type="pct"/>
                  <w:vAlign w:val="center"/>
                </w:tcPr>
                <w:p w14:paraId="1B5866BB">
                  <w:pPr>
                    <w:pStyle w:val="296"/>
                    <w:spacing w:line="240" w:lineRule="auto"/>
                    <w:ind w:firstLine="0" w:firstLineChars="0"/>
                    <w:jc w:val="center"/>
                    <w:rPr>
                      <w:sz w:val="18"/>
                      <w:szCs w:val="18"/>
                    </w:rPr>
                  </w:pPr>
                  <w:r>
                    <w:rPr>
                      <w:sz w:val="18"/>
                      <w:szCs w:val="18"/>
                    </w:rPr>
                    <w:t>5.00</w:t>
                  </w:r>
                </w:p>
              </w:tc>
              <w:tc>
                <w:tcPr>
                  <w:tcW w:w="420" w:type="pct"/>
                  <w:vAlign w:val="center"/>
                </w:tcPr>
                <w:p w14:paraId="2969D9FE">
                  <w:pPr>
                    <w:pStyle w:val="296"/>
                    <w:spacing w:line="240" w:lineRule="auto"/>
                    <w:ind w:firstLine="0" w:firstLineChars="0"/>
                    <w:jc w:val="center"/>
                    <w:rPr>
                      <w:sz w:val="18"/>
                      <w:szCs w:val="18"/>
                    </w:rPr>
                  </w:pPr>
                  <w:r>
                    <w:rPr>
                      <w:sz w:val="18"/>
                      <w:szCs w:val="18"/>
                    </w:rPr>
                    <w:t>8.00</w:t>
                  </w:r>
                </w:p>
              </w:tc>
              <w:tc>
                <w:tcPr>
                  <w:tcW w:w="421" w:type="pct"/>
                  <w:vAlign w:val="center"/>
                </w:tcPr>
                <w:p w14:paraId="5CDCB8BE">
                  <w:pPr>
                    <w:pStyle w:val="296"/>
                    <w:spacing w:line="240" w:lineRule="auto"/>
                    <w:ind w:firstLine="0" w:firstLineChars="0"/>
                    <w:jc w:val="center"/>
                    <w:rPr>
                      <w:sz w:val="18"/>
                      <w:szCs w:val="18"/>
                    </w:rPr>
                  </w:pPr>
                  <w:r>
                    <w:rPr>
                      <w:sz w:val="18"/>
                      <w:szCs w:val="18"/>
                    </w:rPr>
                    <w:t>11.00</w:t>
                  </w:r>
                </w:p>
              </w:tc>
              <w:tc>
                <w:tcPr>
                  <w:tcW w:w="422" w:type="pct"/>
                  <w:vAlign w:val="center"/>
                </w:tcPr>
                <w:p w14:paraId="1AA83834">
                  <w:pPr>
                    <w:pStyle w:val="296"/>
                    <w:spacing w:line="240" w:lineRule="auto"/>
                    <w:ind w:firstLine="0" w:firstLineChars="0"/>
                    <w:jc w:val="center"/>
                    <w:rPr>
                      <w:sz w:val="18"/>
                      <w:szCs w:val="18"/>
                    </w:rPr>
                  </w:pPr>
                  <w:r>
                    <w:rPr>
                      <w:sz w:val="18"/>
                      <w:szCs w:val="18"/>
                    </w:rPr>
                    <w:t>5.00</w:t>
                  </w:r>
                </w:p>
              </w:tc>
              <w:tc>
                <w:tcPr>
                  <w:tcW w:w="420" w:type="pct"/>
                  <w:vAlign w:val="center"/>
                </w:tcPr>
                <w:p w14:paraId="4280DAF0">
                  <w:pPr>
                    <w:pStyle w:val="296"/>
                    <w:spacing w:line="240" w:lineRule="auto"/>
                    <w:ind w:firstLine="0" w:firstLineChars="0"/>
                    <w:jc w:val="center"/>
                    <w:rPr>
                      <w:sz w:val="18"/>
                      <w:szCs w:val="18"/>
                    </w:rPr>
                  </w:pPr>
                  <w:r>
                    <w:rPr>
                      <w:sz w:val="18"/>
                      <w:szCs w:val="18"/>
                    </w:rPr>
                    <w:t>8.00</w:t>
                  </w:r>
                </w:p>
              </w:tc>
              <w:tc>
                <w:tcPr>
                  <w:tcW w:w="865" w:type="pct"/>
                  <w:vAlign w:val="center"/>
                </w:tcPr>
                <w:p w14:paraId="645BFDEE">
                  <w:pPr>
                    <w:pStyle w:val="296"/>
                    <w:spacing w:line="240" w:lineRule="auto"/>
                    <w:ind w:firstLine="0" w:firstLineChars="0"/>
                    <w:jc w:val="center"/>
                    <w:rPr>
                      <w:sz w:val="18"/>
                      <w:szCs w:val="18"/>
                    </w:rPr>
                  </w:pPr>
                  <w:r>
                    <w:rPr>
                      <w:sz w:val="18"/>
                      <w:szCs w:val="18"/>
                    </w:rPr>
                    <w:t>11.0</w:t>
                  </w:r>
                </w:p>
              </w:tc>
            </w:tr>
            <w:tr w14:paraId="539B9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6" w:type="pct"/>
                  <w:vAlign w:val="center"/>
                </w:tcPr>
                <w:p w14:paraId="2AD3F7CE">
                  <w:pPr>
                    <w:pStyle w:val="296"/>
                    <w:spacing w:line="240" w:lineRule="auto"/>
                    <w:ind w:firstLine="0" w:firstLineChars="0"/>
                    <w:jc w:val="center"/>
                    <w:rPr>
                      <w:sz w:val="18"/>
                      <w:szCs w:val="18"/>
                    </w:rPr>
                  </w:pPr>
                  <w:r>
                    <w:rPr>
                      <w:sz w:val="18"/>
                      <w:szCs w:val="18"/>
                    </w:rPr>
                    <w:t>断裂伸长率</w:t>
                  </w:r>
                </w:p>
              </w:tc>
              <w:tc>
                <w:tcPr>
                  <w:tcW w:w="315" w:type="pct"/>
                  <w:vAlign w:val="center"/>
                </w:tcPr>
                <w:p w14:paraId="20D674F3">
                  <w:pPr>
                    <w:pStyle w:val="296"/>
                    <w:spacing w:line="240" w:lineRule="auto"/>
                    <w:ind w:firstLine="0" w:firstLineChars="0"/>
                    <w:jc w:val="center"/>
                    <w:rPr>
                      <w:sz w:val="18"/>
                      <w:szCs w:val="18"/>
                    </w:rPr>
                  </w:pPr>
                  <w:r>
                    <w:rPr>
                      <w:sz w:val="18"/>
                      <w:szCs w:val="18"/>
                    </w:rPr>
                    <w:t>%</w:t>
                  </w:r>
                </w:p>
              </w:tc>
              <w:tc>
                <w:tcPr>
                  <w:tcW w:w="419" w:type="pct"/>
                  <w:vAlign w:val="center"/>
                </w:tcPr>
                <w:p w14:paraId="5E516352">
                  <w:pPr>
                    <w:pStyle w:val="296"/>
                    <w:spacing w:line="240" w:lineRule="auto"/>
                    <w:ind w:firstLine="0" w:firstLineChars="0"/>
                    <w:jc w:val="center"/>
                    <w:rPr>
                      <w:sz w:val="18"/>
                      <w:szCs w:val="18"/>
                    </w:rPr>
                  </w:pPr>
                  <w:r>
                    <w:rPr>
                      <w:sz w:val="18"/>
                      <w:szCs w:val="18"/>
                    </w:rPr>
                    <w:t>M1±4.0</w:t>
                  </w:r>
                </w:p>
              </w:tc>
              <w:tc>
                <w:tcPr>
                  <w:tcW w:w="420" w:type="pct"/>
                  <w:vAlign w:val="center"/>
                </w:tcPr>
                <w:p w14:paraId="735C20D8">
                  <w:pPr>
                    <w:pStyle w:val="296"/>
                    <w:spacing w:line="240" w:lineRule="auto"/>
                    <w:ind w:firstLine="0" w:firstLineChars="0"/>
                    <w:jc w:val="center"/>
                    <w:rPr>
                      <w:sz w:val="18"/>
                      <w:szCs w:val="18"/>
                    </w:rPr>
                  </w:pPr>
                  <w:r>
                    <w:rPr>
                      <w:sz w:val="18"/>
                      <w:szCs w:val="18"/>
                    </w:rPr>
                    <w:t>M1±4.0</w:t>
                  </w:r>
                </w:p>
              </w:tc>
              <w:tc>
                <w:tcPr>
                  <w:tcW w:w="422" w:type="pct"/>
                  <w:vAlign w:val="center"/>
                </w:tcPr>
                <w:p w14:paraId="3064F96D">
                  <w:pPr>
                    <w:pStyle w:val="296"/>
                    <w:spacing w:line="240" w:lineRule="auto"/>
                    <w:ind w:firstLine="0" w:firstLineChars="0"/>
                    <w:jc w:val="center"/>
                    <w:rPr>
                      <w:sz w:val="18"/>
                      <w:szCs w:val="18"/>
                    </w:rPr>
                  </w:pPr>
                  <w:r>
                    <w:rPr>
                      <w:sz w:val="18"/>
                      <w:szCs w:val="18"/>
                    </w:rPr>
                    <w:t>M1±8.0</w:t>
                  </w:r>
                </w:p>
              </w:tc>
              <w:tc>
                <w:tcPr>
                  <w:tcW w:w="420" w:type="pct"/>
                  <w:vAlign w:val="center"/>
                </w:tcPr>
                <w:p w14:paraId="2CC1A749">
                  <w:pPr>
                    <w:pStyle w:val="296"/>
                    <w:spacing w:line="240" w:lineRule="auto"/>
                    <w:ind w:firstLine="0" w:firstLineChars="0"/>
                    <w:jc w:val="center"/>
                    <w:rPr>
                      <w:sz w:val="18"/>
                      <w:szCs w:val="18"/>
                    </w:rPr>
                  </w:pPr>
                  <w:r>
                    <w:rPr>
                      <w:sz w:val="18"/>
                      <w:szCs w:val="18"/>
                    </w:rPr>
                    <w:t>M1±3.0</w:t>
                  </w:r>
                </w:p>
              </w:tc>
              <w:tc>
                <w:tcPr>
                  <w:tcW w:w="420" w:type="pct"/>
                  <w:vAlign w:val="center"/>
                </w:tcPr>
                <w:p w14:paraId="1C3B6973">
                  <w:pPr>
                    <w:pStyle w:val="296"/>
                    <w:spacing w:line="240" w:lineRule="auto"/>
                    <w:ind w:firstLine="0" w:firstLineChars="0"/>
                    <w:jc w:val="center"/>
                    <w:rPr>
                      <w:sz w:val="18"/>
                      <w:szCs w:val="18"/>
                    </w:rPr>
                  </w:pPr>
                  <w:r>
                    <w:rPr>
                      <w:sz w:val="18"/>
                      <w:szCs w:val="18"/>
                    </w:rPr>
                    <w:t>M1±5.0</w:t>
                  </w:r>
                </w:p>
              </w:tc>
              <w:tc>
                <w:tcPr>
                  <w:tcW w:w="421" w:type="pct"/>
                  <w:vAlign w:val="center"/>
                </w:tcPr>
                <w:p w14:paraId="2E4910A8">
                  <w:pPr>
                    <w:pStyle w:val="296"/>
                    <w:spacing w:line="240" w:lineRule="auto"/>
                    <w:ind w:firstLine="0" w:firstLineChars="0"/>
                    <w:jc w:val="center"/>
                    <w:rPr>
                      <w:sz w:val="18"/>
                      <w:szCs w:val="18"/>
                    </w:rPr>
                  </w:pPr>
                  <w:r>
                    <w:rPr>
                      <w:sz w:val="18"/>
                      <w:szCs w:val="18"/>
                    </w:rPr>
                    <w:t>M1±7.0</w:t>
                  </w:r>
                </w:p>
              </w:tc>
              <w:tc>
                <w:tcPr>
                  <w:tcW w:w="422" w:type="pct"/>
                  <w:vAlign w:val="center"/>
                </w:tcPr>
                <w:p w14:paraId="4410D97E">
                  <w:pPr>
                    <w:pStyle w:val="296"/>
                    <w:spacing w:line="240" w:lineRule="auto"/>
                    <w:ind w:firstLine="0" w:firstLineChars="0"/>
                    <w:jc w:val="center"/>
                    <w:rPr>
                      <w:sz w:val="18"/>
                      <w:szCs w:val="18"/>
                    </w:rPr>
                  </w:pPr>
                  <w:r>
                    <w:rPr>
                      <w:sz w:val="18"/>
                      <w:szCs w:val="18"/>
                    </w:rPr>
                    <w:t>M1±3.0</w:t>
                  </w:r>
                </w:p>
              </w:tc>
              <w:tc>
                <w:tcPr>
                  <w:tcW w:w="420" w:type="pct"/>
                  <w:vAlign w:val="center"/>
                </w:tcPr>
                <w:p w14:paraId="55749628">
                  <w:pPr>
                    <w:pStyle w:val="296"/>
                    <w:spacing w:line="240" w:lineRule="auto"/>
                    <w:ind w:firstLine="0" w:firstLineChars="0"/>
                    <w:jc w:val="center"/>
                    <w:rPr>
                      <w:sz w:val="18"/>
                      <w:szCs w:val="18"/>
                    </w:rPr>
                  </w:pPr>
                  <w:r>
                    <w:rPr>
                      <w:sz w:val="18"/>
                      <w:szCs w:val="18"/>
                    </w:rPr>
                    <w:t>M1±5.0</w:t>
                  </w:r>
                </w:p>
              </w:tc>
              <w:tc>
                <w:tcPr>
                  <w:tcW w:w="865" w:type="pct"/>
                  <w:vAlign w:val="center"/>
                </w:tcPr>
                <w:p w14:paraId="74B15F22">
                  <w:pPr>
                    <w:pStyle w:val="296"/>
                    <w:spacing w:line="240" w:lineRule="auto"/>
                    <w:ind w:firstLine="0" w:firstLineChars="0"/>
                    <w:jc w:val="center"/>
                    <w:rPr>
                      <w:sz w:val="18"/>
                      <w:szCs w:val="18"/>
                    </w:rPr>
                  </w:pPr>
                  <w:r>
                    <w:rPr>
                      <w:sz w:val="18"/>
                      <w:szCs w:val="18"/>
                    </w:rPr>
                    <w:t>M1±7.0</w:t>
                  </w:r>
                </w:p>
              </w:tc>
            </w:tr>
            <w:tr w14:paraId="3A0343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6" w:type="pct"/>
                  <w:vAlign w:val="center"/>
                </w:tcPr>
                <w:p w14:paraId="13E4E5C0">
                  <w:pPr>
                    <w:pStyle w:val="296"/>
                    <w:spacing w:line="240" w:lineRule="auto"/>
                    <w:ind w:firstLine="0" w:firstLineChars="0"/>
                    <w:jc w:val="center"/>
                    <w:rPr>
                      <w:sz w:val="18"/>
                      <w:szCs w:val="18"/>
                    </w:rPr>
                  </w:pPr>
                  <w:r>
                    <w:rPr>
                      <w:sz w:val="18"/>
                      <w:szCs w:val="18"/>
                    </w:rPr>
                    <w:t>断裂伸长变异系数CVb≤</w:t>
                  </w:r>
                </w:p>
              </w:tc>
              <w:tc>
                <w:tcPr>
                  <w:tcW w:w="315" w:type="pct"/>
                  <w:vAlign w:val="center"/>
                </w:tcPr>
                <w:p w14:paraId="4F4EAB0D">
                  <w:pPr>
                    <w:pStyle w:val="296"/>
                    <w:spacing w:line="240" w:lineRule="auto"/>
                    <w:ind w:firstLine="0" w:firstLineChars="0"/>
                    <w:jc w:val="center"/>
                    <w:rPr>
                      <w:sz w:val="18"/>
                      <w:szCs w:val="18"/>
                    </w:rPr>
                  </w:pPr>
                  <w:r>
                    <w:rPr>
                      <w:sz w:val="18"/>
                      <w:szCs w:val="18"/>
                    </w:rPr>
                    <w:t>%</w:t>
                  </w:r>
                </w:p>
              </w:tc>
              <w:tc>
                <w:tcPr>
                  <w:tcW w:w="419" w:type="pct"/>
                  <w:vAlign w:val="center"/>
                </w:tcPr>
                <w:p w14:paraId="1804E353">
                  <w:pPr>
                    <w:pStyle w:val="296"/>
                    <w:spacing w:line="240" w:lineRule="auto"/>
                    <w:ind w:firstLine="0" w:firstLineChars="0"/>
                    <w:jc w:val="center"/>
                    <w:rPr>
                      <w:sz w:val="18"/>
                      <w:szCs w:val="18"/>
                    </w:rPr>
                  </w:pPr>
                  <w:r>
                    <w:rPr>
                      <w:sz w:val="18"/>
                      <w:szCs w:val="18"/>
                    </w:rPr>
                    <w:t>12.00</w:t>
                  </w:r>
                </w:p>
              </w:tc>
              <w:tc>
                <w:tcPr>
                  <w:tcW w:w="420" w:type="pct"/>
                  <w:vAlign w:val="center"/>
                </w:tcPr>
                <w:p w14:paraId="0E919337">
                  <w:pPr>
                    <w:pStyle w:val="296"/>
                    <w:spacing w:line="240" w:lineRule="auto"/>
                    <w:ind w:firstLine="0" w:firstLineChars="0"/>
                    <w:jc w:val="center"/>
                    <w:rPr>
                      <w:sz w:val="18"/>
                      <w:szCs w:val="18"/>
                    </w:rPr>
                  </w:pPr>
                  <w:r>
                    <w:rPr>
                      <w:sz w:val="18"/>
                      <w:szCs w:val="18"/>
                    </w:rPr>
                    <w:t>18.00</w:t>
                  </w:r>
                </w:p>
              </w:tc>
              <w:tc>
                <w:tcPr>
                  <w:tcW w:w="422" w:type="pct"/>
                  <w:vAlign w:val="center"/>
                </w:tcPr>
                <w:p w14:paraId="01C950F8">
                  <w:pPr>
                    <w:pStyle w:val="296"/>
                    <w:spacing w:line="240" w:lineRule="auto"/>
                    <w:ind w:firstLine="0" w:firstLineChars="0"/>
                    <w:jc w:val="center"/>
                    <w:rPr>
                      <w:sz w:val="18"/>
                      <w:szCs w:val="18"/>
                    </w:rPr>
                  </w:pPr>
                  <w:r>
                    <w:rPr>
                      <w:sz w:val="18"/>
                      <w:szCs w:val="18"/>
                    </w:rPr>
                    <w:t>20.00</w:t>
                  </w:r>
                </w:p>
              </w:tc>
              <w:tc>
                <w:tcPr>
                  <w:tcW w:w="420" w:type="pct"/>
                  <w:vAlign w:val="center"/>
                </w:tcPr>
                <w:p w14:paraId="2333DF1C">
                  <w:pPr>
                    <w:pStyle w:val="296"/>
                    <w:spacing w:line="240" w:lineRule="auto"/>
                    <w:ind w:firstLine="0" w:firstLineChars="0"/>
                    <w:jc w:val="center"/>
                    <w:rPr>
                      <w:sz w:val="18"/>
                      <w:szCs w:val="18"/>
                    </w:rPr>
                  </w:pPr>
                  <w:r>
                    <w:rPr>
                      <w:sz w:val="18"/>
                      <w:szCs w:val="18"/>
                    </w:rPr>
                    <w:t>8.00</w:t>
                  </w:r>
                </w:p>
              </w:tc>
              <w:tc>
                <w:tcPr>
                  <w:tcW w:w="420" w:type="pct"/>
                  <w:vAlign w:val="center"/>
                </w:tcPr>
                <w:p w14:paraId="180304AD">
                  <w:pPr>
                    <w:pStyle w:val="296"/>
                    <w:spacing w:line="240" w:lineRule="auto"/>
                    <w:ind w:firstLine="0" w:firstLineChars="0"/>
                    <w:jc w:val="center"/>
                    <w:rPr>
                      <w:sz w:val="18"/>
                      <w:szCs w:val="18"/>
                    </w:rPr>
                  </w:pPr>
                  <w:r>
                    <w:rPr>
                      <w:sz w:val="18"/>
                      <w:szCs w:val="18"/>
                    </w:rPr>
                    <w:t>15.00</w:t>
                  </w:r>
                </w:p>
              </w:tc>
              <w:tc>
                <w:tcPr>
                  <w:tcW w:w="421" w:type="pct"/>
                  <w:vAlign w:val="center"/>
                </w:tcPr>
                <w:p w14:paraId="46D7209D">
                  <w:pPr>
                    <w:pStyle w:val="296"/>
                    <w:spacing w:line="240" w:lineRule="auto"/>
                    <w:ind w:firstLine="0" w:firstLineChars="0"/>
                    <w:jc w:val="center"/>
                    <w:rPr>
                      <w:sz w:val="18"/>
                      <w:szCs w:val="18"/>
                    </w:rPr>
                  </w:pPr>
                  <w:r>
                    <w:rPr>
                      <w:sz w:val="18"/>
                      <w:szCs w:val="18"/>
                    </w:rPr>
                    <w:t>17.00</w:t>
                  </w:r>
                </w:p>
              </w:tc>
              <w:tc>
                <w:tcPr>
                  <w:tcW w:w="422" w:type="pct"/>
                  <w:vAlign w:val="center"/>
                </w:tcPr>
                <w:p w14:paraId="460AF09D">
                  <w:pPr>
                    <w:pStyle w:val="296"/>
                    <w:spacing w:line="240" w:lineRule="auto"/>
                    <w:ind w:firstLine="0" w:firstLineChars="0"/>
                    <w:jc w:val="center"/>
                    <w:rPr>
                      <w:sz w:val="18"/>
                      <w:szCs w:val="18"/>
                    </w:rPr>
                  </w:pPr>
                  <w:r>
                    <w:rPr>
                      <w:sz w:val="18"/>
                      <w:szCs w:val="18"/>
                    </w:rPr>
                    <w:t>10.00</w:t>
                  </w:r>
                </w:p>
              </w:tc>
              <w:tc>
                <w:tcPr>
                  <w:tcW w:w="420" w:type="pct"/>
                  <w:vAlign w:val="center"/>
                </w:tcPr>
                <w:p w14:paraId="2CBD9F1D">
                  <w:pPr>
                    <w:pStyle w:val="296"/>
                    <w:spacing w:line="240" w:lineRule="auto"/>
                    <w:ind w:firstLine="0" w:firstLineChars="0"/>
                    <w:jc w:val="center"/>
                    <w:rPr>
                      <w:sz w:val="18"/>
                      <w:szCs w:val="18"/>
                    </w:rPr>
                  </w:pPr>
                  <w:r>
                    <w:rPr>
                      <w:sz w:val="18"/>
                      <w:szCs w:val="18"/>
                    </w:rPr>
                    <w:t>15.00</w:t>
                  </w:r>
                </w:p>
              </w:tc>
              <w:tc>
                <w:tcPr>
                  <w:tcW w:w="865" w:type="pct"/>
                  <w:vAlign w:val="center"/>
                </w:tcPr>
                <w:p w14:paraId="018DDA7B">
                  <w:pPr>
                    <w:pStyle w:val="296"/>
                    <w:spacing w:line="240" w:lineRule="auto"/>
                    <w:ind w:firstLine="0" w:firstLineChars="0"/>
                    <w:jc w:val="center"/>
                    <w:rPr>
                      <w:sz w:val="18"/>
                      <w:szCs w:val="18"/>
                    </w:rPr>
                  </w:pPr>
                  <w:r>
                    <w:rPr>
                      <w:sz w:val="18"/>
                      <w:szCs w:val="18"/>
                    </w:rPr>
                    <w:t>20.00</w:t>
                  </w:r>
                </w:p>
              </w:tc>
            </w:tr>
            <w:tr w14:paraId="4BD187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6" w:type="pct"/>
                  <w:vAlign w:val="center"/>
                </w:tcPr>
                <w:p w14:paraId="2A539681">
                  <w:pPr>
                    <w:pStyle w:val="296"/>
                    <w:spacing w:line="240" w:lineRule="auto"/>
                    <w:ind w:firstLine="0" w:firstLineChars="0"/>
                    <w:jc w:val="center"/>
                    <w:rPr>
                      <w:sz w:val="18"/>
                      <w:szCs w:val="18"/>
                    </w:rPr>
                  </w:pPr>
                  <w:r>
                    <w:rPr>
                      <w:sz w:val="18"/>
                      <w:szCs w:val="18"/>
                    </w:rPr>
                    <w:t>沸水收缩率</w:t>
                  </w:r>
                </w:p>
              </w:tc>
              <w:tc>
                <w:tcPr>
                  <w:tcW w:w="315" w:type="pct"/>
                  <w:vAlign w:val="center"/>
                </w:tcPr>
                <w:p w14:paraId="63C19925">
                  <w:pPr>
                    <w:pStyle w:val="296"/>
                    <w:spacing w:line="240" w:lineRule="auto"/>
                    <w:ind w:firstLine="0" w:firstLineChars="0"/>
                    <w:jc w:val="center"/>
                    <w:rPr>
                      <w:sz w:val="18"/>
                      <w:szCs w:val="18"/>
                    </w:rPr>
                  </w:pPr>
                  <w:r>
                    <w:rPr>
                      <w:sz w:val="18"/>
                      <w:szCs w:val="18"/>
                    </w:rPr>
                    <w:t>%</w:t>
                  </w:r>
                </w:p>
              </w:tc>
              <w:tc>
                <w:tcPr>
                  <w:tcW w:w="419" w:type="pct"/>
                  <w:vAlign w:val="center"/>
                </w:tcPr>
                <w:p w14:paraId="151D08D2">
                  <w:pPr>
                    <w:pStyle w:val="296"/>
                    <w:spacing w:line="240" w:lineRule="auto"/>
                    <w:ind w:firstLine="0" w:firstLineChars="0"/>
                    <w:jc w:val="center"/>
                    <w:rPr>
                      <w:sz w:val="18"/>
                      <w:szCs w:val="18"/>
                    </w:rPr>
                  </w:pPr>
                  <w:r>
                    <w:rPr>
                      <w:sz w:val="18"/>
                      <w:szCs w:val="18"/>
                    </w:rPr>
                    <w:t>M2±0.8</w:t>
                  </w:r>
                </w:p>
              </w:tc>
              <w:tc>
                <w:tcPr>
                  <w:tcW w:w="420" w:type="pct"/>
                  <w:vAlign w:val="center"/>
                </w:tcPr>
                <w:p w14:paraId="15E814BE">
                  <w:pPr>
                    <w:pStyle w:val="296"/>
                    <w:spacing w:line="240" w:lineRule="auto"/>
                    <w:ind w:firstLine="0" w:firstLineChars="0"/>
                    <w:jc w:val="center"/>
                    <w:rPr>
                      <w:sz w:val="18"/>
                      <w:szCs w:val="18"/>
                    </w:rPr>
                  </w:pPr>
                  <w:r>
                    <w:rPr>
                      <w:sz w:val="18"/>
                      <w:szCs w:val="18"/>
                    </w:rPr>
                    <w:t>M2±1.0</w:t>
                  </w:r>
                </w:p>
              </w:tc>
              <w:tc>
                <w:tcPr>
                  <w:tcW w:w="422" w:type="pct"/>
                  <w:vAlign w:val="center"/>
                </w:tcPr>
                <w:p w14:paraId="03707633">
                  <w:pPr>
                    <w:pStyle w:val="296"/>
                    <w:spacing w:line="240" w:lineRule="auto"/>
                    <w:ind w:firstLine="0" w:firstLineChars="0"/>
                    <w:jc w:val="center"/>
                    <w:rPr>
                      <w:sz w:val="18"/>
                      <w:szCs w:val="18"/>
                    </w:rPr>
                  </w:pPr>
                  <w:r>
                    <w:rPr>
                      <w:sz w:val="18"/>
                      <w:szCs w:val="18"/>
                    </w:rPr>
                    <w:t>M2±1.5</w:t>
                  </w:r>
                </w:p>
              </w:tc>
              <w:tc>
                <w:tcPr>
                  <w:tcW w:w="420" w:type="pct"/>
                  <w:vAlign w:val="center"/>
                </w:tcPr>
                <w:p w14:paraId="0C732659">
                  <w:pPr>
                    <w:pStyle w:val="296"/>
                    <w:spacing w:line="240" w:lineRule="auto"/>
                    <w:ind w:firstLine="0" w:firstLineChars="0"/>
                    <w:jc w:val="center"/>
                    <w:rPr>
                      <w:sz w:val="18"/>
                      <w:szCs w:val="18"/>
                    </w:rPr>
                  </w:pPr>
                  <w:r>
                    <w:rPr>
                      <w:sz w:val="18"/>
                      <w:szCs w:val="18"/>
                    </w:rPr>
                    <w:t>M2±0.8</w:t>
                  </w:r>
                </w:p>
              </w:tc>
              <w:tc>
                <w:tcPr>
                  <w:tcW w:w="420" w:type="pct"/>
                  <w:vAlign w:val="center"/>
                </w:tcPr>
                <w:p w14:paraId="3892D111">
                  <w:pPr>
                    <w:pStyle w:val="296"/>
                    <w:spacing w:line="240" w:lineRule="auto"/>
                    <w:ind w:firstLine="0" w:firstLineChars="0"/>
                    <w:jc w:val="center"/>
                    <w:rPr>
                      <w:sz w:val="18"/>
                      <w:szCs w:val="18"/>
                    </w:rPr>
                  </w:pPr>
                  <w:r>
                    <w:rPr>
                      <w:sz w:val="18"/>
                      <w:szCs w:val="18"/>
                    </w:rPr>
                    <w:t>M2±1.0</w:t>
                  </w:r>
                </w:p>
              </w:tc>
              <w:tc>
                <w:tcPr>
                  <w:tcW w:w="421" w:type="pct"/>
                  <w:vAlign w:val="center"/>
                </w:tcPr>
                <w:p w14:paraId="736B3D82">
                  <w:pPr>
                    <w:pStyle w:val="296"/>
                    <w:spacing w:line="240" w:lineRule="auto"/>
                    <w:ind w:firstLine="0" w:firstLineChars="0"/>
                    <w:jc w:val="center"/>
                    <w:rPr>
                      <w:sz w:val="18"/>
                      <w:szCs w:val="18"/>
                    </w:rPr>
                  </w:pPr>
                  <w:r>
                    <w:rPr>
                      <w:sz w:val="18"/>
                      <w:szCs w:val="18"/>
                    </w:rPr>
                    <w:t>M2±1.5</w:t>
                  </w:r>
                </w:p>
              </w:tc>
              <w:tc>
                <w:tcPr>
                  <w:tcW w:w="422" w:type="pct"/>
                  <w:vAlign w:val="center"/>
                </w:tcPr>
                <w:p w14:paraId="7423973D">
                  <w:pPr>
                    <w:pStyle w:val="296"/>
                    <w:spacing w:line="240" w:lineRule="auto"/>
                    <w:ind w:firstLine="0" w:firstLineChars="0"/>
                    <w:jc w:val="center"/>
                    <w:rPr>
                      <w:sz w:val="18"/>
                      <w:szCs w:val="18"/>
                    </w:rPr>
                  </w:pPr>
                  <w:r>
                    <w:rPr>
                      <w:sz w:val="18"/>
                      <w:szCs w:val="18"/>
                    </w:rPr>
                    <w:t>M2±0.8</w:t>
                  </w:r>
                </w:p>
              </w:tc>
              <w:tc>
                <w:tcPr>
                  <w:tcW w:w="420" w:type="pct"/>
                  <w:vAlign w:val="center"/>
                </w:tcPr>
                <w:p w14:paraId="146DF879">
                  <w:pPr>
                    <w:pStyle w:val="296"/>
                    <w:spacing w:line="240" w:lineRule="auto"/>
                    <w:ind w:firstLine="0" w:firstLineChars="0"/>
                    <w:jc w:val="center"/>
                    <w:rPr>
                      <w:sz w:val="18"/>
                      <w:szCs w:val="18"/>
                    </w:rPr>
                  </w:pPr>
                  <w:r>
                    <w:rPr>
                      <w:sz w:val="18"/>
                      <w:szCs w:val="18"/>
                    </w:rPr>
                    <w:t>M2±1.0</w:t>
                  </w:r>
                </w:p>
              </w:tc>
              <w:tc>
                <w:tcPr>
                  <w:tcW w:w="865" w:type="pct"/>
                  <w:vAlign w:val="center"/>
                </w:tcPr>
                <w:p w14:paraId="59E1F06E">
                  <w:pPr>
                    <w:pStyle w:val="296"/>
                    <w:spacing w:line="240" w:lineRule="auto"/>
                    <w:ind w:firstLine="0" w:firstLineChars="0"/>
                    <w:jc w:val="center"/>
                    <w:rPr>
                      <w:sz w:val="18"/>
                      <w:szCs w:val="18"/>
                    </w:rPr>
                  </w:pPr>
                  <w:r>
                    <w:rPr>
                      <w:sz w:val="18"/>
                      <w:szCs w:val="18"/>
                    </w:rPr>
                    <w:t>M2±1.5</w:t>
                  </w:r>
                </w:p>
              </w:tc>
            </w:tr>
            <w:tr w14:paraId="1A189E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6" w:type="pct"/>
                  <w:vAlign w:val="center"/>
                </w:tcPr>
                <w:p w14:paraId="405477A7">
                  <w:pPr>
                    <w:pStyle w:val="296"/>
                    <w:spacing w:line="240" w:lineRule="auto"/>
                    <w:ind w:firstLine="0" w:firstLineChars="0"/>
                    <w:jc w:val="center"/>
                    <w:rPr>
                      <w:sz w:val="18"/>
                      <w:szCs w:val="18"/>
                    </w:rPr>
                  </w:pPr>
                  <w:r>
                    <w:rPr>
                      <w:sz w:val="18"/>
                      <w:szCs w:val="18"/>
                    </w:rPr>
                    <w:t>染色均匀度（灰卡）≥</w:t>
                  </w:r>
                </w:p>
              </w:tc>
              <w:tc>
                <w:tcPr>
                  <w:tcW w:w="315" w:type="pct"/>
                  <w:vAlign w:val="center"/>
                </w:tcPr>
                <w:p w14:paraId="037F1EE2">
                  <w:pPr>
                    <w:pStyle w:val="296"/>
                    <w:spacing w:line="240" w:lineRule="auto"/>
                    <w:ind w:firstLine="0" w:firstLineChars="0"/>
                    <w:jc w:val="center"/>
                    <w:rPr>
                      <w:sz w:val="18"/>
                      <w:szCs w:val="18"/>
                    </w:rPr>
                  </w:pPr>
                  <w:r>
                    <w:rPr>
                      <w:sz w:val="18"/>
                      <w:szCs w:val="18"/>
                    </w:rPr>
                    <w:t>级</w:t>
                  </w:r>
                </w:p>
              </w:tc>
              <w:tc>
                <w:tcPr>
                  <w:tcW w:w="419" w:type="pct"/>
                  <w:vAlign w:val="center"/>
                </w:tcPr>
                <w:p w14:paraId="3ED07614">
                  <w:pPr>
                    <w:pStyle w:val="296"/>
                    <w:spacing w:line="240" w:lineRule="auto"/>
                    <w:ind w:firstLine="0" w:firstLineChars="0"/>
                    <w:jc w:val="center"/>
                    <w:rPr>
                      <w:sz w:val="18"/>
                      <w:szCs w:val="18"/>
                    </w:rPr>
                  </w:pPr>
                  <w:r>
                    <w:rPr>
                      <w:sz w:val="18"/>
                      <w:szCs w:val="18"/>
                    </w:rPr>
                    <w:t>4-5</w:t>
                  </w:r>
                </w:p>
              </w:tc>
              <w:tc>
                <w:tcPr>
                  <w:tcW w:w="420" w:type="pct"/>
                  <w:vAlign w:val="center"/>
                </w:tcPr>
                <w:p w14:paraId="5E4EBD06">
                  <w:pPr>
                    <w:pStyle w:val="296"/>
                    <w:spacing w:line="240" w:lineRule="auto"/>
                    <w:ind w:firstLine="0" w:firstLineChars="0"/>
                    <w:jc w:val="center"/>
                    <w:rPr>
                      <w:sz w:val="18"/>
                      <w:szCs w:val="18"/>
                    </w:rPr>
                  </w:pPr>
                  <w:r>
                    <w:rPr>
                      <w:sz w:val="18"/>
                      <w:szCs w:val="18"/>
                    </w:rPr>
                    <w:t>4</w:t>
                  </w:r>
                </w:p>
              </w:tc>
              <w:tc>
                <w:tcPr>
                  <w:tcW w:w="422" w:type="pct"/>
                  <w:vAlign w:val="center"/>
                </w:tcPr>
                <w:p w14:paraId="0DB66E44">
                  <w:pPr>
                    <w:pStyle w:val="296"/>
                    <w:spacing w:line="240" w:lineRule="auto"/>
                    <w:ind w:firstLine="0" w:firstLineChars="0"/>
                    <w:jc w:val="center"/>
                    <w:rPr>
                      <w:sz w:val="18"/>
                      <w:szCs w:val="18"/>
                    </w:rPr>
                  </w:pPr>
                  <w:r>
                    <w:rPr>
                      <w:sz w:val="18"/>
                      <w:szCs w:val="18"/>
                    </w:rPr>
                    <w:t>3-4</w:t>
                  </w:r>
                </w:p>
              </w:tc>
              <w:tc>
                <w:tcPr>
                  <w:tcW w:w="420" w:type="pct"/>
                  <w:vAlign w:val="center"/>
                </w:tcPr>
                <w:p w14:paraId="2AB0ED70">
                  <w:pPr>
                    <w:pStyle w:val="296"/>
                    <w:spacing w:line="240" w:lineRule="auto"/>
                    <w:ind w:firstLine="0" w:firstLineChars="0"/>
                    <w:jc w:val="center"/>
                    <w:rPr>
                      <w:sz w:val="18"/>
                      <w:szCs w:val="18"/>
                    </w:rPr>
                  </w:pPr>
                  <w:r>
                    <w:rPr>
                      <w:sz w:val="18"/>
                      <w:szCs w:val="18"/>
                    </w:rPr>
                    <w:t>4-5</w:t>
                  </w:r>
                </w:p>
              </w:tc>
              <w:tc>
                <w:tcPr>
                  <w:tcW w:w="420" w:type="pct"/>
                  <w:vAlign w:val="center"/>
                </w:tcPr>
                <w:p w14:paraId="6091A725">
                  <w:pPr>
                    <w:pStyle w:val="296"/>
                    <w:spacing w:line="240" w:lineRule="auto"/>
                    <w:ind w:firstLine="0" w:firstLineChars="0"/>
                    <w:jc w:val="center"/>
                    <w:rPr>
                      <w:sz w:val="18"/>
                      <w:szCs w:val="18"/>
                    </w:rPr>
                  </w:pPr>
                  <w:r>
                    <w:rPr>
                      <w:sz w:val="18"/>
                      <w:szCs w:val="18"/>
                    </w:rPr>
                    <w:t>4</w:t>
                  </w:r>
                </w:p>
              </w:tc>
              <w:tc>
                <w:tcPr>
                  <w:tcW w:w="421" w:type="pct"/>
                  <w:vAlign w:val="center"/>
                </w:tcPr>
                <w:p w14:paraId="4EC61EE4">
                  <w:pPr>
                    <w:pStyle w:val="296"/>
                    <w:spacing w:line="240" w:lineRule="auto"/>
                    <w:ind w:firstLine="0" w:firstLineChars="0"/>
                    <w:jc w:val="center"/>
                    <w:rPr>
                      <w:sz w:val="18"/>
                      <w:szCs w:val="18"/>
                    </w:rPr>
                  </w:pPr>
                  <w:r>
                    <w:rPr>
                      <w:sz w:val="18"/>
                      <w:szCs w:val="18"/>
                    </w:rPr>
                    <w:t>3-4</w:t>
                  </w:r>
                </w:p>
              </w:tc>
              <w:tc>
                <w:tcPr>
                  <w:tcW w:w="422" w:type="pct"/>
                  <w:vAlign w:val="center"/>
                </w:tcPr>
                <w:p w14:paraId="219BF29D">
                  <w:pPr>
                    <w:pStyle w:val="296"/>
                    <w:spacing w:line="240" w:lineRule="auto"/>
                    <w:ind w:firstLine="0" w:firstLineChars="0"/>
                    <w:jc w:val="center"/>
                    <w:rPr>
                      <w:sz w:val="18"/>
                      <w:szCs w:val="18"/>
                    </w:rPr>
                  </w:pPr>
                  <w:r>
                    <w:rPr>
                      <w:sz w:val="18"/>
                      <w:szCs w:val="18"/>
                    </w:rPr>
                    <w:t>4</w:t>
                  </w:r>
                </w:p>
              </w:tc>
              <w:tc>
                <w:tcPr>
                  <w:tcW w:w="420" w:type="pct"/>
                  <w:vAlign w:val="center"/>
                </w:tcPr>
                <w:p w14:paraId="76B72615">
                  <w:pPr>
                    <w:pStyle w:val="296"/>
                    <w:spacing w:line="240" w:lineRule="auto"/>
                    <w:ind w:firstLine="0" w:firstLineChars="0"/>
                    <w:jc w:val="center"/>
                    <w:rPr>
                      <w:sz w:val="18"/>
                      <w:szCs w:val="18"/>
                    </w:rPr>
                  </w:pPr>
                  <w:r>
                    <w:rPr>
                      <w:sz w:val="18"/>
                      <w:szCs w:val="18"/>
                    </w:rPr>
                    <w:t>4</w:t>
                  </w:r>
                </w:p>
              </w:tc>
              <w:tc>
                <w:tcPr>
                  <w:tcW w:w="865" w:type="pct"/>
                  <w:vAlign w:val="center"/>
                </w:tcPr>
                <w:p w14:paraId="6B3CE48B">
                  <w:pPr>
                    <w:pStyle w:val="296"/>
                    <w:spacing w:line="240" w:lineRule="auto"/>
                    <w:ind w:firstLine="0" w:firstLineChars="0"/>
                    <w:jc w:val="center"/>
                    <w:rPr>
                      <w:sz w:val="18"/>
                      <w:szCs w:val="18"/>
                    </w:rPr>
                  </w:pPr>
                  <w:r>
                    <w:rPr>
                      <w:sz w:val="18"/>
                      <w:szCs w:val="18"/>
                    </w:rPr>
                    <w:t>3-4</w:t>
                  </w:r>
                </w:p>
              </w:tc>
            </w:tr>
            <w:tr w14:paraId="4987E1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6" w:type="pct"/>
                  <w:vAlign w:val="center"/>
                </w:tcPr>
                <w:p w14:paraId="3D85BE5D">
                  <w:pPr>
                    <w:pStyle w:val="296"/>
                    <w:spacing w:line="240" w:lineRule="auto"/>
                    <w:ind w:firstLine="0" w:firstLineChars="0"/>
                    <w:jc w:val="center"/>
                    <w:rPr>
                      <w:sz w:val="18"/>
                      <w:szCs w:val="18"/>
                    </w:rPr>
                  </w:pPr>
                  <w:r>
                    <w:rPr>
                      <w:sz w:val="18"/>
                      <w:szCs w:val="18"/>
                    </w:rPr>
                    <w:t>含油率</w:t>
                  </w:r>
                </w:p>
              </w:tc>
              <w:tc>
                <w:tcPr>
                  <w:tcW w:w="315" w:type="pct"/>
                  <w:vAlign w:val="center"/>
                </w:tcPr>
                <w:p w14:paraId="4EE4C728">
                  <w:pPr>
                    <w:pStyle w:val="296"/>
                    <w:spacing w:line="240" w:lineRule="auto"/>
                    <w:ind w:firstLine="0" w:firstLineChars="0"/>
                    <w:jc w:val="center"/>
                    <w:rPr>
                      <w:sz w:val="18"/>
                      <w:szCs w:val="18"/>
                    </w:rPr>
                  </w:pPr>
                  <w:r>
                    <w:rPr>
                      <w:sz w:val="18"/>
                      <w:szCs w:val="18"/>
                    </w:rPr>
                    <w:t>%</w:t>
                  </w:r>
                </w:p>
              </w:tc>
              <w:tc>
                <w:tcPr>
                  <w:tcW w:w="419" w:type="pct"/>
                  <w:vAlign w:val="center"/>
                </w:tcPr>
                <w:p w14:paraId="39B92D69">
                  <w:pPr>
                    <w:pStyle w:val="296"/>
                    <w:spacing w:line="240" w:lineRule="auto"/>
                    <w:ind w:firstLine="0" w:firstLineChars="0"/>
                    <w:jc w:val="center"/>
                    <w:rPr>
                      <w:sz w:val="18"/>
                      <w:szCs w:val="18"/>
                    </w:rPr>
                  </w:pPr>
                  <w:r>
                    <w:rPr>
                      <w:sz w:val="18"/>
                      <w:szCs w:val="18"/>
                    </w:rPr>
                    <w:t>M3±0.2</w:t>
                  </w:r>
                </w:p>
              </w:tc>
              <w:tc>
                <w:tcPr>
                  <w:tcW w:w="420" w:type="pct"/>
                  <w:vAlign w:val="center"/>
                </w:tcPr>
                <w:p w14:paraId="100FF3DB">
                  <w:pPr>
                    <w:pStyle w:val="296"/>
                    <w:spacing w:line="240" w:lineRule="auto"/>
                    <w:ind w:firstLine="0" w:firstLineChars="0"/>
                    <w:jc w:val="center"/>
                    <w:rPr>
                      <w:sz w:val="18"/>
                      <w:szCs w:val="18"/>
                    </w:rPr>
                  </w:pPr>
                  <w:r>
                    <w:rPr>
                      <w:sz w:val="18"/>
                      <w:szCs w:val="18"/>
                    </w:rPr>
                    <w:t>M3±0.3</w:t>
                  </w:r>
                </w:p>
              </w:tc>
              <w:tc>
                <w:tcPr>
                  <w:tcW w:w="422" w:type="pct"/>
                  <w:vAlign w:val="center"/>
                </w:tcPr>
                <w:p w14:paraId="4F0AE2D0">
                  <w:pPr>
                    <w:pStyle w:val="296"/>
                    <w:spacing w:line="240" w:lineRule="auto"/>
                    <w:ind w:firstLine="0" w:firstLineChars="0"/>
                    <w:jc w:val="center"/>
                    <w:rPr>
                      <w:sz w:val="18"/>
                      <w:szCs w:val="18"/>
                    </w:rPr>
                  </w:pPr>
                  <w:r>
                    <w:rPr>
                      <w:sz w:val="18"/>
                      <w:szCs w:val="18"/>
                    </w:rPr>
                    <w:t>M3±0.3</w:t>
                  </w:r>
                </w:p>
              </w:tc>
              <w:tc>
                <w:tcPr>
                  <w:tcW w:w="420" w:type="pct"/>
                  <w:vAlign w:val="center"/>
                </w:tcPr>
                <w:p w14:paraId="6FAC1FA0">
                  <w:pPr>
                    <w:pStyle w:val="296"/>
                    <w:spacing w:line="240" w:lineRule="auto"/>
                    <w:ind w:firstLine="0" w:firstLineChars="0"/>
                    <w:jc w:val="center"/>
                    <w:rPr>
                      <w:sz w:val="18"/>
                      <w:szCs w:val="18"/>
                    </w:rPr>
                  </w:pPr>
                  <w:r>
                    <w:rPr>
                      <w:sz w:val="18"/>
                      <w:szCs w:val="18"/>
                    </w:rPr>
                    <w:t>M3±0.2</w:t>
                  </w:r>
                </w:p>
              </w:tc>
              <w:tc>
                <w:tcPr>
                  <w:tcW w:w="420" w:type="pct"/>
                  <w:vAlign w:val="center"/>
                </w:tcPr>
                <w:p w14:paraId="394623B4">
                  <w:pPr>
                    <w:pStyle w:val="296"/>
                    <w:spacing w:line="240" w:lineRule="auto"/>
                    <w:ind w:firstLine="0" w:firstLineChars="0"/>
                    <w:jc w:val="center"/>
                    <w:rPr>
                      <w:sz w:val="18"/>
                      <w:szCs w:val="18"/>
                    </w:rPr>
                  </w:pPr>
                  <w:r>
                    <w:rPr>
                      <w:sz w:val="18"/>
                      <w:szCs w:val="18"/>
                    </w:rPr>
                    <w:t>M3±0.3</w:t>
                  </w:r>
                </w:p>
              </w:tc>
              <w:tc>
                <w:tcPr>
                  <w:tcW w:w="421" w:type="pct"/>
                  <w:vAlign w:val="center"/>
                </w:tcPr>
                <w:p w14:paraId="52D47D7E">
                  <w:pPr>
                    <w:pStyle w:val="296"/>
                    <w:spacing w:line="240" w:lineRule="auto"/>
                    <w:ind w:firstLine="0" w:firstLineChars="0"/>
                    <w:jc w:val="center"/>
                    <w:rPr>
                      <w:sz w:val="18"/>
                      <w:szCs w:val="18"/>
                    </w:rPr>
                  </w:pPr>
                  <w:r>
                    <w:rPr>
                      <w:sz w:val="18"/>
                      <w:szCs w:val="18"/>
                    </w:rPr>
                    <w:t>M3±0.3</w:t>
                  </w:r>
                </w:p>
              </w:tc>
              <w:tc>
                <w:tcPr>
                  <w:tcW w:w="422" w:type="pct"/>
                  <w:vAlign w:val="center"/>
                </w:tcPr>
                <w:p w14:paraId="3CDF2117">
                  <w:pPr>
                    <w:pStyle w:val="296"/>
                    <w:spacing w:line="240" w:lineRule="auto"/>
                    <w:ind w:firstLine="0" w:firstLineChars="0"/>
                    <w:jc w:val="center"/>
                    <w:rPr>
                      <w:sz w:val="18"/>
                      <w:szCs w:val="18"/>
                    </w:rPr>
                  </w:pPr>
                  <w:r>
                    <w:rPr>
                      <w:sz w:val="18"/>
                      <w:szCs w:val="18"/>
                    </w:rPr>
                    <w:t>M3±0.2</w:t>
                  </w:r>
                </w:p>
              </w:tc>
              <w:tc>
                <w:tcPr>
                  <w:tcW w:w="420" w:type="pct"/>
                  <w:vAlign w:val="center"/>
                </w:tcPr>
                <w:p w14:paraId="570552C9">
                  <w:pPr>
                    <w:pStyle w:val="296"/>
                    <w:spacing w:line="240" w:lineRule="auto"/>
                    <w:ind w:firstLine="0" w:firstLineChars="0"/>
                    <w:jc w:val="center"/>
                    <w:rPr>
                      <w:sz w:val="18"/>
                      <w:szCs w:val="18"/>
                    </w:rPr>
                  </w:pPr>
                  <w:r>
                    <w:rPr>
                      <w:sz w:val="18"/>
                      <w:szCs w:val="18"/>
                    </w:rPr>
                    <w:t>M3±0.3</w:t>
                  </w:r>
                </w:p>
              </w:tc>
              <w:tc>
                <w:tcPr>
                  <w:tcW w:w="865" w:type="pct"/>
                  <w:vAlign w:val="center"/>
                </w:tcPr>
                <w:p w14:paraId="0245C449">
                  <w:pPr>
                    <w:pStyle w:val="296"/>
                    <w:spacing w:line="240" w:lineRule="auto"/>
                    <w:ind w:firstLine="0" w:firstLineChars="0"/>
                    <w:jc w:val="center"/>
                    <w:rPr>
                      <w:sz w:val="18"/>
                      <w:szCs w:val="18"/>
                    </w:rPr>
                  </w:pPr>
                  <w:r>
                    <w:rPr>
                      <w:sz w:val="18"/>
                      <w:szCs w:val="18"/>
                    </w:rPr>
                    <w:t>M3±0.3</w:t>
                  </w:r>
                </w:p>
              </w:tc>
            </w:tr>
            <w:tr w14:paraId="0C95CD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6" w:type="pct"/>
                  <w:vAlign w:val="center"/>
                </w:tcPr>
                <w:p w14:paraId="7CD4D388">
                  <w:pPr>
                    <w:pStyle w:val="296"/>
                    <w:spacing w:line="240" w:lineRule="auto"/>
                    <w:ind w:firstLine="0" w:firstLineChars="0"/>
                    <w:jc w:val="center"/>
                    <w:rPr>
                      <w:sz w:val="18"/>
                      <w:szCs w:val="18"/>
                    </w:rPr>
                  </w:pPr>
                  <w:r>
                    <w:rPr>
                      <w:sz w:val="18"/>
                      <w:szCs w:val="18"/>
                    </w:rPr>
                    <w:t>网络度</w:t>
                  </w:r>
                </w:p>
              </w:tc>
              <w:tc>
                <w:tcPr>
                  <w:tcW w:w="315" w:type="pct"/>
                  <w:vAlign w:val="center"/>
                </w:tcPr>
                <w:p w14:paraId="0BC3F4C2">
                  <w:pPr>
                    <w:pStyle w:val="296"/>
                    <w:spacing w:line="240" w:lineRule="auto"/>
                    <w:ind w:firstLine="0" w:firstLineChars="0"/>
                    <w:jc w:val="center"/>
                    <w:rPr>
                      <w:sz w:val="18"/>
                      <w:szCs w:val="18"/>
                    </w:rPr>
                  </w:pPr>
                  <w:r>
                    <w:rPr>
                      <w:sz w:val="18"/>
                      <w:szCs w:val="18"/>
                    </w:rPr>
                    <w:t>个/m</w:t>
                  </w:r>
                </w:p>
              </w:tc>
              <w:tc>
                <w:tcPr>
                  <w:tcW w:w="419" w:type="pct"/>
                  <w:vAlign w:val="center"/>
                </w:tcPr>
                <w:p w14:paraId="77915CC3">
                  <w:pPr>
                    <w:pStyle w:val="296"/>
                    <w:spacing w:line="240" w:lineRule="auto"/>
                    <w:ind w:firstLine="0" w:firstLineChars="0"/>
                    <w:jc w:val="center"/>
                    <w:rPr>
                      <w:sz w:val="18"/>
                      <w:szCs w:val="18"/>
                    </w:rPr>
                  </w:pPr>
                  <w:r>
                    <w:rPr>
                      <w:sz w:val="18"/>
                      <w:szCs w:val="18"/>
                    </w:rPr>
                    <w:t>M4±4</w:t>
                  </w:r>
                </w:p>
              </w:tc>
              <w:tc>
                <w:tcPr>
                  <w:tcW w:w="420" w:type="pct"/>
                  <w:vAlign w:val="center"/>
                </w:tcPr>
                <w:p w14:paraId="1EA09E14">
                  <w:pPr>
                    <w:pStyle w:val="296"/>
                    <w:spacing w:line="240" w:lineRule="auto"/>
                    <w:ind w:firstLine="0" w:firstLineChars="0"/>
                    <w:jc w:val="center"/>
                    <w:rPr>
                      <w:sz w:val="18"/>
                      <w:szCs w:val="18"/>
                    </w:rPr>
                  </w:pPr>
                  <w:r>
                    <w:rPr>
                      <w:sz w:val="18"/>
                      <w:szCs w:val="18"/>
                    </w:rPr>
                    <w:t>M4±6</w:t>
                  </w:r>
                </w:p>
              </w:tc>
              <w:tc>
                <w:tcPr>
                  <w:tcW w:w="422" w:type="pct"/>
                  <w:vAlign w:val="center"/>
                </w:tcPr>
                <w:p w14:paraId="12DD14D9">
                  <w:pPr>
                    <w:pStyle w:val="296"/>
                    <w:spacing w:line="240" w:lineRule="auto"/>
                    <w:ind w:firstLine="0" w:firstLineChars="0"/>
                    <w:jc w:val="center"/>
                    <w:rPr>
                      <w:sz w:val="18"/>
                      <w:szCs w:val="18"/>
                    </w:rPr>
                  </w:pPr>
                  <w:r>
                    <w:rPr>
                      <w:sz w:val="18"/>
                      <w:szCs w:val="18"/>
                    </w:rPr>
                    <w:t>-</w:t>
                  </w:r>
                </w:p>
              </w:tc>
              <w:tc>
                <w:tcPr>
                  <w:tcW w:w="420" w:type="pct"/>
                  <w:vAlign w:val="center"/>
                </w:tcPr>
                <w:p w14:paraId="4675896C">
                  <w:pPr>
                    <w:pStyle w:val="296"/>
                    <w:spacing w:line="240" w:lineRule="auto"/>
                    <w:ind w:firstLine="0" w:firstLineChars="0"/>
                    <w:jc w:val="center"/>
                    <w:rPr>
                      <w:sz w:val="18"/>
                      <w:szCs w:val="18"/>
                    </w:rPr>
                  </w:pPr>
                  <w:r>
                    <w:rPr>
                      <w:sz w:val="18"/>
                      <w:szCs w:val="18"/>
                    </w:rPr>
                    <w:t>M4±4</w:t>
                  </w:r>
                </w:p>
              </w:tc>
              <w:tc>
                <w:tcPr>
                  <w:tcW w:w="420" w:type="pct"/>
                  <w:vAlign w:val="center"/>
                </w:tcPr>
                <w:p w14:paraId="2625BDBE">
                  <w:pPr>
                    <w:pStyle w:val="296"/>
                    <w:spacing w:line="240" w:lineRule="auto"/>
                    <w:ind w:firstLine="0" w:firstLineChars="0"/>
                    <w:jc w:val="center"/>
                    <w:rPr>
                      <w:sz w:val="18"/>
                      <w:szCs w:val="18"/>
                    </w:rPr>
                  </w:pPr>
                  <w:r>
                    <w:rPr>
                      <w:sz w:val="18"/>
                      <w:szCs w:val="18"/>
                    </w:rPr>
                    <w:t>M4±6</w:t>
                  </w:r>
                </w:p>
              </w:tc>
              <w:tc>
                <w:tcPr>
                  <w:tcW w:w="421" w:type="pct"/>
                  <w:vAlign w:val="center"/>
                </w:tcPr>
                <w:p w14:paraId="10ECDCC5">
                  <w:pPr>
                    <w:pStyle w:val="296"/>
                    <w:spacing w:line="240" w:lineRule="auto"/>
                    <w:ind w:firstLine="0" w:firstLineChars="0"/>
                    <w:jc w:val="center"/>
                    <w:rPr>
                      <w:sz w:val="18"/>
                      <w:szCs w:val="18"/>
                    </w:rPr>
                  </w:pPr>
                  <w:r>
                    <w:rPr>
                      <w:sz w:val="18"/>
                      <w:szCs w:val="18"/>
                    </w:rPr>
                    <w:t>-</w:t>
                  </w:r>
                </w:p>
              </w:tc>
              <w:tc>
                <w:tcPr>
                  <w:tcW w:w="1707" w:type="pct"/>
                  <w:gridSpan w:val="3"/>
                  <w:vAlign w:val="center"/>
                </w:tcPr>
                <w:p w14:paraId="69DE34A0">
                  <w:pPr>
                    <w:pStyle w:val="296"/>
                    <w:spacing w:line="240" w:lineRule="auto"/>
                    <w:ind w:firstLine="0" w:firstLineChars="0"/>
                    <w:jc w:val="center"/>
                    <w:rPr>
                      <w:sz w:val="18"/>
                      <w:szCs w:val="18"/>
                    </w:rPr>
                  </w:pPr>
                  <w:r>
                    <w:rPr>
                      <w:sz w:val="18"/>
                      <w:szCs w:val="18"/>
                    </w:rPr>
                    <w:t>报告值</w:t>
                  </w:r>
                </w:p>
              </w:tc>
            </w:tr>
            <w:tr w14:paraId="53102A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6" w:type="pct"/>
                  <w:vAlign w:val="center"/>
                </w:tcPr>
                <w:p w14:paraId="6A03CAC4">
                  <w:pPr>
                    <w:pStyle w:val="296"/>
                    <w:spacing w:line="240" w:lineRule="auto"/>
                    <w:ind w:firstLine="0" w:firstLineChars="0"/>
                    <w:jc w:val="center"/>
                    <w:rPr>
                      <w:sz w:val="18"/>
                      <w:szCs w:val="18"/>
                    </w:rPr>
                  </w:pPr>
                  <w:r>
                    <w:rPr>
                      <w:sz w:val="18"/>
                      <w:szCs w:val="18"/>
                    </w:rPr>
                    <w:t>筒重</w:t>
                  </w:r>
                </w:p>
              </w:tc>
              <w:tc>
                <w:tcPr>
                  <w:tcW w:w="315" w:type="pct"/>
                  <w:vAlign w:val="center"/>
                </w:tcPr>
                <w:p w14:paraId="2E86B6FE">
                  <w:pPr>
                    <w:pStyle w:val="296"/>
                    <w:spacing w:line="240" w:lineRule="auto"/>
                    <w:ind w:firstLine="0" w:firstLineChars="0"/>
                    <w:jc w:val="center"/>
                    <w:rPr>
                      <w:sz w:val="18"/>
                      <w:szCs w:val="18"/>
                    </w:rPr>
                  </w:pPr>
                  <w:r>
                    <w:rPr>
                      <w:sz w:val="18"/>
                      <w:szCs w:val="18"/>
                    </w:rPr>
                    <w:t>kg</w:t>
                  </w:r>
                </w:p>
              </w:tc>
              <w:tc>
                <w:tcPr>
                  <w:tcW w:w="419" w:type="pct"/>
                  <w:vAlign w:val="center"/>
                </w:tcPr>
                <w:p w14:paraId="0126F66F">
                  <w:pPr>
                    <w:pStyle w:val="296"/>
                    <w:spacing w:line="240" w:lineRule="auto"/>
                    <w:ind w:firstLine="0" w:firstLineChars="0"/>
                    <w:jc w:val="center"/>
                    <w:rPr>
                      <w:sz w:val="18"/>
                      <w:szCs w:val="18"/>
                    </w:rPr>
                  </w:pPr>
                  <w:r>
                    <w:rPr>
                      <w:sz w:val="18"/>
                      <w:szCs w:val="18"/>
                    </w:rPr>
                    <w:t>定重或定长</w:t>
                  </w:r>
                </w:p>
              </w:tc>
              <w:tc>
                <w:tcPr>
                  <w:tcW w:w="420" w:type="pct"/>
                  <w:vAlign w:val="center"/>
                </w:tcPr>
                <w:p w14:paraId="4EC8B0BA">
                  <w:pPr>
                    <w:pStyle w:val="296"/>
                    <w:spacing w:line="240" w:lineRule="auto"/>
                    <w:ind w:firstLine="0" w:firstLineChars="0"/>
                    <w:jc w:val="center"/>
                    <w:rPr>
                      <w:sz w:val="18"/>
                      <w:szCs w:val="18"/>
                    </w:rPr>
                  </w:pPr>
                  <w:r>
                    <w:rPr>
                      <w:sz w:val="18"/>
                      <w:szCs w:val="18"/>
                    </w:rPr>
                    <w:t>≥1.0</w:t>
                  </w:r>
                </w:p>
              </w:tc>
              <w:tc>
                <w:tcPr>
                  <w:tcW w:w="422" w:type="pct"/>
                  <w:vAlign w:val="center"/>
                </w:tcPr>
                <w:p w14:paraId="0430B674">
                  <w:pPr>
                    <w:pStyle w:val="296"/>
                    <w:spacing w:line="240" w:lineRule="auto"/>
                    <w:ind w:firstLine="0" w:firstLineChars="0"/>
                    <w:jc w:val="center"/>
                    <w:rPr>
                      <w:sz w:val="18"/>
                      <w:szCs w:val="18"/>
                    </w:rPr>
                  </w:pPr>
                  <w:r>
                    <w:rPr>
                      <w:sz w:val="18"/>
                      <w:szCs w:val="18"/>
                    </w:rPr>
                    <w:t>-</w:t>
                  </w:r>
                </w:p>
              </w:tc>
              <w:tc>
                <w:tcPr>
                  <w:tcW w:w="420" w:type="pct"/>
                  <w:vAlign w:val="center"/>
                </w:tcPr>
                <w:p w14:paraId="5BD427C7">
                  <w:pPr>
                    <w:pStyle w:val="296"/>
                    <w:spacing w:line="240" w:lineRule="auto"/>
                    <w:ind w:firstLine="0" w:firstLineChars="0"/>
                    <w:jc w:val="center"/>
                    <w:rPr>
                      <w:sz w:val="18"/>
                      <w:szCs w:val="18"/>
                    </w:rPr>
                  </w:pPr>
                  <w:r>
                    <w:rPr>
                      <w:sz w:val="18"/>
                      <w:szCs w:val="18"/>
                    </w:rPr>
                    <w:t>定重或定长</w:t>
                  </w:r>
                </w:p>
              </w:tc>
              <w:tc>
                <w:tcPr>
                  <w:tcW w:w="420" w:type="pct"/>
                  <w:vAlign w:val="center"/>
                </w:tcPr>
                <w:p w14:paraId="7506DA80">
                  <w:pPr>
                    <w:pStyle w:val="296"/>
                    <w:spacing w:line="240" w:lineRule="auto"/>
                    <w:ind w:firstLine="0" w:firstLineChars="0"/>
                    <w:jc w:val="center"/>
                    <w:rPr>
                      <w:sz w:val="18"/>
                      <w:szCs w:val="18"/>
                    </w:rPr>
                  </w:pPr>
                  <w:r>
                    <w:rPr>
                      <w:sz w:val="18"/>
                      <w:szCs w:val="18"/>
                    </w:rPr>
                    <w:t>≥1.5</w:t>
                  </w:r>
                </w:p>
              </w:tc>
              <w:tc>
                <w:tcPr>
                  <w:tcW w:w="421" w:type="pct"/>
                  <w:vAlign w:val="center"/>
                </w:tcPr>
                <w:p w14:paraId="22F95F35">
                  <w:pPr>
                    <w:pStyle w:val="296"/>
                    <w:spacing w:line="240" w:lineRule="auto"/>
                    <w:ind w:firstLine="0" w:firstLineChars="0"/>
                    <w:jc w:val="center"/>
                    <w:rPr>
                      <w:sz w:val="18"/>
                      <w:szCs w:val="18"/>
                    </w:rPr>
                  </w:pPr>
                  <w:r>
                    <w:rPr>
                      <w:sz w:val="18"/>
                      <w:szCs w:val="18"/>
                    </w:rPr>
                    <w:t>-</w:t>
                  </w:r>
                </w:p>
              </w:tc>
              <w:tc>
                <w:tcPr>
                  <w:tcW w:w="422" w:type="pct"/>
                  <w:vAlign w:val="center"/>
                </w:tcPr>
                <w:p w14:paraId="53C62DB9">
                  <w:pPr>
                    <w:pStyle w:val="296"/>
                    <w:spacing w:line="240" w:lineRule="auto"/>
                    <w:ind w:firstLine="0" w:firstLineChars="0"/>
                    <w:jc w:val="center"/>
                    <w:rPr>
                      <w:sz w:val="18"/>
                      <w:szCs w:val="18"/>
                    </w:rPr>
                  </w:pPr>
                  <w:r>
                    <w:rPr>
                      <w:sz w:val="18"/>
                      <w:szCs w:val="18"/>
                    </w:rPr>
                    <w:t>定重或定长</w:t>
                  </w:r>
                </w:p>
              </w:tc>
              <w:tc>
                <w:tcPr>
                  <w:tcW w:w="420" w:type="pct"/>
                  <w:vAlign w:val="center"/>
                </w:tcPr>
                <w:p w14:paraId="74D4F842">
                  <w:pPr>
                    <w:pStyle w:val="296"/>
                    <w:spacing w:line="240" w:lineRule="auto"/>
                    <w:ind w:firstLine="0" w:firstLineChars="0"/>
                    <w:jc w:val="center"/>
                    <w:rPr>
                      <w:sz w:val="18"/>
                      <w:szCs w:val="18"/>
                    </w:rPr>
                  </w:pPr>
                  <w:r>
                    <w:rPr>
                      <w:sz w:val="18"/>
                      <w:szCs w:val="18"/>
                    </w:rPr>
                    <w:t>≥2.0</w:t>
                  </w:r>
                </w:p>
              </w:tc>
              <w:tc>
                <w:tcPr>
                  <w:tcW w:w="865" w:type="pct"/>
                  <w:vAlign w:val="center"/>
                </w:tcPr>
                <w:p w14:paraId="2944E4F4">
                  <w:pPr>
                    <w:pStyle w:val="296"/>
                    <w:spacing w:line="240" w:lineRule="auto"/>
                    <w:ind w:firstLine="0" w:firstLineChars="0"/>
                    <w:jc w:val="center"/>
                    <w:rPr>
                      <w:sz w:val="18"/>
                      <w:szCs w:val="18"/>
                    </w:rPr>
                  </w:pPr>
                  <w:r>
                    <w:rPr>
                      <w:sz w:val="18"/>
                      <w:szCs w:val="18"/>
                    </w:rPr>
                    <w:t>≥1.5</w:t>
                  </w:r>
                </w:p>
              </w:tc>
            </w:tr>
          </w:tbl>
          <w:p w14:paraId="2E3D28C2">
            <w:pPr>
              <w:jc w:val="center"/>
              <w:rPr>
                <w:b/>
              </w:rPr>
            </w:pPr>
          </w:p>
          <w:p w14:paraId="7B516387">
            <w:pPr>
              <w:jc w:val="center"/>
              <w:rPr>
                <w:b/>
                <w:sz w:val="24"/>
                <w:szCs w:val="32"/>
              </w:rPr>
            </w:pPr>
            <w:r>
              <w:rPr>
                <w:b/>
                <w:sz w:val="24"/>
                <w:szCs w:val="32"/>
              </w:rPr>
              <w:t>表2-</w:t>
            </w:r>
            <w:r>
              <w:rPr>
                <w:rFonts w:hint="eastAsia"/>
                <w:b/>
                <w:sz w:val="24"/>
                <w:szCs w:val="32"/>
              </w:rPr>
              <w:t>7</w:t>
            </w:r>
            <w:r>
              <w:rPr>
                <w:b/>
                <w:sz w:val="24"/>
                <w:szCs w:val="32"/>
              </w:rPr>
              <w:t>（3） 复合丝（BEY）产品质量指标</w:t>
            </w:r>
          </w:p>
          <w:tbl>
            <w:tblPr>
              <w:tblStyle w:val="9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3264"/>
              <w:gridCol w:w="1418"/>
              <w:gridCol w:w="1068"/>
              <w:gridCol w:w="1165"/>
            </w:tblGrid>
            <w:tr w14:paraId="3DC410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Align w:val="center"/>
                </w:tcPr>
                <w:p w14:paraId="7C643610">
                  <w:pPr>
                    <w:pStyle w:val="323"/>
                    <w:spacing w:line="240" w:lineRule="auto"/>
                    <w:jc w:val="center"/>
                    <w:rPr>
                      <w:rFonts w:ascii="Times New Roman" w:hAnsi="Times New Roman" w:cs="Times New Roman"/>
                      <w:lang w:eastAsia="zh-CN"/>
                    </w:rPr>
                  </w:pPr>
                  <w:r>
                    <w:rPr>
                      <w:rFonts w:ascii="Times New Roman" w:hAnsi="Times New Roman" w:cs="Times New Roman"/>
                      <w:lang w:eastAsia="zh-CN"/>
                    </w:rPr>
                    <w:t>序号</w:t>
                  </w:r>
                </w:p>
              </w:tc>
              <w:tc>
                <w:tcPr>
                  <w:tcW w:w="3264" w:type="dxa"/>
                  <w:vAlign w:val="center"/>
                </w:tcPr>
                <w:p w14:paraId="2B7B061D">
                  <w:pPr>
                    <w:pStyle w:val="323"/>
                    <w:spacing w:line="240" w:lineRule="auto"/>
                    <w:jc w:val="center"/>
                    <w:rPr>
                      <w:rFonts w:ascii="Times New Roman" w:hAnsi="Times New Roman" w:cs="Times New Roman"/>
                      <w:lang w:eastAsia="zh-CN"/>
                    </w:rPr>
                  </w:pPr>
                  <w:r>
                    <w:rPr>
                      <w:rFonts w:ascii="Times New Roman" w:hAnsi="Times New Roman" w:cs="Times New Roman"/>
                      <w:spacing w:val="-6"/>
                    </w:rPr>
                    <w:t>项</w:t>
                  </w:r>
                  <w:r>
                    <w:rPr>
                      <w:rFonts w:ascii="Times New Roman" w:hAnsi="Times New Roman" w:cs="Times New Roman"/>
                      <w:spacing w:val="16"/>
                    </w:rPr>
                    <w:t xml:space="preserve">  </w:t>
                  </w:r>
                  <w:r>
                    <w:rPr>
                      <w:rFonts w:ascii="Times New Roman" w:hAnsi="Times New Roman" w:cs="Times New Roman"/>
                      <w:spacing w:val="-6"/>
                    </w:rPr>
                    <w:t>目</w:t>
                  </w:r>
                </w:p>
              </w:tc>
              <w:tc>
                <w:tcPr>
                  <w:tcW w:w="1418" w:type="dxa"/>
                  <w:vAlign w:val="center"/>
                </w:tcPr>
                <w:p w14:paraId="29A65B95">
                  <w:pPr>
                    <w:pStyle w:val="323"/>
                    <w:spacing w:line="240" w:lineRule="auto"/>
                    <w:jc w:val="center"/>
                    <w:rPr>
                      <w:rFonts w:ascii="Times New Roman" w:hAnsi="Times New Roman" w:cs="Times New Roman"/>
                      <w:lang w:eastAsia="zh-CN"/>
                    </w:rPr>
                  </w:pPr>
                  <w:r>
                    <w:rPr>
                      <w:rFonts w:ascii="Times New Roman" w:hAnsi="Times New Roman" w:cs="Times New Roman"/>
                      <w:spacing w:val="7"/>
                    </w:rPr>
                    <w:t>优等品</w:t>
                  </w:r>
                </w:p>
              </w:tc>
              <w:tc>
                <w:tcPr>
                  <w:tcW w:w="1068" w:type="dxa"/>
                  <w:vAlign w:val="center"/>
                </w:tcPr>
                <w:p w14:paraId="6E141CD2">
                  <w:pPr>
                    <w:pStyle w:val="323"/>
                    <w:spacing w:line="240" w:lineRule="auto"/>
                    <w:jc w:val="center"/>
                    <w:rPr>
                      <w:rFonts w:ascii="Times New Roman" w:hAnsi="Times New Roman" w:cs="Times New Roman"/>
                      <w:lang w:eastAsia="zh-CN"/>
                    </w:rPr>
                  </w:pPr>
                  <w:r>
                    <w:rPr>
                      <w:rFonts w:ascii="Times New Roman" w:hAnsi="Times New Roman" w:cs="Times New Roman"/>
                      <w:spacing w:val="7"/>
                    </w:rPr>
                    <w:t>一等品</w:t>
                  </w:r>
                </w:p>
              </w:tc>
              <w:tc>
                <w:tcPr>
                  <w:tcW w:w="1165" w:type="dxa"/>
                  <w:vAlign w:val="center"/>
                </w:tcPr>
                <w:p w14:paraId="14A29F40">
                  <w:pPr>
                    <w:pStyle w:val="323"/>
                    <w:spacing w:line="240" w:lineRule="auto"/>
                    <w:jc w:val="center"/>
                    <w:rPr>
                      <w:rFonts w:ascii="Times New Roman" w:hAnsi="Times New Roman" w:cs="Times New Roman"/>
                      <w:lang w:eastAsia="zh-CN"/>
                    </w:rPr>
                  </w:pPr>
                  <w:r>
                    <w:rPr>
                      <w:rFonts w:ascii="Times New Roman" w:hAnsi="Times New Roman" w:cs="Times New Roman"/>
                      <w:spacing w:val="7"/>
                    </w:rPr>
                    <w:t>合格品</w:t>
                  </w:r>
                </w:p>
              </w:tc>
            </w:tr>
            <w:tr w14:paraId="1DD605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Align w:val="center"/>
                </w:tcPr>
                <w:p w14:paraId="25BCA554">
                  <w:pPr>
                    <w:pStyle w:val="323"/>
                    <w:spacing w:line="240" w:lineRule="auto"/>
                    <w:jc w:val="center"/>
                    <w:rPr>
                      <w:rFonts w:ascii="Times New Roman" w:hAnsi="Times New Roman" w:cs="Times New Roman"/>
                      <w:lang w:eastAsia="zh-CN"/>
                    </w:rPr>
                  </w:pPr>
                  <w:r>
                    <w:rPr>
                      <w:rFonts w:ascii="Times New Roman" w:hAnsi="Times New Roman" w:cs="Times New Roman"/>
                    </w:rPr>
                    <w:t>1</w:t>
                  </w:r>
                </w:p>
              </w:tc>
              <w:tc>
                <w:tcPr>
                  <w:tcW w:w="3264" w:type="dxa"/>
                  <w:vAlign w:val="center"/>
                </w:tcPr>
                <w:p w14:paraId="511F5DC2">
                  <w:pPr>
                    <w:pStyle w:val="323"/>
                    <w:spacing w:line="240" w:lineRule="auto"/>
                    <w:rPr>
                      <w:rFonts w:ascii="Times New Roman" w:hAnsi="Times New Roman" w:cs="Times New Roman"/>
                      <w:lang w:eastAsia="zh-CN"/>
                    </w:rPr>
                  </w:pPr>
                  <w:r>
                    <w:rPr>
                      <w:rFonts w:ascii="Times New Roman" w:hAnsi="Times New Roman" w:cs="Times New Roman"/>
                      <w:spacing w:val="-2"/>
                    </w:rPr>
                    <w:t>线密度偏差率/%</w:t>
                  </w:r>
                </w:p>
              </w:tc>
              <w:tc>
                <w:tcPr>
                  <w:tcW w:w="1418" w:type="dxa"/>
                  <w:vAlign w:val="center"/>
                </w:tcPr>
                <w:p w14:paraId="3B5CB7F0">
                  <w:pPr>
                    <w:pStyle w:val="323"/>
                    <w:spacing w:line="240" w:lineRule="auto"/>
                    <w:jc w:val="center"/>
                    <w:rPr>
                      <w:rFonts w:ascii="Times New Roman" w:hAnsi="Times New Roman" w:cs="Times New Roman"/>
                      <w:lang w:eastAsia="zh-CN"/>
                    </w:rPr>
                  </w:pPr>
                  <w:r>
                    <w:rPr>
                      <w:rFonts w:ascii="Times New Roman" w:hAnsi="Times New Roman" w:cs="Times New Roman"/>
                      <w:spacing w:val="-7"/>
                    </w:rPr>
                    <w:t>±2.5</w:t>
                  </w:r>
                </w:p>
              </w:tc>
              <w:tc>
                <w:tcPr>
                  <w:tcW w:w="1068" w:type="dxa"/>
                  <w:vAlign w:val="center"/>
                </w:tcPr>
                <w:p w14:paraId="6F095192">
                  <w:pPr>
                    <w:pStyle w:val="323"/>
                    <w:spacing w:line="240" w:lineRule="auto"/>
                    <w:jc w:val="center"/>
                    <w:rPr>
                      <w:rFonts w:ascii="Times New Roman" w:hAnsi="Times New Roman" w:cs="Times New Roman"/>
                      <w:lang w:eastAsia="zh-CN"/>
                    </w:rPr>
                  </w:pPr>
                  <w:r>
                    <w:rPr>
                      <w:rFonts w:ascii="Times New Roman" w:hAnsi="Times New Roman" w:cs="Times New Roman"/>
                      <w:spacing w:val="-7"/>
                    </w:rPr>
                    <w:t>±3.5</w:t>
                  </w:r>
                </w:p>
              </w:tc>
              <w:tc>
                <w:tcPr>
                  <w:tcW w:w="1165" w:type="dxa"/>
                  <w:vAlign w:val="center"/>
                </w:tcPr>
                <w:p w14:paraId="538B30A5">
                  <w:pPr>
                    <w:pStyle w:val="323"/>
                    <w:spacing w:line="240" w:lineRule="auto"/>
                    <w:jc w:val="center"/>
                    <w:rPr>
                      <w:rFonts w:ascii="Times New Roman" w:hAnsi="Times New Roman" w:cs="Times New Roman"/>
                      <w:lang w:eastAsia="zh-CN"/>
                    </w:rPr>
                  </w:pPr>
                  <w:r>
                    <w:rPr>
                      <w:rFonts w:ascii="Times New Roman" w:hAnsi="Times New Roman" w:cs="Times New Roman"/>
                      <w:spacing w:val="-7"/>
                    </w:rPr>
                    <w:t>±3.5</w:t>
                  </w:r>
                </w:p>
              </w:tc>
            </w:tr>
            <w:tr w14:paraId="6D52E9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Align w:val="center"/>
                </w:tcPr>
                <w:p w14:paraId="36955EBE">
                  <w:pPr>
                    <w:pStyle w:val="323"/>
                    <w:spacing w:line="240" w:lineRule="auto"/>
                    <w:jc w:val="center"/>
                    <w:rPr>
                      <w:rFonts w:ascii="Times New Roman" w:hAnsi="Times New Roman" w:cs="Times New Roman"/>
                      <w:lang w:eastAsia="zh-CN"/>
                    </w:rPr>
                  </w:pPr>
                  <w:r>
                    <w:rPr>
                      <w:rFonts w:ascii="Times New Roman" w:hAnsi="Times New Roman" w:cs="Times New Roman"/>
                    </w:rPr>
                    <w:t>2</w:t>
                  </w:r>
                </w:p>
              </w:tc>
              <w:tc>
                <w:tcPr>
                  <w:tcW w:w="3264" w:type="dxa"/>
                  <w:vAlign w:val="center"/>
                </w:tcPr>
                <w:p w14:paraId="1B6072B9">
                  <w:pPr>
                    <w:pStyle w:val="323"/>
                    <w:spacing w:line="240" w:lineRule="auto"/>
                    <w:rPr>
                      <w:rFonts w:ascii="Times New Roman" w:hAnsi="Times New Roman" w:cs="Times New Roman"/>
                      <w:lang w:eastAsia="zh-CN"/>
                    </w:rPr>
                  </w:pPr>
                  <w:r>
                    <w:rPr>
                      <w:rFonts w:ascii="Times New Roman" w:hAnsi="Times New Roman" w:cs="Times New Roman"/>
                      <w:lang w:eastAsia="zh-CN"/>
                    </w:rPr>
                    <w:t>线密度变异系数(CV</w:t>
                  </w:r>
                  <w:r>
                    <w:rPr>
                      <w:rFonts w:ascii="Times New Roman" w:hAnsi="Times New Roman" w:cs="Times New Roman"/>
                      <w:vertAlign w:val="subscript"/>
                      <w:lang w:eastAsia="zh-CN"/>
                    </w:rPr>
                    <w:t>b</w:t>
                  </w:r>
                  <w:r>
                    <w:rPr>
                      <w:rFonts w:ascii="Times New Roman" w:hAnsi="Times New Roman" w:cs="Times New Roman"/>
                      <w:lang w:eastAsia="zh-CN"/>
                    </w:rPr>
                    <w:t>值)/%</w:t>
                  </w:r>
                </w:p>
              </w:tc>
              <w:tc>
                <w:tcPr>
                  <w:tcW w:w="1418" w:type="dxa"/>
                  <w:vAlign w:val="center"/>
                </w:tcPr>
                <w:p w14:paraId="5E1DD28F">
                  <w:pPr>
                    <w:pStyle w:val="323"/>
                    <w:spacing w:line="240" w:lineRule="auto"/>
                    <w:jc w:val="center"/>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spacing w:val="-5"/>
                    </w:rPr>
                    <w:t>1.80</w:t>
                  </w:r>
                </w:p>
              </w:tc>
              <w:tc>
                <w:tcPr>
                  <w:tcW w:w="1068" w:type="dxa"/>
                  <w:vAlign w:val="center"/>
                </w:tcPr>
                <w:p w14:paraId="3923B05C">
                  <w:pPr>
                    <w:pStyle w:val="323"/>
                    <w:spacing w:line="240" w:lineRule="auto"/>
                    <w:jc w:val="center"/>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spacing w:val="-3"/>
                    </w:rPr>
                    <w:t>2.2</w:t>
                  </w:r>
                </w:p>
              </w:tc>
              <w:tc>
                <w:tcPr>
                  <w:tcW w:w="1165" w:type="dxa"/>
                  <w:vAlign w:val="center"/>
                </w:tcPr>
                <w:p w14:paraId="29318F4B">
                  <w:pPr>
                    <w:pStyle w:val="323"/>
                    <w:spacing w:line="240" w:lineRule="auto"/>
                    <w:jc w:val="center"/>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spacing w:val="-3"/>
                    </w:rPr>
                    <w:t>3.00</w:t>
                  </w:r>
                </w:p>
              </w:tc>
            </w:tr>
            <w:tr w14:paraId="59B421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Align w:val="center"/>
                </w:tcPr>
                <w:p w14:paraId="20E2B747">
                  <w:pPr>
                    <w:pStyle w:val="323"/>
                    <w:spacing w:line="240" w:lineRule="auto"/>
                    <w:jc w:val="center"/>
                    <w:rPr>
                      <w:rFonts w:ascii="Times New Roman" w:hAnsi="Times New Roman" w:cs="Times New Roman"/>
                      <w:lang w:eastAsia="zh-CN"/>
                    </w:rPr>
                  </w:pPr>
                  <w:r>
                    <w:rPr>
                      <w:rFonts w:ascii="Times New Roman" w:hAnsi="Times New Roman" w:cs="Times New Roman"/>
                    </w:rPr>
                    <w:t>3</w:t>
                  </w:r>
                </w:p>
              </w:tc>
              <w:tc>
                <w:tcPr>
                  <w:tcW w:w="3264" w:type="dxa"/>
                  <w:vAlign w:val="center"/>
                </w:tcPr>
                <w:p w14:paraId="349DD92A">
                  <w:pPr>
                    <w:pStyle w:val="323"/>
                    <w:spacing w:line="240" w:lineRule="auto"/>
                    <w:rPr>
                      <w:rFonts w:ascii="Times New Roman" w:hAnsi="Times New Roman" w:cs="Times New Roman"/>
                      <w:lang w:eastAsia="zh-CN"/>
                    </w:rPr>
                  </w:pPr>
                  <w:r>
                    <w:rPr>
                      <w:rFonts w:ascii="Times New Roman" w:hAnsi="Times New Roman" w:cs="Times New Roman"/>
                      <w:spacing w:val="5"/>
                    </w:rPr>
                    <w:t>断裂强度/(</w:t>
                  </w:r>
                  <w:r>
                    <w:rPr>
                      <w:rFonts w:ascii="Times New Roman" w:hAnsi="Times New Roman" w:cs="Times New Roman"/>
                    </w:rPr>
                    <w:t>cN</w:t>
                  </w:r>
                  <w:r>
                    <w:rPr>
                      <w:rFonts w:ascii="Times New Roman" w:hAnsi="Times New Roman" w:cs="Times New Roman"/>
                      <w:spacing w:val="5"/>
                    </w:rPr>
                    <w:t>/</w:t>
                  </w:r>
                  <w:r>
                    <w:rPr>
                      <w:rFonts w:ascii="Times New Roman" w:hAnsi="Times New Roman" w:cs="Times New Roman"/>
                    </w:rPr>
                    <w:t>dtex</w:t>
                  </w:r>
                  <w:r>
                    <w:rPr>
                      <w:rFonts w:ascii="Times New Roman" w:hAnsi="Times New Roman" w:cs="Times New Roman"/>
                      <w:spacing w:val="5"/>
                    </w:rPr>
                    <w:t>)</w:t>
                  </w:r>
                </w:p>
              </w:tc>
              <w:tc>
                <w:tcPr>
                  <w:tcW w:w="1418" w:type="dxa"/>
                  <w:vAlign w:val="center"/>
                </w:tcPr>
                <w:p w14:paraId="26A0E6D8">
                  <w:pPr>
                    <w:pStyle w:val="323"/>
                    <w:spacing w:line="240" w:lineRule="auto"/>
                    <w:jc w:val="center"/>
                    <w:rPr>
                      <w:rFonts w:ascii="Times New Roman" w:hAnsi="Times New Roman" w:cs="Times New Roman"/>
                      <w:lang w:eastAsia="zh-CN"/>
                    </w:rPr>
                  </w:pPr>
                  <w:r>
                    <w:rPr>
                      <w:rFonts w:ascii="Times New Roman" w:hAnsi="Times New Roman" w:cs="Times New Roman"/>
                      <w:spacing w:val="5"/>
                    </w:rPr>
                    <w:t>≥</w:t>
                  </w:r>
                  <w:r>
                    <w:rPr>
                      <w:rFonts w:ascii="Times New Roman" w:hAnsi="Times New Roman" w:cs="Times New Roman"/>
                      <w:spacing w:val="-6"/>
                    </w:rPr>
                    <w:t>1.7</w:t>
                  </w:r>
                </w:p>
              </w:tc>
              <w:tc>
                <w:tcPr>
                  <w:tcW w:w="1068" w:type="dxa"/>
                  <w:vAlign w:val="center"/>
                </w:tcPr>
                <w:p w14:paraId="05C4A3FF">
                  <w:pPr>
                    <w:pStyle w:val="323"/>
                    <w:spacing w:line="240" w:lineRule="auto"/>
                    <w:jc w:val="center"/>
                    <w:rPr>
                      <w:rFonts w:ascii="Times New Roman" w:hAnsi="Times New Roman" w:cs="Times New Roman"/>
                      <w:lang w:eastAsia="zh-CN"/>
                    </w:rPr>
                  </w:pPr>
                  <w:r>
                    <w:rPr>
                      <w:rFonts w:ascii="Times New Roman" w:hAnsi="Times New Roman" w:cs="Times New Roman"/>
                      <w:spacing w:val="5"/>
                    </w:rPr>
                    <w:t>≥</w:t>
                  </w:r>
                  <w:r>
                    <w:rPr>
                      <w:rFonts w:ascii="Times New Roman" w:hAnsi="Times New Roman" w:cs="Times New Roman"/>
                      <w:spacing w:val="-6"/>
                    </w:rPr>
                    <w:t>1.7</w:t>
                  </w:r>
                </w:p>
              </w:tc>
              <w:tc>
                <w:tcPr>
                  <w:tcW w:w="1165" w:type="dxa"/>
                  <w:vAlign w:val="center"/>
                </w:tcPr>
                <w:p w14:paraId="63D4119A">
                  <w:pPr>
                    <w:pStyle w:val="323"/>
                    <w:spacing w:line="240" w:lineRule="auto"/>
                    <w:jc w:val="center"/>
                    <w:rPr>
                      <w:rFonts w:ascii="Times New Roman" w:hAnsi="Times New Roman" w:cs="Times New Roman"/>
                      <w:lang w:eastAsia="zh-CN"/>
                    </w:rPr>
                  </w:pPr>
                  <w:r>
                    <w:rPr>
                      <w:rFonts w:ascii="Times New Roman" w:hAnsi="Times New Roman" w:cs="Times New Roman"/>
                      <w:spacing w:val="5"/>
                    </w:rPr>
                    <w:t>≥</w:t>
                  </w:r>
                  <w:r>
                    <w:rPr>
                      <w:rFonts w:ascii="Times New Roman" w:hAnsi="Times New Roman" w:cs="Times New Roman"/>
                      <w:spacing w:val="-6"/>
                    </w:rPr>
                    <w:t>1.5</w:t>
                  </w:r>
                </w:p>
              </w:tc>
            </w:tr>
            <w:tr w14:paraId="73F4BE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Align w:val="center"/>
                </w:tcPr>
                <w:p w14:paraId="6E885646">
                  <w:pPr>
                    <w:pStyle w:val="323"/>
                    <w:spacing w:line="240" w:lineRule="auto"/>
                    <w:jc w:val="center"/>
                    <w:rPr>
                      <w:rFonts w:ascii="Times New Roman" w:hAnsi="Times New Roman" w:cs="Times New Roman"/>
                      <w:lang w:eastAsia="zh-CN"/>
                    </w:rPr>
                  </w:pPr>
                  <w:r>
                    <w:rPr>
                      <w:rFonts w:ascii="Times New Roman" w:hAnsi="Times New Roman" w:cs="Times New Roman"/>
                    </w:rPr>
                    <w:t>4</w:t>
                  </w:r>
                </w:p>
              </w:tc>
              <w:tc>
                <w:tcPr>
                  <w:tcW w:w="3264" w:type="dxa"/>
                  <w:vAlign w:val="center"/>
                </w:tcPr>
                <w:p w14:paraId="7F62AF31">
                  <w:pPr>
                    <w:pStyle w:val="323"/>
                    <w:spacing w:line="240" w:lineRule="auto"/>
                    <w:rPr>
                      <w:rFonts w:ascii="Times New Roman" w:hAnsi="Times New Roman" w:cs="Times New Roman"/>
                      <w:lang w:eastAsia="zh-CN"/>
                    </w:rPr>
                  </w:pPr>
                  <w:r>
                    <w:rPr>
                      <w:rFonts w:ascii="Times New Roman" w:hAnsi="Times New Roman" w:cs="Times New Roman"/>
                      <w:lang w:eastAsia="zh-CN"/>
                    </w:rPr>
                    <w:t>断裂强度变异系数(CV</w:t>
                  </w:r>
                  <w:r>
                    <w:rPr>
                      <w:rFonts w:ascii="Times New Roman" w:hAnsi="Times New Roman" w:cs="Times New Roman"/>
                      <w:vertAlign w:val="subscript"/>
                      <w:lang w:eastAsia="zh-CN"/>
                    </w:rPr>
                    <w:t>b</w:t>
                  </w:r>
                  <w:r>
                    <w:rPr>
                      <w:rFonts w:ascii="Times New Roman" w:hAnsi="Times New Roman" w:cs="Times New Roman"/>
                      <w:lang w:eastAsia="zh-CN"/>
                    </w:rPr>
                    <w:t>值)/%</w:t>
                  </w:r>
                </w:p>
              </w:tc>
              <w:tc>
                <w:tcPr>
                  <w:tcW w:w="1418" w:type="dxa"/>
                  <w:vAlign w:val="center"/>
                </w:tcPr>
                <w:p w14:paraId="07E7DD12">
                  <w:pPr>
                    <w:pStyle w:val="323"/>
                    <w:spacing w:line="240" w:lineRule="auto"/>
                    <w:jc w:val="center"/>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spacing w:val="-2"/>
                    </w:rPr>
                    <w:t>6.00</w:t>
                  </w:r>
                </w:p>
              </w:tc>
              <w:tc>
                <w:tcPr>
                  <w:tcW w:w="1068" w:type="dxa"/>
                  <w:vAlign w:val="center"/>
                </w:tcPr>
                <w:p w14:paraId="6518AF2A">
                  <w:pPr>
                    <w:pStyle w:val="323"/>
                    <w:spacing w:line="240" w:lineRule="auto"/>
                    <w:jc w:val="center"/>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spacing w:val="-2"/>
                    </w:rPr>
                    <w:t>6.00</w:t>
                  </w:r>
                </w:p>
              </w:tc>
              <w:tc>
                <w:tcPr>
                  <w:tcW w:w="1165" w:type="dxa"/>
                  <w:vAlign w:val="center"/>
                </w:tcPr>
                <w:p w14:paraId="7F04BDDD">
                  <w:pPr>
                    <w:pStyle w:val="323"/>
                    <w:spacing w:line="240" w:lineRule="auto"/>
                    <w:jc w:val="center"/>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spacing w:val="-4"/>
                    </w:rPr>
                    <w:t>10.00</w:t>
                  </w:r>
                </w:p>
              </w:tc>
            </w:tr>
            <w:tr w14:paraId="2A611B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Align w:val="center"/>
                </w:tcPr>
                <w:p w14:paraId="0F486729">
                  <w:pPr>
                    <w:pStyle w:val="323"/>
                    <w:spacing w:line="240" w:lineRule="auto"/>
                    <w:jc w:val="center"/>
                    <w:rPr>
                      <w:rFonts w:ascii="Times New Roman" w:hAnsi="Times New Roman" w:cs="Times New Roman"/>
                      <w:lang w:eastAsia="zh-CN"/>
                    </w:rPr>
                  </w:pPr>
                  <w:r>
                    <w:rPr>
                      <w:rFonts w:ascii="Times New Roman" w:hAnsi="Times New Roman" w:cs="Times New Roman"/>
                    </w:rPr>
                    <w:t>5</w:t>
                  </w:r>
                </w:p>
              </w:tc>
              <w:tc>
                <w:tcPr>
                  <w:tcW w:w="3264" w:type="dxa"/>
                  <w:vAlign w:val="center"/>
                </w:tcPr>
                <w:p w14:paraId="67AA5BA5">
                  <w:pPr>
                    <w:pStyle w:val="323"/>
                    <w:spacing w:line="240" w:lineRule="auto"/>
                    <w:rPr>
                      <w:rFonts w:ascii="Times New Roman" w:hAnsi="Times New Roman" w:cs="Times New Roman"/>
                      <w:lang w:eastAsia="zh-CN"/>
                    </w:rPr>
                  </w:pPr>
                  <w:r>
                    <w:rPr>
                      <w:rFonts w:ascii="Times New Roman" w:hAnsi="Times New Roman" w:cs="Times New Roman"/>
                    </w:rPr>
                    <w:t>断裂伸长率/%</w:t>
                  </w:r>
                </w:p>
              </w:tc>
              <w:tc>
                <w:tcPr>
                  <w:tcW w:w="1418" w:type="dxa"/>
                  <w:vAlign w:val="center"/>
                </w:tcPr>
                <w:p w14:paraId="0D8ABB49">
                  <w:pPr>
                    <w:pStyle w:val="323"/>
                    <w:spacing w:line="240" w:lineRule="auto"/>
                    <w:jc w:val="center"/>
                    <w:rPr>
                      <w:rFonts w:ascii="Times New Roman" w:hAnsi="Times New Roman" w:cs="Times New Roman"/>
                      <w:lang w:eastAsia="zh-CN"/>
                    </w:rPr>
                  </w:pPr>
                  <w:r>
                    <w:rPr>
                      <w:rFonts w:ascii="Times New Roman" w:hAnsi="Times New Roman" w:cs="Times New Roman"/>
                      <w:spacing w:val="-1"/>
                    </w:rPr>
                    <w:t>M</w:t>
                  </w:r>
                  <w:r>
                    <w:rPr>
                      <w:rFonts w:ascii="Times New Roman" w:hAnsi="Times New Roman" w:cs="Times New Roman"/>
                      <w:spacing w:val="-1"/>
                      <w:vertAlign w:val="subscript"/>
                      <w:lang w:eastAsia="zh-CN"/>
                    </w:rPr>
                    <w:t>1</w:t>
                  </w:r>
                  <w:r>
                    <w:rPr>
                      <w:rFonts w:ascii="Times New Roman" w:hAnsi="Times New Roman" w:cs="Times New Roman"/>
                      <w:spacing w:val="-1"/>
                      <w:vertAlign w:val="superscript"/>
                      <w:lang w:eastAsia="zh-CN"/>
                    </w:rPr>
                    <w:t>a</w:t>
                  </w:r>
                  <w:r>
                    <w:rPr>
                      <w:rFonts w:ascii="Times New Roman" w:hAnsi="Times New Roman" w:cs="Times New Roman"/>
                      <w:spacing w:val="-1"/>
                    </w:rPr>
                    <w:t>±12.0</w:t>
                  </w:r>
                </w:p>
              </w:tc>
              <w:tc>
                <w:tcPr>
                  <w:tcW w:w="1068" w:type="dxa"/>
                  <w:vAlign w:val="center"/>
                </w:tcPr>
                <w:p w14:paraId="1E3F9A0A">
                  <w:pPr>
                    <w:pStyle w:val="323"/>
                    <w:spacing w:line="240" w:lineRule="auto"/>
                    <w:jc w:val="center"/>
                    <w:rPr>
                      <w:rFonts w:ascii="Times New Roman" w:hAnsi="Times New Roman" w:cs="Times New Roman"/>
                      <w:lang w:eastAsia="zh-CN"/>
                    </w:rPr>
                  </w:pPr>
                  <w:r>
                    <w:rPr>
                      <w:rFonts w:ascii="Times New Roman" w:hAnsi="Times New Roman" w:cs="Times New Roman"/>
                      <w:spacing w:val="-1"/>
                    </w:rPr>
                    <w:t>M</w:t>
                  </w:r>
                  <w:r>
                    <w:rPr>
                      <w:rFonts w:ascii="Times New Roman" w:hAnsi="Times New Roman" w:cs="Times New Roman"/>
                      <w:spacing w:val="-1"/>
                      <w:vertAlign w:val="subscript"/>
                      <w:lang w:eastAsia="zh-CN"/>
                    </w:rPr>
                    <w:t>1</w:t>
                  </w:r>
                  <w:r>
                    <w:rPr>
                      <w:rFonts w:ascii="Times New Roman" w:hAnsi="Times New Roman" w:cs="Times New Roman"/>
                      <w:spacing w:val="-1"/>
                      <w:vertAlign w:val="superscript"/>
                      <w:lang w:eastAsia="zh-CN"/>
                    </w:rPr>
                    <w:t>a</w:t>
                  </w:r>
                  <w:r>
                    <w:rPr>
                      <w:rFonts w:ascii="Times New Roman" w:hAnsi="Times New Roman" w:cs="Times New Roman"/>
                      <w:spacing w:val="-1"/>
                    </w:rPr>
                    <w:t>±12.0</w:t>
                  </w:r>
                </w:p>
              </w:tc>
              <w:tc>
                <w:tcPr>
                  <w:tcW w:w="1165" w:type="dxa"/>
                  <w:vAlign w:val="center"/>
                </w:tcPr>
                <w:p w14:paraId="09054628">
                  <w:pPr>
                    <w:pStyle w:val="323"/>
                    <w:spacing w:line="240" w:lineRule="auto"/>
                    <w:jc w:val="center"/>
                    <w:rPr>
                      <w:rFonts w:ascii="Times New Roman" w:hAnsi="Times New Roman" w:cs="Times New Roman"/>
                      <w:lang w:eastAsia="zh-CN"/>
                    </w:rPr>
                  </w:pPr>
                  <w:r>
                    <w:rPr>
                      <w:rFonts w:ascii="Times New Roman" w:hAnsi="Times New Roman" w:cs="Times New Roman"/>
                      <w:spacing w:val="-5"/>
                    </w:rPr>
                    <w:t>M</w:t>
                  </w:r>
                  <w:r>
                    <w:rPr>
                      <w:rFonts w:ascii="Times New Roman" w:hAnsi="Times New Roman" w:cs="Times New Roman"/>
                      <w:spacing w:val="-5"/>
                      <w:vertAlign w:val="subscript"/>
                      <w:lang w:eastAsia="zh-CN"/>
                    </w:rPr>
                    <w:t>1</w:t>
                  </w:r>
                  <w:r>
                    <w:rPr>
                      <w:rFonts w:ascii="Times New Roman" w:hAnsi="Times New Roman" w:cs="Times New Roman"/>
                      <w:spacing w:val="-1"/>
                      <w:vertAlign w:val="superscript"/>
                      <w:lang w:eastAsia="zh-CN"/>
                    </w:rPr>
                    <w:t>a</w:t>
                  </w:r>
                  <w:r>
                    <w:rPr>
                      <w:rFonts w:ascii="Times New Roman" w:hAnsi="Times New Roman" w:cs="Times New Roman"/>
                      <w:spacing w:val="-5"/>
                    </w:rPr>
                    <w:t>±16.0</w:t>
                  </w:r>
                </w:p>
              </w:tc>
            </w:tr>
            <w:tr w14:paraId="05D0BF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Align w:val="center"/>
                </w:tcPr>
                <w:p w14:paraId="6A74C5A3">
                  <w:pPr>
                    <w:pStyle w:val="323"/>
                    <w:spacing w:line="240" w:lineRule="auto"/>
                    <w:jc w:val="center"/>
                    <w:rPr>
                      <w:rFonts w:ascii="Times New Roman" w:hAnsi="Times New Roman" w:cs="Times New Roman"/>
                      <w:lang w:eastAsia="zh-CN"/>
                    </w:rPr>
                  </w:pPr>
                  <w:r>
                    <w:rPr>
                      <w:rFonts w:ascii="Times New Roman" w:hAnsi="Times New Roman" w:cs="Times New Roman"/>
                    </w:rPr>
                    <w:t>6</w:t>
                  </w:r>
                </w:p>
              </w:tc>
              <w:tc>
                <w:tcPr>
                  <w:tcW w:w="3264" w:type="dxa"/>
                  <w:vAlign w:val="center"/>
                </w:tcPr>
                <w:p w14:paraId="1CCEFE92">
                  <w:pPr>
                    <w:pStyle w:val="323"/>
                    <w:spacing w:line="240" w:lineRule="auto"/>
                    <w:rPr>
                      <w:rFonts w:ascii="Times New Roman" w:hAnsi="Times New Roman" w:cs="Times New Roman"/>
                      <w:lang w:eastAsia="zh-CN"/>
                    </w:rPr>
                  </w:pPr>
                  <w:r>
                    <w:rPr>
                      <w:rFonts w:ascii="Times New Roman" w:hAnsi="Times New Roman" w:cs="Times New Roman"/>
                      <w:spacing w:val="7"/>
                      <w:lang w:eastAsia="zh-CN"/>
                    </w:rPr>
                    <w:t>断裂伸长率变异系数(</w:t>
                  </w:r>
                  <w:r>
                    <w:rPr>
                      <w:rFonts w:ascii="Times New Roman" w:hAnsi="Times New Roman" w:cs="Times New Roman"/>
                      <w:lang w:eastAsia="zh-CN"/>
                    </w:rPr>
                    <w:t>CV</w:t>
                  </w:r>
                  <w:r>
                    <w:rPr>
                      <w:rFonts w:ascii="Times New Roman" w:hAnsi="Times New Roman" w:cs="Times New Roman"/>
                      <w:vertAlign w:val="subscript"/>
                      <w:lang w:eastAsia="zh-CN"/>
                    </w:rPr>
                    <w:t>b</w:t>
                  </w:r>
                  <w:r>
                    <w:rPr>
                      <w:rFonts w:ascii="Times New Roman" w:hAnsi="Times New Roman" w:cs="Times New Roman"/>
                      <w:spacing w:val="7"/>
                      <w:lang w:eastAsia="zh-CN"/>
                    </w:rPr>
                    <w:t>值)/%</w:t>
                  </w:r>
                </w:p>
              </w:tc>
              <w:tc>
                <w:tcPr>
                  <w:tcW w:w="1418" w:type="dxa"/>
                  <w:vAlign w:val="center"/>
                </w:tcPr>
                <w:p w14:paraId="4C08E049">
                  <w:pPr>
                    <w:pStyle w:val="323"/>
                    <w:spacing w:line="240" w:lineRule="auto"/>
                    <w:jc w:val="center"/>
                    <w:rPr>
                      <w:rFonts w:ascii="Times New Roman" w:hAnsi="Times New Roman" w:cs="Times New Roman"/>
                      <w:lang w:eastAsia="zh-CN"/>
                    </w:rPr>
                  </w:pPr>
                  <w:r>
                    <w:rPr>
                      <w:rFonts w:ascii="Times New Roman" w:hAnsi="Times New Roman" w:cs="Times New Roman"/>
                      <w:spacing w:val="7"/>
                      <w:lang w:eastAsia="zh-CN"/>
                    </w:rPr>
                    <w:t>≤</w:t>
                  </w:r>
                  <w:r>
                    <w:rPr>
                      <w:rFonts w:ascii="Times New Roman" w:hAnsi="Times New Roman" w:cs="Times New Roman"/>
                      <w:spacing w:val="-2"/>
                    </w:rPr>
                    <w:t>8.00</w:t>
                  </w:r>
                </w:p>
              </w:tc>
              <w:tc>
                <w:tcPr>
                  <w:tcW w:w="1068" w:type="dxa"/>
                  <w:vAlign w:val="center"/>
                </w:tcPr>
                <w:p w14:paraId="0B9121AC">
                  <w:pPr>
                    <w:pStyle w:val="323"/>
                    <w:spacing w:line="240" w:lineRule="auto"/>
                    <w:jc w:val="center"/>
                    <w:rPr>
                      <w:rFonts w:ascii="Times New Roman" w:hAnsi="Times New Roman" w:cs="Times New Roman"/>
                      <w:lang w:eastAsia="zh-CN"/>
                    </w:rPr>
                  </w:pPr>
                  <w:r>
                    <w:rPr>
                      <w:rFonts w:ascii="Times New Roman" w:hAnsi="Times New Roman" w:cs="Times New Roman"/>
                      <w:spacing w:val="7"/>
                      <w:lang w:eastAsia="zh-CN"/>
                    </w:rPr>
                    <w:t>≤</w:t>
                  </w:r>
                  <w:r>
                    <w:rPr>
                      <w:rFonts w:ascii="Times New Roman" w:hAnsi="Times New Roman" w:cs="Times New Roman"/>
                      <w:spacing w:val="-2"/>
                    </w:rPr>
                    <w:t>8.00</w:t>
                  </w:r>
                </w:p>
              </w:tc>
              <w:tc>
                <w:tcPr>
                  <w:tcW w:w="1165" w:type="dxa"/>
                  <w:vAlign w:val="center"/>
                </w:tcPr>
                <w:p w14:paraId="59C56C18">
                  <w:pPr>
                    <w:pStyle w:val="323"/>
                    <w:spacing w:line="240" w:lineRule="auto"/>
                    <w:jc w:val="center"/>
                    <w:rPr>
                      <w:rFonts w:ascii="Times New Roman" w:hAnsi="Times New Roman" w:cs="Times New Roman"/>
                      <w:lang w:eastAsia="zh-CN"/>
                    </w:rPr>
                  </w:pPr>
                  <w:r>
                    <w:rPr>
                      <w:rFonts w:ascii="Times New Roman" w:hAnsi="Times New Roman" w:cs="Times New Roman"/>
                      <w:spacing w:val="7"/>
                      <w:lang w:eastAsia="zh-CN"/>
                    </w:rPr>
                    <w:t>≤</w:t>
                  </w:r>
                  <w:r>
                    <w:rPr>
                      <w:rFonts w:ascii="Times New Roman" w:hAnsi="Times New Roman" w:cs="Times New Roman"/>
                      <w:spacing w:val="-4"/>
                    </w:rPr>
                    <w:t>10.00</w:t>
                  </w:r>
                </w:p>
              </w:tc>
            </w:tr>
            <w:tr w14:paraId="03F7E7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Align w:val="center"/>
                </w:tcPr>
                <w:p w14:paraId="345A97E1">
                  <w:pPr>
                    <w:pStyle w:val="323"/>
                    <w:spacing w:line="240" w:lineRule="auto"/>
                    <w:jc w:val="center"/>
                    <w:rPr>
                      <w:rFonts w:ascii="Times New Roman" w:hAnsi="Times New Roman" w:cs="Times New Roman"/>
                      <w:lang w:eastAsia="zh-CN"/>
                    </w:rPr>
                  </w:pPr>
                  <w:r>
                    <w:rPr>
                      <w:rFonts w:ascii="Times New Roman" w:hAnsi="Times New Roman" w:cs="Times New Roman"/>
                    </w:rPr>
                    <w:t>7</w:t>
                  </w:r>
                </w:p>
              </w:tc>
              <w:tc>
                <w:tcPr>
                  <w:tcW w:w="3264" w:type="dxa"/>
                  <w:vAlign w:val="center"/>
                </w:tcPr>
                <w:p w14:paraId="12815102">
                  <w:pPr>
                    <w:pStyle w:val="323"/>
                    <w:spacing w:line="240" w:lineRule="auto"/>
                    <w:rPr>
                      <w:rFonts w:ascii="Times New Roman" w:hAnsi="Times New Roman" w:cs="Times New Roman"/>
                      <w:lang w:eastAsia="zh-CN"/>
                    </w:rPr>
                  </w:pPr>
                  <w:r>
                    <w:rPr>
                      <w:rFonts w:ascii="Times New Roman" w:hAnsi="Times New Roman" w:cs="Times New Roman"/>
                      <w:spacing w:val="5"/>
                      <w:position w:val="1"/>
                    </w:rPr>
                    <w:t>条干不匀率(</w:t>
                  </w:r>
                  <w:r>
                    <w:rPr>
                      <w:rFonts w:ascii="Times New Roman" w:hAnsi="Times New Roman" w:cs="Times New Roman"/>
                      <w:position w:val="1"/>
                    </w:rPr>
                    <w:t>CV</w:t>
                  </w:r>
                  <w:r>
                    <w:rPr>
                      <w:rFonts w:ascii="Times New Roman" w:hAnsi="Times New Roman" w:cs="Times New Roman"/>
                      <w:spacing w:val="5"/>
                      <w:position w:val="1"/>
                    </w:rPr>
                    <w:t>值)</w:t>
                  </w:r>
                </w:p>
              </w:tc>
              <w:tc>
                <w:tcPr>
                  <w:tcW w:w="1418" w:type="dxa"/>
                  <w:vAlign w:val="center"/>
                </w:tcPr>
                <w:p w14:paraId="060D6B09">
                  <w:pPr>
                    <w:pStyle w:val="323"/>
                    <w:spacing w:line="240" w:lineRule="auto"/>
                    <w:jc w:val="center"/>
                    <w:rPr>
                      <w:rFonts w:ascii="Times New Roman" w:hAnsi="Times New Roman" w:cs="Times New Roman"/>
                      <w:lang w:eastAsia="zh-CN"/>
                    </w:rPr>
                  </w:pPr>
                  <w:r>
                    <w:rPr>
                      <w:rFonts w:ascii="Times New Roman" w:hAnsi="Times New Roman" w:cs="Times New Roman"/>
                      <w:spacing w:val="5"/>
                      <w:position w:val="-1"/>
                    </w:rPr>
                    <w:t>≤</w:t>
                  </w:r>
                  <w:r>
                    <w:rPr>
                      <w:rFonts w:ascii="Times New Roman" w:hAnsi="Times New Roman" w:cs="Times New Roman"/>
                      <w:spacing w:val="-6"/>
                    </w:rPr>
                    <w:t>1.6</w:t>
                  </w:r>
                </w:p>
              </w:tc>
              <w:tc>
                <w:tcPr>
                  <w:tcW w:w="1068" w:type="dxa"/>
                  <w:vAlign w:val="center"/>
                </w:tcPr>
                <w:p w14:paraId="4BCFD950">
                  <w:pPr>
                    <w:pStyle w:val="323"/>
                    <w:spacing w:line="240" w:lineRule="auto"/>
                    <w:jc w:val="center"/>
                    <w:rPr>
                      <w:rFonts w:ascii="Times New Roman" w:hAnsi="Times New Roman" w:cs="Times New Roman"/>
                      <w:lang w:eastAsia="zh-CN"/>
                    </w:rPr>
                  </w:pPr>
                  <w:r>
                    <w:rPr>
                      <w:rFonts w:ascii="Times New Roman" w:hAnsi="Times New Roman" w:cs="Times New Roman"/>
                      <w:spacing w:val="5"/>
                      <w:position w:val="-1"/>
                    </w:rPr>
                    <w:t>≤</w:t>
                  </w:r>
                  <w:r>
                    <w:rPr>
                      <w:rFonts w:ascii="Times New Roman" w:hAnsi="Times New Roman" w:cs="Times New Roman"/>
                      <w:spacing w:val="-6"/>
                    </w:rPr>
                    <w:t>1.6</w:t>
                  </w:r>
                </w:p>
              </w:tc>
              <w:tc>
                <w:tcPr>
                  <w:tcW w:w="1165" w:type="dxa"/>
                  <w:vAlign w:val="center"/>
                </w:tcPr>
                <w:p w14:paraId="7FD0AFDF">
                  <w:pPr>
                    <w:pStyle w:val="323"/>
                    <w:spacing w:line="240" w:lineRule="auto"/>
                    <w:jc w:val="center"/>
                    <w:rPr>
                      <w:rFonts w:ascii="Times New Roman" w:hAnsi="Times New Roman" w:cs="Times New Roman"/>
                      <w:lang w:eastAsia="zh-CN"/>
                    </w:rPr>
                  </w:pPr>
                  <w:r>
                    <w:rPr>
                      <w:rFonts w:ascii="Times New Roman" w:hAnsi="Times New Roman" w:cs="Times New Roman"/>
                      <w:spacing w:val="-3"/>
                    </w:rPr>
                    <w:t>2.00</w:t>
                  </w:r>
                </w:p>
              </w:tc>
            </w:tr>
            <w:tr w14:paraId="6E42E8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Align w:val="center"/>
                </w:tcPr>
                <w:p w14:paraId="5881FC86">
                  <w:pPr>
                    <w:pStyle w:val="323"/>
                    <w:spacing w:line="240" w:lineRule="auto"/>
                    <w:jc w:val="center"/>
                    <w:rPr>
                      <w:rFonts w:ascii="Times New Roman" w:hAnsi="Times New Roman" w:cs="Times New Roman"/>
                      <w:lang w:eastAsia="zh-CN"/>
                    </w:rPr>
                  </w:pPr>
                  <w:r>
                    <w:rPr>
                      <w:rFonts w:ascii="Times New Roman" w:hAnsi="Times New Roman" w:cs="Times New Roman"/>
                    </w:rPr>
                    <w:t>8</w:t>
                  </w:r>
                </w:p>
              </w:tc>
              <w:tc>
                <w:tcPr>
                  <w:tcW w:w="3264" w:type="dxa"/>
                  <w:vAlign w:val="center"/>
                </w:tcPr>
                <w:p w14:paraId="0DC189BC">
                  <w:pPr>
                    <w:pStyle w:val="323"/>
                    <w:spacing w:line="240" w:lineRule="auto"/>
                    <w:rPr>
                      <w:rFonts w:ascii="Times New Roman" w:hAnsi="Times New Roman" w:cs="Times New Roman"/>
                      <w:lang w:eastAsia="zh-CN"/>
                    </w:rPr>
                  </w:pPr>
                  <w:r>
                    <w:rPr>
                      <w:rFonts w:ascii="Times New Roman" w:hAnsi="Times New Roman" w:cs="Times New Roman"/>
                      <w:spacing w:val="-2"/>
                    </w:rPr>
                    <w:t>含油率/%</w:t>
                  </w:r>
                </w:p>
              </w:tc>
              <w:tc>
                <w:tcPr>
                  <w:tcW w:w="3651" w:type="dxa"/>
                  <w:gridSpan w:val="3"/>
                  <w:vAlign w:val="center"/>
                </w:tcPr>
                <w:p w14:paraId="54CD97BC">
                  <w:pPr>
                    <w:pStyle w:val="323"/>
                    <w:spacing w:line="240" w:lineRule="auto"/>
                    <w:jc w:val="center"/>
                    <w:rPr>
                      <w:rFonts w:ascii="Times New Roman" w:hAnsi="Times New Roman" w:cs="Times New Roman"/>
                      <w:lang w:eastAsia="zh-CN"/>
                    </w:rPr>
                  </w:pPr>
                  <w:r>
                    <w:rPr>
                      <w:rFonts w:ascii="Times New Roman" w:hAnsi="Times New Roman" w:cs="Times New Roman"/>
                      <w:spacing w:val="-5"/>
                    </w:rPr>
                    <w:t>M</w:t>
                  </w:r>
                  <w:r>
                    <w:rPr>
                      <w:rFonts w:ascii="Times New Roman" w:hAnsi="Times New Roman" w:cs="Times New Roman"/>
                      <w:spacing w:val="-5"/>
                      <w:vertAlign w:val="subscript"/>
                      <w:lang w:eastAsia="zh-CN"/>
                    </w:rPr>
                    <w:t>2</w:t>
                  </w:r>
                  <w:r>
                    <w:rPr>
                      <w:rFonts w:ascii="Times New Roman" w:hAnsi="Times New Roman" w:cs="Times New Roman"/>
                      <w:spacing w:val="-1"/>
                      <w:vertAlign w:val="superscript"/>
                      <w:lang w:eastAsia="zh-CN"/>
                    </w:rPr>
                    <w:t>b</w:t>
                  </w:r>
                  <w:r>
                    <w:rPr>
                      <w:rFonts w:ascii="Times New Roman" w:hAnsi="Times New Roman" w:cs="Times New Roman"/>
                      <w:spacing w:val="-5"/>
                    </w:rPr>
                    <w:t>±0.15</w:t>
                  </w:r>
                </w:p>
              </w:tc>
            </w:tr>
            <w:tr w14:paraId="61C901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Align w:val="center"/>
                </w:tcPr>
                <w:p w14:paraId="17CF215D">
                  <w:pPr>
                    <w:pStyle w:val="323"/>
                    <w:spacing w:line="240" w:lineRule="auto"/>
                    <w:jc w:val="center"/>
                    <w:rPr>
                      <w:rFonts w:ascii="Times New Roman" w:hAnsi="Times New Roman" w:cs="Times New Roman"/>
                      <w:lang w:eastAsia="zh-CN"/>
                    </w:rPr>
                  </w:pPr>
                  <w:r>
                    <w:rPr>
                      <w:rFonts w:ascii="Times New Roman" w:hAnsi="Times New Roman" w:cs="Times New Roman"/>
                    </w:rPr>
                    <w:t>9</w:t>
                  </w:r>
                </w:p>
              </w:tc>
              <w:tc>
                <w:tcPr>
                  <w:tcW w:w="3264" w:type="dxa"/>
                  <w:vAlign w:val="center"/>
                </w:tcPr>
                <w:p w14:paraId="003FA044">
                  <w:pPr>
                    <w:pStyle w:val="323"/>
                    <w:spacing w:line="240" w:lineRule="auto"/>
                    <w:rPr>
                      <w:rFonts w:ascii="Times New Roman" w:hAnsi="Times New Roman" w:cs="Times New Roman"/>
                      <w:lang w:eastAsia="zh-CN"/>
                    </w:rPr>
                  </w:pPr>
                  <w:r>
                    <w:rPr>
                      <w:rFonts w:ascii="Times New Roman" w:hAnsi="Times New Roman" w:cs="Times New Roman"/>
                      <w:spacing w:val="-2"/>
                    </w:rPr>
                    <w:t>筒重/kg</w:t>
                  </w:r>
                </w:p>
              </w:tc>
              <w:tc>
                <w:tcPr>
                  <w:tcW w:w="1418" w:type="dxa"/>
                  <w:vAlign w:val="center"/>
                </w:tcPr>
                <w:p w14:paraId="23F3FC04">
                  <w:pPr>
                    <w:pStyle w:val="323"/>
                    <w:spacing w:line="240" w:lineRule="auto"/>
                    <w:jc w:val="center"/>
                    <w:rPr>
                      <w:rFonts w:ascii="Times New Roman" w:hAnsi="Times New Roman" w:cs="Times New Roman"/>
                      <w:lang w:eastAsia="zh-CN"/>
                    </w:rPr>
                  </w:pPr>
                  <w:r>
                    <w:rPr>
                      <w:rFonts w:ascii="Times New Roman" w:hAnsi="Times New Roman" w:cs="Times New Roman"/>
                      <w:spacing w:val="-6"/>
                      <w:lang w:eastAsia="zh-CN"/>
                    </w:rPr>
                    <w:t>定重或定长</w:t>
                  </w:r>
                </w:p>
              </w:tc>
              <w:tc>
                <w:tcPr>
                  <w:tcW w:w="1068" w:type="dxa"/>
                  <w:vAlign w:val="center"/>
                </w:tcPr>
                <w:p w14:paraId="6217D87B">
                  <w:pPr>
                    <w:pStyle w:val="323"/>
                    <w:spacing w:line="240" w:lineRule="auto"/>
                    <w:jc w:val="center"/>
                    <w:rPr>
                      <w:rFonts w:ascii="Times New Roman" w:hAnsi="Times New Roman" w:cs="Times New Roman"/>
                      <w:lang w:eastAsia="zh-CN"/>
                    </w:rPr>
                  </w:pPr>
                  <w:r>
                    <w:rPr>
                      <w:rFonts w:ascii="Times New Roman" w:hAnsi="Times New Roman" w:cs="Times New Roman"/>
                      <w:spacing w:val="-8"/>
                    </w:rPr>
                    <w:t>≥3.5</w:t>
                  </w:r>
                </w:p>
              </w:tc>
              <w:tc>
                <w:tcPr>
                  <w:tcW w:w="1165" w:type="dxa"/>
                  <w:vAlign w:val="center"/>
                </w:tcPr>
                <w:p w14:paraId="47D8C34B">
                  <w:pPr>
                    <w:pStyle w:val="323"/>
                    <w:spacing w:line="240" w:lineRule="auto"/>
                    <w:jc w:val="center"/>
                    <w:rPr>
                      <w:rFonts w:ascii="Times New Roman" w:hAnsi="Times New Roman" w:cs="Times New Roman"/>
                      <w:lang w:eastAsia="zh-CN"/>
                    </w:rPr>
                  </w:pPr>
                  <w:r>
                    <w:rPr>
                      <w:rFonts w:ascii="Times New Roman" w:hAnsi="Times New Roman" w:cs="Times New Roman"/>
                      <w:spacing w:val="-8"/>
                    </w:rPr>
                    <w:t>≥1.0</w:t>
                  </w:r>
                </w:p>
              </w:tc>
            </w:tr>
            <w:tr w14:paraId="56BE86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2" w:type="dxa"/>
                  <w:gridSpan w:val="5"/>
                  <w:vAlign w:val="center"/>
                </w:tcPr>
                <w:p w14:paraId="774DF209">
                  <w:pPr>
                    <w:pStyle w:val="323"/>
                    <w:spacing w:line="240" w:lineRule="auto"/>
                    <w:rPr>
                      <w:rFonts w:ascii="Times New Roman" w:hAnsi="Times New Roman" w:cs="Times New Roman"/>
                      <w:lang w:eastAsia="zh-CN"/>
                    </w:rPr>
                  </w:pPr>
                  <w:r>
                    <w:rPr>
                      <w:rFonts w:ascii="Times New Roman" w:hAnsi="Times New Roman" w:cs="Times New Roman"/>
                      <w:spacing w:val="-1"/>
                      <w:vertAlign w:val="superscript"/>
                      <w:lang w:eastAsia="zh-CN"/>
                    </w:rPr>
                    <w:t xml:space="preserve">a  </w:t>
                  </w:r>
                  <w:r>
                    <w:rPr>
                      <w:rFonts w:ascii="Times New Roman" w:hAnsi="Times New Roman" w:cs="Times New Roman"/>
                      <w:lang w:eastAsia="zh-CN"/>
                    </w:rPr>
                    <w:t>M</w:t>
                  </w:r>
                  <w:r>
                    <w:rPr>
                      <w:rFonts w:ascii="Times New Roman" w:hAnsi="Times New Roman" w:cs="Times New Roman"/>
                      <w:spacing w:val="-1"/>
                      <w:lang w:eastAsia="zh-CN"/>
                    </w:rPr>
                    <w:t>₁</w:t>
                  </w:r>
                  <w:r>
                    <w:rPr>
                      <w:rFonts w:ascii="Times New Roman" w:hAnsi="Times New Roman" w:cs="Times New Roman"/>
                      <w:spacing w:val="-2"/>
                      <w:lang w:eastAsia="zh-CN"/>
                    </w:rPr>
                    <w:t>为断裂伸长率中心值，具体由生产厂与客户协商确定，一旦确定</w:t>
                  </w:r>
                  <w:r>
                    <w:rPr>
                      <w:rFonts w:ascii="Times New Roman" w:hAnsi="Times New Roman" w:cs="Times New Roman"/>
                      <w:lang w:eastAsia="zh-CN"/>
                    </w:rPr>
                    <w:t>后不得任意变更。</w:t>
                  </w:r>
                </w:p>
                <w:p w14:paraId="044B45B9">
                  <w:pPr>
                    <w:pStyle w:val="323"/>
                    <w:spacing w:line="240" w:lineRule="auto"/>
                    <w:rPr>
                      <w:rFonts w:ascii="Times New Roman" w:hAnsi="Times New Roman" w:cs="Times New Roman"/>
                      <w:lang w:eastAsia="zh-CN"/>
                    </w:rPr>
                  </w:pPr>
                  <w:r>
                    <w:rPr>
                      <w:rFonts w:ascii="Times New Roman" w:hAnsi="Times New Roman" w:cs="Times New Roman"/>
                      <w:spacing w:val="-1"/>
                      <w:vertAlign w:val="superscript"/>
                      <w:lang w:eastAsia="zh-CN"/>
                    </w:rPr>
                    <w:t xml:space="preserve">b  </w:t>
                  </w:r>
                  <w:r>
                    <w:rPr>
                      <w:rFonts w:ascii="Times New Roman" w:hAnsi="Times New Roman" w:cs="Times New Roman"/>
                      <w:spacing w:val="1"/>
                      <w:lang w:eastAsia="zh-CN"/>
                    </w:rPr>
                    <w:t>M₂为含油率中心值，具体由生产厂与客户协商确定</w:t>
                  </w:r>
                  <w:r>
                    <w:rPr>
                      <w:rFonts w:ascii="Times New Roman" w:hAnsi="Times New Roman" w:cs="Times New Roman"/>
                      <w:lang w:eastAsia="zh-CN"/>
                    </w:rPr>
                    <w:t>，一旦确定后不得任意变更。</w:t>
                  </w:r>
                </w:p>
              </w:tc>
            </w:tr>
          </w:tbl>
          <w:p w14:paraId="66472477">
            <w:pPr>
              <w:jc w:val="center"/>
              <w:rPr>
                <w:b/>
                <w:sz w:val="24"/>
                <w:szCs w:val="32"/>
              </w:rPr>
            </w:pPr>
            <w:r>
              <w:rPr>
                <w:b/>
                <w:sz w:val="24"/>
                <w:szCs w:val="32"/>
              </w:rPr>
              <w:t>表2-</w:t>
            </w:r>
            <w:r>
              <w:rPr>
                <w:rFonts w:hint="eastAsia"/>
                <w:b/>
                <w:sz w:val="24"/>
                <w:szCs w:val="32"/>
              </w:rPr>
              <w:t>7</w:t>
            </w:r>
            <w:r>
              <w:rPr>
                <w:b/>
                <w:sz w:val="24"/>
                <w:szCs w:val="32"/>
              </w:rPr>
              <w:t>（4） 复合丝（涤锦）产品质量指标</w:t>
            </w:r>
          </w:p>
          <w:tbl>
            <w:tblPr>
              <w:tblStyle w:val="9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2776"/>
              <w:gridCol w:w="1574"/>
              <w:gridCol w:w="1645"/>
              <w:gridCol w:w="1267"/>
            </w:tblGrid>
            <w:tr w14:paraId="6451E6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524EE4F0">
                  <w:pPr>
                    <w:pStyle w:val="323"/>
                    <w:spacing w:line="240" w:lineRule="auto"/>
                    <w:rPr>
                      <w:rFonts w:ascii="Times New Roman" w:hAnsi="Times New Roman" w:cs="Times New Roman"/>
                      <w:b/>
                      <w:bCs/>
                    </w:rPr>
                  </w:pPr>
                  <w:r>
                    <w:rPr>
                      <w:rFonts w:ascii="Times New Roman" w:hAnsi="Times New Roman" w:cs="Times New Roman"/>
                      <w:b/>
                      <w:bCs/>
                      <w:spacing w:val="-2"/>
                    </w:rPr>
                    <w:t>序号</w:t>
                  </w:r>
                </w:p>
              </w:tc>
              <w:tc>
                <w:tcPr>
                  <w:tcW w:w="1751" w:type="pct"/>
                  <w:vAlign w:val="center"/>
                </w:tcPr>
                <w:p w14:paraId="37B1A0C2">
                  <w:pPr>
                    <w:pStyle w:val="323"/>
                    <w:spacing w:line="240" w:lineRule="auto"/>
                    <w:ind w:firstLine="10" w:firstLineChars="5"/>
                    <w:jc w:val="center"/>
                    <w:rPr>
                      <w:rFonts w:ascii="Times New Roman" w:hAnsi="Times New Roman" w:cs="Times New Roman"/>
                      <w:b/>
                      <w:bCs/>
                    </w:rPr>
                  </w:pPr>
                  <w:r>
                    <w:rPr>
                      <w:rFonts w:ascii="Times New Roman" w:hAnsi="Times New Roman" w:cs="Times New Roman"/>
                      <w:b/>
                      <w:bCs/>
                      <w:spacing w:val="-4"/>
                    </w:rPr>
                    <w:t>项目</w:t>
                  </w:r>
                </w:p>
              </w:tc>
              <w:tc>
                <w:tcPr>
                  <w:tcW w:w="993" w:type="pct"/>
                  <w:vAlign w:val="center"/>
                </w:tcPr>
                <w:p w14:paraId="3470F696">
                  <w:pPr>
                    <w:pStyle w:val="323"/>
                    <w:spacing w:line="240" w:lineRule="auto"/>
                    <w:jc w:val="center"/>
                    <w:rPr>
                      <w:rFonts w:ascii="Times New Roman" w:hAnsi="Times New Roman" w:cs="Times New Roman"/>
                      <w:b/>
                      <w:bCs/>
                    </w:rPr>
                  </w:pPr>
                  <w:r>
                    <w:rPr>
                      <w:rFonts w:ascii="Times New Roman" w:hAnsi="Times New Roman" w:cs="Times New Roman"/>
                      <w:b/>
                      <w:bCs/>
                      <w:spacing w:val="-2"/>
                    </w:rPr>
                    <w:t>优等品</w:t>
                  </w:r>
                </w:p>
              </w:tc>
              <w:tc>
                <w:tcPr>
                  <w:tcW w:w="1038" w:type="pct"/>
                  <w:vAlign w:val="center"/>
                </w:tcPr>
                <w:p w14:paraId="6CB0B69A">
                  <w:pPr>
                    <w:pStyle w:val="323"/>
                    <w:spacing w:line="240" w:lineRule="auto"/>
                    <w:jc w:val="center"/>
                    <w:rPr>
                      <w:rFonts w:ascii="Times New Roman" w:hAnsi="Times New Roman" w:cs="Times New Roman"/>
                      <w:b/>
                      <w:bCs/>
                    </w:rPr>
                  </w:pPr>
                  <w:r>
                    <w:rPr>
                      <w:rFonts w:ascii="Times New Roman" w:hAnsi="Times New Roman" w:cs="Times New Roman"/>
                      <w:b/>
                      <w:bCs/>
                      <w:spacing w:val="4"/>
                    </w:rPr>
                    <w:t>一等品</w:t>
                  </w:r>
                </w:p>
              </w:tc>
              <w:tc>
                <w:tcPr>
                  <w:tcW w:w="799" w:type="pct"/>
                  <w:vAlign w:val="center"/>
                </w:tcPr>
                <w:p w14:paraId="525A112E">
                  <w:pPr>
                    <w:pStyle w:val="323"/>
                    <w:spacing w:line="240" w:lineRule="auto"/>
                    <w:jc w:val="center"/>
                    <w:rPr>
                      <w:rFonts w:ascii="Times New Roman" w:hAnsi="Times New Roman" w:cs="Times New Roman"/>
                      <w:b/>
                      <w:bCs/>
                    </w:rPr>
                  </w:pPr>
                  <w:r>
                    <w:rPr>
                      <w:rFonts w:ascii="Times New Roman" w:hAnsi="Times New Roman" w:cs="Times New Roman"/>
                      <w:b/>
                      <w:bCs/>
                      <w:spacing w:val="-2"/>
                    </w:rPr>
                    <w:t>合格品</w:t>
                  </w:r>
                </w:p>
              </w:tc>
            </w:tr>
            <w:tr w14:paraId="11F38E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3502DAB1">
                  <w:pPr>
                    <w:pStyle w:val="323"/>
                    <w:spacing w:line="240" w:lineRule="auto"/>
                    <w:jc w:val="center"/>
                    <w:rPr>
                      <w:rFonts w:ascii="Times New Roman" w:hAnsi="Times New Roman" w:cs="Times New Roman"/>
                    </w:rPr>
                  </w:pPr>
                  <w:r>
                    <w:rPr>
                      <w:rFonts w:ascii="Times New Roman" w:hAnsi="Times New Roman" w:cs="Times New Roman"/>
                    </w:rPr>
                    <w:t>1</w:t>
                  </w:r>
                </w:p>
              </w:tc>
              <w:tc>
                <w:tcPr>
                  <w:tcW w:w="1751" w:type="pct"/>
                  <w:vAlign w:val="center"/>
                </w:tcPr>
                <w:p w14:paraId="498C7704">
                  <w:pPr>
                    <w:pStyle w:val="323"/>
                    <w:spacing w:line="240" w:lineRule="auto"/>
                    <w:rPr>
                      <w:rFonts w:ascii="Times New Roman" w:hAnsi="Times New Roman" w:cs="Times New Roman"/>
                    </w:rPr>
                  </w:pPr>
                  <w:r>
                    <w:rPr>
                      <w:rFonts w:ascii="Times New Roman" w:hAnsi="Times New Roman" w:cs="Times New Roman"/>
                      <w:spacing w:val="-1"/>
                    </w:rPr>
                    <w:t>线密度偏差率/%</w:t>
                  </w:r>
                </w:p>
              </w:tc>
              <w:tc>
                <w:tcPr>
                  <w:tcW w:w="993" w:type="pct"/>
                  <w:vAlign w:val="center"/>
                </w:tcPr>
                <w:p w14:paraId="2CBEAF91">
                  <w:pPr>
                    <w:pStyle w:val="323"/>
                    <w:spacing w:line="240" w:lineRule="auto"/>
                    <w:jc w:val="center"/>
                    <w:rPr>
                      <w:rFonts w:ascii="Times New Roman" w:hAnsi="Times New Roman" w:cs="Times New Roman"/>
                    </w:rPr>
                  </w:pPr>
                  <w:r>
                    <w:rPr>
                      <w:rFonts w:ascii="Times New Roman" w:hAnsi="Times New Roman" w:cs="Times New Roman"/>
                      <w:spacing w:val="-1"/>
                    </w:rPr>
                    <w:t>±</w:t>
                  </w:r>
                  <w:r>
                    <w:rPr>
                      <w:rFonts w:ascii="Times New Roman" w:hAnsi="Times New Roman" w:cs="Times New Roman"/>
                      <w:spacing w:val="-2"/>
                    </w:rPr>
                    <w:t>2.0</w:t>
                  </w:r>
                </w:p>
              </w:tc>
              <w:tc>
                <w:tcPr>
                  <w:tcW w:w="1038" w:type="pct"/>
                  <w:vAlign w:val="center"/>
                </w:tcPr>
                <w:p w14:paraId="2A6222B9">
                  <w:pPr>
                    <w:pStyle w:val="323"/>
                    <w:spacing w:line="240" w:lineRule="auto"/>
                    <w:jc w:val="center"/>
                    <w:rPr>
                      <w:rFonts w:ascii="Times New Roman" w:hAnsi="Times New Roman" w:cs="Times New Roman"/>
                    </w:rPr>
                  </w:pPr>
                  <w:r>
                    <w:rPr>
                      <w:rFonts w:ascii="Times New Roman" w:hAnsi="Times New Roman" w:cs="Times New Roman"/>
                      <w:spacing w:val="-1"/>
                    </w:rPr>
                    <w:t>±</w:t>
                  </w:r>
                  <w:r>
                    <w:rPr>
                      <w:rFonts w:ascii="Times New Roman" w:hAnsi="Times New Roman" w:cs="Times New Roman"/>
                      <w:spacing w:val="-5"/>
                    </w:rPr>
                    <w:t>2.5</w:t>
                  </w:r>
                </w:p>
              </w:tc>
              <w:tc>
                <w:tcPr>
                  <w:tcW w:w="799" w:type="pct"/>
                  <w:vAlign w:val="center"/>
                </w:tcPr>
                <w:p w14:paraId="11DACCE8">
                  <w:pPr>
                    <w:pStyle w:val="323"/>
                    <w:spacing w:line="240" w:lineRule="auto"/>
                    <w:jc w:val="center"/>
                    <w:rPr>
                      <w:rFonts w:ascii="Times New Roman" w:hAnsi="Times New Roman" w:cs="Times New Roman"/>
                    </w:rPr>
                  </w:pPr>
                  <w:r>
                    <w:rPr>
                      <w:rFonts w:ascii="Times New Roman" w:hAnsi="Times New Roman" w:cs="Times New Roman"/>
                      <w:spacing w:val="-1"/>
                    </w:rPr>
                    <w:t>±</w:t>
                  </w:r>
                  <w:r>
                    <w:rPr>
                      <w:rFonts w:ascii="Times New Roman" w:hAnsi="Times New Roman" w:cs="Times New Roman"/>
                      <w:spacing w:val="-2"/>
                    </w:rPr>
                    <w:t>3.5</w:t>
                  </w:r>
                </w:p>
              </w:tc>
            </w:tr>
            <w:tr w14:paraId="08CA6B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47AF1433">
                  <w:pPr>
                    <w:pStyle w:val="323"/>
                    <w:spacing w:line="240" w:lineRule="auto"/>
                    <w:jc w:val="center"/>
                    <w:rPr>
                      <w:rFonts w:ascii="Times New Roman" w:hAnsi="Times New Roman" w:cs="Times New Roman"/>
                    </w:rPr>
                  </w:pPr>
                  <w:r>
                    <w:rPr>
                      <w:rFonts w:ascii="Times New Roman" w:hAnsi="Times New Roman" w:cs="Times New Roman"/>
                    </w:rPr>
                    <w:t>2</w:t>
                  </w:r>
                </w:p>
              </w:tc>
              <w:tc>
                <w:tcPr>
                  <w:tcW w:w="1751" w:type="pct"/>
                  <w:vAlign w:val="center"/>
                </w:tcPr>
                <w:p w14:paraId="22A6D5DA">
                  <w:pPr>
                    <w:pStyle w:val="323"/>
                    <w:spacing w:line="240" w:lineRule="auto"/>
                    <w:rPr>
                      <w:rFonts w:ascii="Times New Roman" w:hAnsi="Times New Roman" w:cs="Times New Roman"/>
                      <w:lang w:eastAsia="zh-CN"/>
                    </w:rPr>
                  </w:pPr>
                  <w:r>
                    <w:rPr>
                      <w:rFonts w:ascii="Times New Roman" w:hAnsi="Times New Roman" w:cs="Times New Roman"/>
                      <w:spacing w:val="-1"/>
                      <w:lang w:eastAsia="zh-CN"/>
                    </w:rPr>
                    <w:t>线密度变异系数(CV</w:t>
                  </w:r>
                  <w:r>
                    <w:rPr>
                      <w:rFonts w:ascii="Times New Roman" w:hAnsi="Times New Roman" w:cs="Times New Roman"/>
                      <w:spacing w:val="4"/>
                      <w:vertAlign w:val="subscript"/>
                      <w:lang w:eastAsia="zh-CN"/>
                    </w:rPr>
                    <w:t>b</w:t>
                  </w:r>
                  <w:r>
                    <w:rPr>
                      <w:rFonts w:ascii="Times New Roman" w:hAnsi="Times New Roman" w:cs="Times New Roman"/>
                      <w:spacing w:val="-1"/>
                      <w:lang w:eastAsia="zh-CN"/>
                    </w:rPr>
                    <w:t>)/%</w:t>
                  </w:r>
                </w:p>
              </w:tc>
              <w:tc>
                <w:tcPr>
                  <w:tcW w:w="993" w:type="pct"/>
                  <w:vAlign w:val="center"/>
                </w:tcPr>
                <w:p w14:paraId="7566C031">
                  <w:pPr>
                    <w:pStyle w:val="323"/>
                    <w:spacing w:line="240" w:lineRule="auto"/>
                    <w:jc w:val="center"/>
                    <w:rPr>
                      <w:rFonts w:ascii="Times New Roman" w:hAnsi="Times New Roman" w:cs="Times New Roman"/>
                    </w:rPr>
                  </w:pPr>
                  <w:r>
                    <w:rPr>
                      <w:rFonts w:ascii="Times New Roman" w:hAnsi="Times New Roman" w:cs="Times New Roman"/>
                      <w:spacing w:val="-1"/>
                      <w:position w:val="-1"/>
                      <w:lang w:eastAsia="zh-CN"/>
                    </w:rPr>
                    <w:t>≤</w:t>
                  </w:r>
                  <w:r>
                    <w:rPr>
                      <w:rFonts w:ascii="Times New Roman" w:hAnsi="Times New Roman" w:cs="Times New Roman"/>
                      <w:spacing w:val="-3"/>
                    </w:rPr>
                    <w:t>1.20</w:t>
                  </w:r>
                </w:p>
              </w:tc>
              <w:tc>
                <w:tcPr>
                  <w:tcW w:w="1038" w:type="pct"/>
                  <w:vAlign w:val="center"/>
                </w:tcPr>
                <w:p w14:paraId="01E81A41">
                  <w:pPr>
                    <w:pStyle w:val="323"/>
                    <w:spacing w:line="240" w:lineRule="auto"/>
                    <w:jc w:val="center"/>
                    <w:rPr>
                      <w:rFonts w:ascii="Times New Roman" w:hAnsi="Times New Roman" w:cs="Times New Roman"/>
                    </w:rPr>
                  </w:pPr>
                  <w:r>
                    <w:rPr>
                      <w:rFonts w:ascii="Times New Roman" w:hAnsi="Times New Roman" w:cs="Times New Roman"/>
                      <w:spacing w:val="-1"/>
                      <w:position w:val="-1"/>
                      <w:lang w:eastAsia="zh-CN"/>
                    </w:rPr>
                    <w:t>≤</w:t>
                  </w:r>
                  <w:r>
                    <w:rPr>
                      <w:rFonts w:ascii="Times New Roman" w:hAnsi="Times New Roman" w:cs="Times New Roman"/>
                      <w:spacing w:val="-3"/>
                    </w:rPr>
                    <w:t>1.60</w:t>
                  </w:r>
                </w:p>
              </w:tc>
              <w:tc>
                <w:tcPr>
                  <w:tcW w:w="799" w:type="pct"/>
                  <w:vAlign w:val="center"/>
                </w:tcPr>
                <w:p w14:paraId="4043EC3B">
                  <w:pPr>
                    <w:pStyle w:val="323"/>
                    <w:spacing w:line="240" w:lineRule="auto"/>
                    <w:jc w:val="center"/>
                    <w:rPr>
                      <w:rFonts w:ascii="Times New Roman" w:hAnsi="Times New Roman" w:cs="Times New Roman"/>
                    </w:rPr>
                  </w:pPr>
                  <w:r>
                    <w:rPr>
                      <w:rFonts w:ascii="Times New Roman" w:hAnsi="Times New Roman" w:cs="Times New Roman"/>
                      <w:spacing w:val="-1"/>
                      <w:position w:val="-1"/>
                      <w:lang w:eastAsia="zh-CN"/>
                    </w:rPr>
                    <w:t>≤</w:t>
                  </w:r>
                  <w:r>
                    <w:rPr>
                      <w:rFonts w:ascii="Times New Roman" w:hAnsi="Times New Roman" w:cs="Times New Roman"/>
                      <w:spacing w:val="-2"/>
                    </w:rPr>
                    <w:t>2.00</w:t>
                  </w:r>
                </w:p>
              </w:tc>
            </w:tr>
            <w:tr w14:paraId="65308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58816298">
                  <w:pPr>
                    <w:pStyle w:val="323"/>
                    <w:spacing w:line="240" w:lineRule="auto"/>
                    <w:jc w:val="center"/>
                    <w:rPr>
                      <w:rFonts w:ascii="Times New Roman" w:hAnsi="Times New Roman" w:cs="Times New Roman"/>
                    </w:rPr>
                  </w:pPr>
                  <w:r>
                    <w:rPr>
                      <w:rFonts w:ascii="Times New Roman" w:hAnsi="Times New Roman" w:cs="Times New Roman"/>
                    </w:rPr>
                    <w:t>3</w:t>
                  </w:r>
                </w:p>
              </w:tc>
              <w:tc>
                <w:tcPr>
                  <w:tcW w:w="1751" w:type="pct"/>
                  <w:vAlign w:val="center"/>
                </w:tcPr>
                <w:p w14:paraId="76B05415">
                  <w:pPr>
                    <w:pStyle w:val="323"/>
                    <w:spacing w:line="240" w:lineRule="auto"/>
                    <w:rPr>
                      <w:rFonts w:ascii="Times New Roman" w:hAnsi="Times New Roman" w:cs="Times New Roman"/>
                    </w:rPr>
                  </w:pPr>
                  <w:r>
                    <w:rPr>
                      <w:rFonts w:ascii="Times New Roman" w:hAnsi="Times New Roman" w:cs="Times New Roman"/>
                      <w:spacing w:val="3"/>
                    </w:rPr>
                    <w:t>断裂强度/(</w:t>
                  </w:r>
                  <w:r>
                    <w:rPr>
                      <w:rFonts w:ascii="Times New Roman" w:hAnsi="Times New Roman" w:cs="Times New Roman"/>
                    </w:rPr>
                    <w:t>cN</w:t>
                  </w:r>
                  <w:r>
                    <w:rPr>
                      <w:rFonts w:ascii="Times New Roman" w:hAnsi="Times New Roman" w:cs="Times New Roman"/>
                      <w:spacing w:val="3"/>
                    </w:rPr>
                    <w:t>/</w:t>
                  </w:r>
                  <w:r>
                    <w:rPr>
                      <w:rFonts w:ascii="Times New Roman" w:hAnsi="Times New Roman" w:cs="Times New Roman"/>
                    </w:rPr>
                    <w:t>dtex</w:t>
                  </w:r>
                  <w:r>
                    <w:rPr>
                      <w:rFonts w:ascii="Times New Roman" w:hAnsi="Times New Roman" w:cs="Times New Roman"/>
                      <w:spacing w:val="3"/>
                    </w:rPr>
                    <w:t>)</w:t>
                  </w:r>
                </w:p>
              </w:tc>
              <w:tc>
                <w:tcPr>
                  <w:tcW w:w="993" w:type="pct"/>
                  <w:vAlign w:val="center"/>
                </w:tcPr>
                <w:p w14:paraId="659694ED">
                  <w:pPr>
                    <w:pStyle w:val="323"/>
                    <w:spacing w:line="240" w:lineRule="auto"/>
                    <w:jc w:val="center"/>
                    <w:rPr>
                      <w:rFonts w:ascii="Times New Roman" w:hAnsi="Times New Roman" w:cs="Times New Roman"/>
                    </w:rPr>
                  </w:pPr>
                  <w:r>
                    <w:rPr>
                      <w:rFonts w:ascii="Times New Roman" w:hAnsi="Times New Roman" w:cs="Times New Roman"/>
                      <w:spacing w:val="3"/>
                      <w:position w:val="-1"/>
                    </w:rPr>
                    <w:t>≥</w:t>
                  </w:r>
                  <w:r>
                    <w:rPr>
                      <w:rFonts w:ascii="Times New Roman" w:hAnsi="Times New Roman" w:cs="Times New Roman"/>
                      <w:spacing w:val="-2"/>
                    </w:rPr>
                    <w:t>2.80</w:t>
                  </w:r>
                </w:p>
              </w:tc>
              <w:tc>
                <w:tcPr>
                  <w:tcW w:w="1038" w:type="pct"/>
                  <w:vAlign w:val="center"/>
                </w:tcPr>
                <w:p w14:paraId="5CDC2622">
                  <w:pPr>
                    <w:pStyle w:val="323"/>
                    <w:spacing w:line="240" w:lineRule="auto"/>
                    <w:jc w:val="center"/>
                    <w:rPr>
                      <w:rFonts w:ascii="Times New Roman" w:hAnsi="Times New Roman" w:cs="Times New Roman"/>
                    </w:rPr>
                  </w:pPr>
                  <w:r>
                    <w:rPr>
                      <w:rFonts w:ascii="Times New Roman" w:hAnsi="Times New Roman" w:cs="Times New Roman"/>
                      <w:spacing w:val="3"/>
                      <w:position w:val="-1"/>
                    </w:rPr>
                    <w:t>≥</w:t>
                  </w:r>
                  <w:r>
                    <w:rPr>
                      <w:rFonts w:ascii="Times New Roman" w:hAnsi="Times New Roman" w:cs="Times New Roman"/>
                      <w:spacing w:val="-2"/>
                    </w:rPr>
                    <w:t>2.50</w:t>
                  </w:r>
                </w:p>
              </w:tc>
              <w:tc>
                <w:tcPr>
                  <w:tcW w:w="799" w:type="pct"/>
                  <w:vAlign w:val="center"/>
                </w:tcPr>
                <w:p w14:paraId="04AFBE9F">
                  <w:pPr>
                    <w:pStyle w:val="323"/>
                    <w:spacing w:line="240" w:lineRule="auto"/>
                    <w:jc w:val="center"/>
                    <w:rPr>
                      <w:rFonts w:ascii="Times New Roman" w:hAnsi="Times New Roman" w:cs="Times New Roman"/>
                    </w:rPr>
                  </w:pPr>
                  <w:r>
                    <w:rPr>
                      <w:rFonts w:ascii="Times New Roman" w:hAnsi="Times New Roman" w:cs="Times New Roman"/>
                      <w:spacing w:val="3"/>
                      <w:position w:val="-1"/>
                    </w:rPr>
                    <w:t>≥</w:t>
                  </w:r>
                  <w:r>
                    <w:rPr>
                      <w:rFonts w:ascii="Times New Roman" w:hAnsi="Times New Roman" w:cs="Times New Roman"/>
                      <w:spacing w:val="-2"/>
                    </w:rPr>
                    <w:t>2.30</w:t>
                  </w:r>
                </w:p>
              </w:tc>
            </w:tr>
            <w:tr w14:paraId="41E0E1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127EF0A5">
                  <w:pPr>
                    <w:pStyle w:val="323"/>
                    <w:spacing w:line="240" w:lineRule="auto"/>
                    <w:jc w:val="center"/>
                    <w:rPr>
                      <w:rFonts w:ascii="Times New Roman" w:hAnsi="Times New Roman" w:cs="Times New Roman"/>
                    </w:rPr>
                  </w:pPr>
                  <w:r>
                    <w:rPr>
                      <w:rFonts w:ascii="Times New Roman" w:hAnsi="Times New Roman" w:cs="Times New Roman"/>
                    </w:rPr>
                    <w:t>4</w:t>
                  </w:r>
                </w:p>
              </w:tc>
              <w:tc>
                <w:tcPr>
                  <w:tcW w:w="1751" w:type="pct"/>
                  <w:vAlign w:val="center"/>
                </w:tcPr>
                <w:p w14:paraId="2AE2B04D">
                  <w:pPr>
                    <w:pStyle w:val="323"/>
                    <w:spacing w:line="240" w:lineRule="auto"/>
                    <w:rPr>
                      <w:rFonts w:ascii="Times New Roman" w:hAnsi="Times New Roman" w:cs="Times New Roman"/>
                      <w:lang w:eastAsia="zh-CN"/>
                    </w:rPr>
                  </w:pPr>
                  <w:r>
                    <w:rPr>
                      <w:rFonts w:ascii="Times New Roman" w:hAnsi="Times New Roman" w:cs="Times New Roman"/>
                      <w:spacing w:val="5"/>
                      <w:lang w:eastAsia="zh-CN"/>
                    </w:rPr>
                    <w:t>断裂强度变异系数(</w:t>
                  </w:r>
                  <w:r>
                    <w:rPr>
                      <w:rFonts w:ascii="Times New Roman" w:hAnsi="Times New Roman" w:cs="Times New Roman"/>
                      <w:lang w:eastAsia="zh-CN"/>
                    </w:rPr>
                    <w:t>CV</w:t>
                  </w:r>
                  <w:r>
                    <w:rPr>
                      <w:rFonts w:ascii="Times New Roman" w:hAnsi="Times New Roman" w:cs="Times New Roman"/>
                      <w:spacing w:val="4"/>
                      <w:vertAlign w:val="subscript"/>
                      <w:lang w:eastAsia="zh-CN"/>
                    </w:rPr>
                    <w:t>b</w:t>
                  </w:r>
                  <w:r>
                    <w:rPr>
                      <w:rFonts w:ascii="Times New Roman" w:hAnsi="Times New Roman" w:cs="Times New Roman"/>
                      <w:spacing w:val="5"/>
                      <w:lang w:eastAsia="zh-CN"/>
                    </w:rPr>
                    <w:t>)/%</w:t>
                  </w:r>
                </w:p>
              </w:tc>
              <w:tc>
                <w:tcPr>
                  <w:tcW w:w="993" w:type="pct"/>
                  <w:vAlign w:val="center"/>
                </w:tcPr>
                <w:p w14:paraId="559242F4">
                  <w:pPr>
                    <w:jc w:val="center"/>
                    <w:rPr>
                      <w:szCs w:val="21"/>
                    </w:rPr>
                  </w:pPr>
                  <w:r>
                    <w:rPr>
                      <w:szCs w:val="21"/>
                    </w:rPr>
                    <w:t>≤</w:t>
                  </w:r>
                  <w:r>
                    <w:rPr>
                      <w:spacing w:val="-2"/>
                      <w:szCs w:val="21"/>
                    </w:rPr>
                    <w:t>5.00</w:t>
                  </w:r>
                </w:p>
              </w:tc>
              <w:tc>
                <w:tcPr>
                  <w:tcW w:w="1038" w:type="pct"/>
                  <w:vAlign w:val="center"/>
                </w:tcPr>
                <w:p w14:paraId="671F6155">
                  <w:pPr>
                    <w:pStyle w:val="323"/>
                    <w:spacing w:line="240" w:lineRule="auto"/>
                    <w:jc w:val="center"/>
                    <w:rPr>
                      <w:rFonts w:ascii="Times New Roman" w:hAnsi="Times New Roman" w:cs="Times New Roman"/>
                    </w:rPr>
                  </w:pPr>
                  <w:r>
                    <w:rPr>
                      <w:rFonts w:ascii="Times New Roman" w:hAnsi="Times New Roman" w:cs="Times New Roman"/>
                      <w:lang w:eastAsia="zh-CN"/>
                    </w:rPr>
                    <w:t>≤</w:t>
                  </w:r>
                  <w:r>
                    <w:rPr>
                      <w:rFonts w:ascii="Times New Roman" w:hAnsi="Times New Roman" w:cs="Times New Roman"/>
                      <w:spacing w:val="-2"/>
                    </w:rPr>
                    <w:t>6.00</w:t>
                  </w:r>
                </w:p>
              </w:tc>
              <w:tc>
                <w:tcPr>
                  <w:tcW w:w="799" w:type="pct"/>
                  <w:vAlign w:val="center"/>
                </w:tcPr>
                <w:p w14:paraId="39E5D9CA">
                  <w:pPr>
                    <w:pStyle w:val="323"/>
                    <w:spacing w:line="240" w:lineRule="auto"/>
                    <w:jc w:val="center"/>
                    <w:rPr>
                      <w:rFonts w:ascii="Times New Roman" w:hAnsi="Times New Roman" w:cs="Times New Roman"/>
                    </w:rPr>
                  </w:pPr>
                  <w:r>
                    <w:rPr>
                      <w:rFonts w:ascii="Times New Roman" w:hAnsi="Times New Roman" w:cs="Times New Roman"/>
                      <w:lang w:eastAsia="zh-CN"/>
                    </w:rPr>
                    <w:t>≤</w:t>
                  </w:r>
                  <w:r>
                    <w:rPr>
                      <w:rFonts w:ascii="Times New Roman" w:hAnsi="Times New Roman" w:cs="Times New Roman"/>
                      <w:spacing w:val="-2"/>
                    </w:rPr>
                    <w:t>8.00</w:t>
                  </w:r>
                </w:p>
              </w:tc>
            </w:tr>
            <w:tr w14:paraId="1D625A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6B26217C">
                  <w:pPr>
                    <w:pStyle w:val="323"/>
                    <w:spacing w:line="240" w:lineRule="auto"/>
                    <w:jc w:val="center"/>
                    <w:rPr>
                      <w:rFonts w:ascii="Times New Roman" w:hAnsi="Times New Roman" w:cs="Times New Roman"/>
                    </w:rPr>
                  </w:pPr>
                  <w:r>
                    <w:rPr>
                      <w:rFonts w:ascii="Times New Roman" w:hAnsi="Times New Roman" w:cs="Times New Roman"/>
                    </w:rPr>
                    <w:t>5</w:t>
                  </w:r>
                </w:p>
              </w:tc>
              <w:tc>
                <w:tcPr>
                  <w:tcW w:w="1751" w:type="pct"/>
                  <w:vAlign w:val="center"/>
                </w:tcPr>
                <w:p w14:paraId="30DF7E9F">
                  <w:pPr>
                    <w:pStyle w:val="323"/>
                    <w:spacing w:line="240" w:lineRule="auto"/>
                    <w:rPr>
                      <w:rFonts w:ascii="Times New Roman" w:hAnsi="Times New Roman" w:cs="Times New Roman"/>
                    </w:rPr>
                  </w:pPr>
                  <w:r>
                    <w:rPr>
                      <w:rFonts w:ascii="Times New Roman" w:hAnsi="Times New Roman" w:cs="Times New Roman"/>
                      <w:spacing w:val="-2"/>
                    </w:rPr>
                    <w:t>断裂伸长率/%</w:t>
                  </w:r>
                </w:p>
              </w:tc>
              <w:tc>
                <w:tcPr>
                  <w:tcW w:w="993" w:type="pct"/>
                  <w:vAlign w:val="center"/>
                </w:tcPr>
                <w:p w14:paraId="090954E2">
                  <w:pPr>
                    <w:pStyle w:val="323"/>
                    <w:spacing w:line="240" w:lineRule="auto"/>
                    <w:jc w:val="center"/>
                    <w:rPr>
                      <w:rFonts w:ascii="Times New Roman" w:hAnsi="Times New Roman" w:cs="Times New Roman"/>
                    </w:rPr>
                  </w:pPr>
                  <w:r>
                    <w:rPr>
                      <w:rFonts w:ascii="Times New Roman" w:hAnsi="Times New Roman" w:cs="Times New Roman"/>
                      <w:spacing w:val="-1"/>
                    </w:rPr>
                    <w:t>M</w:t>
                  </w:r>
                  <w:r>
                    <w:rPr>
                      <w:rFonts w:ascii="Times New Roman" w:hAnsi="Times New Roman" w:cs="Times New Roman"/>
                      <w:spacing w:val="-1"/>
                      <w:vertAlign w:val="subscript"/>
                      <w:lang w:eastAsia="zh-CN"/>
                    </w:rPr>
                    <w:t>1</w:t>
                  </w:r>
                  <w:r>
                    <w:rPr>
                      <w:rFonts w:ascii="Times New Roman" w:hAnsi="Times New Roman" w:cs="Times New Roman"/>
                      <w:spacing w:val="-1"/>
                      <w:vertAlign w:val="superscript"/>
                      <w:lang w:eastAsia="zh-CN"/>
                    </w:rPr>
                    <w:t>a</w:t>
                  </w:r>
                  <w:r>
                    <w:rPr>
                      <w:rFonts w:ascii="Times New Roman" w:hAnsi="Times New Roman" w:cs="Times New Roman"/>
                      <w:spacing w:val="-1"/>
                    </w:rPr>
                    <w:t>±5.0</w:t>
                  </w:r>
                </w:p>
              </w:tc>
              <w:tc>
                <w:tcPr>
                  <w:tcW w:w="1038" w:type="pct"/>
                  <w:vAlign w:val="center"/>
                </w:tcPr>
                <w:p w14:paraId="460A21A4">
                  <w:pPr>
                    <w:pStyle w:val="323"/>
                    <w:spacing w:line="240" w:lineRule="auto"/>
                    <w:jc w:val="center"/>
                    <w:rPr>
                      <w:rFonts w:ascii="Times New Roman" w:hAnsi="Times New Roman" w:cs="Times New Roman"/>
                    </w:rPr>
                  </w:pPr>
                  <w:r>
                    <w:rPr>
                      <w:rFonts w:ascii="Times New Roman" w:hAnsi="Times New Roman" w:cs="Times New Roman"/>
                      <w:spacing w:val="-1"/>
                    </w:rPr>
                    <w:t>M</w:t>
                  </w:r>
                  <w:r>
                    <w:rPr>
                      <w:rFonts w:ascii="Times New Roman" w:hAnsi="Times New Roman" w:cs="Times New Roman"/>
                      <w:spacing w:val="-1"/>
                      <w:vertAlign w:val="subscript"/>
                      <w:lang w:eastAsia="zh-CN"/>
                    </w:rPr>
                    <w:t>1</w:t>
                  </w:r>
                  <w:r>
                    <w:rPr>
                      <w:rFonts w:ascii="Times New Roman" w:hAnsi="Times New Roman" w:cs="Times New Roman"/>
                      <w:spacing w:val="-1"/>
                      <w:vertAlign w:val="superscript"/>
                      <w:lang w:eastAsia="zh-CN"/>
                    </w:rPr>
                    <w:t>a</w:t>
                  </w:r>
                  <w:r>
                    <w:rPr>
                      <w:rFonts w:ascii="Times New Roman" w:hAnsi="Times New Roman" w:cs="Times New Roman"/>
                      <w:spacing w:val="-1"/>
                    </w:rPr>
                    <w:t>±7.0</w:t>
                  </w:r>
                </w:p>
              </w:tc>
              <w:tc>
                <w:tcPr>
                  <w:tcW w:w="799" w:type="pct"/>
                  <w:vAlign w:val="center"/>
                </w:tcPr>
                <w:p w14:paraId="0DB96B9F">
                  <w:pPr>
                    <w:pStyle w:val="323"/>
                    <w:spacing w:line="240" w:lineRule="auto"/>
                    <w:jc w:val="center"/>
                    <w:rPr>
                      <w:rFonts w:ascii="Times New Roman" w:hAnsi="Times New Roman" w:cs="Times New Roman"/>
                    </w:rPr>
                  </w:pPr>
                  <w:r>
                    <w:rPr>
                      <w:rFonts w:ascii="Times New Roman" w:hAnsi="Times New Roman" w:cs="Times New Roman"/>
                      <w:spacing w:val="-1"/>
                    </w:rPr>
                    <w:t>M</w:t>
                  </w:r>
                  <w:r>
                    <w:rPr>
                      <w:rFonts w:ascii="Times New Roman" w:hAnsi="Times New Roman" w:cs="Times New Roman"/>
                      <w:spacing w:val="-1"/>
                      <w:vertAlign w:val="subscript"/>
                      <w:lang w:eastAsia="zh-CN"/>
                    </w:rPr>
                    <w:t>1</w:t>
                  </w:r>
                  <w:r>
                    <w:rPr>
                      <w:rFonts w:ascii="Times New Roman" w:hAnsi="Times New Roman" w:cs="Times New Roman"/>
                      <w:spacing w:val="-1"/>
                      <w:vertAlign w:val="superscript"/>
                      <w:lang w:eastAsia="zh-CN"/>
                    </w:rPr>
                    <w:t>a</w:t>
                  </w:r>
                  <w:r>
                    <w:rPr>
                      <w:rFonts w:ascii="Times New Roman" w:hAnsi="Times New Roman" w:cs="Times New Roman"/>
                      <w:spacing w:val="-1"/>
                    </w:rPr>
                    <w:t>±9.0</w:t>
                  </w:r>
                </w:p>
              </w:tc>
            </w:tr>
            <w:tr w14:paraId="3B77BB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6135B822">
                  <w:pPr>
                    <w:pStyle w:val="323"/>
                    <w:spacing w:line="240" w:lineRule="auto"/>
                    <w:jc w:val="center"/>
                    <w:rPr>
                      <w:rFonts w:ascii="Times New Roman" w:hAnsi="Times New Roman" w:cs="Times New Roman"/>
                    </w:rPr>
                  </w:pPr>
                  <w:r>
                    <w:rPr>
                      <w:rFonts w:ascii="Times New Roman" w:hAnsi="Times New Roman" w:cs="Times New Roman"/>
                    </w:rPr>
                    <w:t>6</w:t>
                  </w:r>
                </w:p>
              </w:tc>
              <w:tc>
                <w:tcPr>
                  <w:tcW w:w="1751" w:type="pct"/>
                  <w:vAlign w:val="center"/>
                </w:tcPr>
                <w:p w14:paraId="64E5EAEF">
                  <w:pPr>
                    <w:pStyle w:val="323"/>
                    <w:spacing w:line="240" w:lineRule="auto"/>
                    <w:rPr>
                      <w:rFonts w:ascii="Times New Roman" w:hAnsi="Times New Roman" w:cs="Times New Roman"/>
                      <w:lang w:eastAsia="zh-CN"/>
                    </w:rPr>
                  </w:pPr>
                  <w:r>
                    <w:rPr>
                      <w:rFonts w:ascii="Times New Roman" w:hAnsi="Times New Roman" w:cs="Times New Roman"/>
                      <w:spacing w:val="4"/>
                      <w:lang w:eastAsia="zh-CN"/>
                    </w:rPr>
                    <w:t>断裂伸长率变异系数(</w:t>
                  </w:r>
                  <w:r>
                    <w:rPr>
                      <w:rFonts w:ascii="Times New Roman" w:hAnsi="Times New Roman" w:cs="Times New Roman"/>
                      <w:lang w:eastAsia="zh-CN"/>
                    </w:rPr>
                    <w:t>CV</w:t>
                  </w:r>
                  <w:r>
                    <w:rPr>
                      <w:rFonts w:ascii="Times New Roman" w:hAnsi="Times New Roman" w:cs="Times New Roman"/>
                      <w:spacing w:val="4"/>
                      <w:vertAlign w:val="subscript"/>
                      <w:lang w:eastAsia="zh-CN"/>
                    </w:rPr>
                    <w:t>b</w:t>
                  </w:r>
                  <w:r>
                    <w:rPr>
                      <w:rFonts w:ascii="Times New Roman" w:hAnsi="Times New Roman" w:cs="Times New Roman"/>
                      <w:spacing w:val="4"/>
                      <w:lang w:eastAsia="zh-CN"/>
                    </w:rPr>
                    <w:t>)/%</w:t>
                  </w:r>
                </w:p>
              </w:tc>
              <w:tc>
                <w:tcPr>
                  <w:tcW w:w="993" w:type="pct"/>
                  <w:vAlign w:val="center"/>
                </w:tcPr>
                <w:p w14:paraId="6372B2F5">
                  <w:pPr>
                    <w:pStyle w:val="323"/>
                    <w:spacing w:line="240" w:lineRule="auto"/>
                    <w:jc w:val="center"/>
                    <w:rPr>
                      <w:rFonts w:ascii="Times New Roman" w:hAnsi="Times New Roman" w:cs="Times New Roman"/>
                    </w:rPr>
                  </w:pPr>
                  <w:r>
                    <w:rPr>
                      <w:rFonts w:ascii="Times New Roman" w:hAnsi="Times New Roman" w:cs="Times New Roman"/>
                      <w:spacing w:val="3"/>
                      <w:lang w:eastAsia="zh-CN"/>
                    </w:rPr>
                    <w:t>≤</w:t>
                  </w:r>
                  <w:r>
                    <w:rPr>
                      <w:rFonts w:ascii="Times New Roman" w:hAnsi="Times New Roman" w:cs="Times New Roman"/>
                      <w:spacing w:val="-2"/>
                    </w:rPr>
                    <w:t>6.00</w:t>
                  </w:r>
                </w:p>
              </w:tc>
              <w:tc>
                <w:tcPr>
                  <w:tcW w:w="1038" w:type="pct"/>
                  <w:vAlign w:val="center"/>
                </w:tcPr>
                <w:p w14:paraId="42483C91">
                  <w:pPr>
                    <w:pStyle w:val="323"/>
                    <w:spacing w:line="240" w:lineRule="auto"/>
                    <w:jc w:val="center"/>
                    <w:rPr>
                      <w:rFonts w:ascii="Times New Roman" w:hAnsi="Times New Roman" w:cs="Times New Roman"/>
                    </w:rPr>
                  </w:pPr>
                  <w:r>
                    <w:rPr>
                      <w:rFonts w:ascii="Times New Roman" w:hAnsi="Times New Roman" w:cs="Times New Roman"/>
                      <w:spacing w:val="3"/>
                      <w:lang w:eastAsia="zh-CN"/>
                    </w:rPr>
                    <w:t>≤</w:t>
                  </w:r>
                  <w:r>
                    <w:rPr>
                      <w:rFonts w:ascii="Times New Roman" w:hAnsi="Times New Roman" w:cs="Times New Roman"/>
                      <w:spacing w:val="-2"/>
                    </w:rPr>
                    <w:t>8.00</w:t>
                  </w:r>
                </w:p>
              </w:tc>
              <w:tc>
                <w:tcPr>
                  <w:tcW w:w="799" w:type="pct"/>
                  <w:vAlign w:val="center"/>
                </w:tcPr>
                <w:p w14:paraId="68485F2A">
                  <w:pPr>
                    <w:pStyle w:val="323"/>
                    <w:spacing w:line="240" w:lineRule="auto"/>
                    <w:jc w:val="center"/>
                    <w:rPr>
                      <w:rFonts w:ascii="Times New Roman" w:hAnsi="Times New Roman" w:cs="Times New Roman"/>
                    </w:rPr>
                  </w:pPr>
                  <w:r>
                    <w:rPr>
                      <w:rFonts w:ascii="Times New Roman" w:hAnsi="Times New Roman" w:cs="Times New Roman"/>
                      <w:spacing w:val="3"/>
                      <w:lang w:eastAsia="zh-CN"/>
                    </w:rPr>
                    <w:t>≤</w:t>
                  </w:r>
                  <w:r>
                    <w:rPr>
                      <w:rFonts w:ascii="Times New Roman" w:hAnsi="Times New Roman" w:cs="Times New Roman"/>
                      <w:spacing w:val="-3"/>
                    </w:rPr>
                    <w:t>10.00</w:t>
                  </w:r>
                </w:p>
              </w:tc>
            </w:tr>
            <w:tr w14:paraId="516DB5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7B72567B">
                  <w:pPr>
                    <w:pStyle w:val="323"/>
                    <w:spacing w:line="240" w:lineRule="auto"/>
                    <w:jc w:val="center"/>
                    <w:rPr>
                      <w:rFonts w:ascii="Times New Roman" w:hAnsi="Times New Roman" w:cs="Times New Roman"/>
                    </w:rPr>
                  </w:pPr>
                  <w:r>
                    <w:rPr>
                      <w:rFonts w:ascii="Times New Roman" w:hAnsi="Times New Roman" w:cs="Times New Roman"/>
                    </w:rPr>
                    <w:t>7</w:t>
                  </w:r>
                </w:p>
              </w:tc>
              <w:tc>
                <w:tcPr>
                  <w:tcW w:w="1751" w:type="pct"/>
                  <w:vAlign w:val="center"/>
                </w:tcPr>
                <w:p w14:paraId="6C6C9A87">
                  <w:pPr>
                    <w:pStyle w:val="323"/>
                    <w:spacing w:line="240" w:lineRule="auto"/>
                    <w:rPr>
                      <w:rFonts w:ascii="Times New Roman" w:hAnsi="Times New Roman" w:cs="Times New Roman"/>
                    </w:rPr>
                  </w:pPr>
                  <w:r>
                    <w:rPr>
                      <w:rFonts w:ascii="Times New Roman" w:hAnsi="Times New Roman" w:cs="Times New Roman"/>
                      <w:spacing w:val="-1"/>
                    </w:rPr>
                    <w:t>条干不匀率(CV</w:t>
                  </w:r>
                  <w:r>
                    <w:rPr>
                      <w:rFonts w:ascii="Times New Roman" w:hAnsi="Times New Roman" w:cs="Times New Roman"/>
                      <w:spacing w:val="-1"/>
                      <w:lang w:eastAsia="zh-CN"/>
                    </w:rPr>
                    <w:t>）</w:t>
                  </w:r>
                  <w:r>
                    <w:rPr>
                      <w:rFonts w:ascii="Times New Roman" w:hAnsi="Times New Roman" w:cs="Times New Roman"/>
                      <w:spacing w:val="-1"/>
                    </w:rPr>
                    <w:t>/%</w:t>
                  </w:r>
                </w:p>
              </w:tc>
              <w:tc>
                <w:tcPr>
                  <w:tcW w:w="993" w:type="pct"/>
                  <w:vAlign w:val="center"/>
                </w:tcPr>
                <w:p w14:paraId="1D7111F9">
                  <w:pPr>
                    <w:pStyle w:val="323"/>
                    <w:spacing w:line="240" w:lineRule="auto"/>
                    <w:jc w:val="center"/>
                    <w:rPr>
                      <w:rFonts w:ascii="Times New Roman" w:hAnsi="Times New Roman" w:cs="Times New Roman"/>
                    </w:rPr>
                  </w:pPr>
                  <w:r>
                    <w:rPr>
                      <w:rFonts w:ascii="Times New Roman" w:hAnsi="Times New Roman" w:cs="Times New Roman"/>
                      <w:spacing w:val="-1"/>
                    </w:rPr>
                    <w:t>≤</w:t>
                  </w:r>
                  <w:r>
                    <w:rPr>
                      <w:rFonts w:ascii="Times New Roman" w:hAnsi="Times New Roman" w:cs="Times New Roman"/>
                      <w:spacing w:val="-3"/>
                    </w:rPr>
                    <w:t>1.40</w:t>
                  </w:r>
                </w:p>
              </w:tc>
              <w:tc>
                <w:tcPr>
                  <w:tcW w:w="1038" w:type="pct"/>
                  <w:vAlign w:val="center"/>
                </w:tcPr>
                <w:p w14:paraId="15CB4AB6">
                  <w:pPr>
                    <w:pStyle w:val="323"/>
                    <w:spacing w:line="240" w:lineRule="auto"/>
                    <w:jc w:val="center"/>
                    <w:rPr>
                      <w:rFonts w:ascii="Times New Roman" w:hAnsi="Times New Roman" w:cs="Times New Roman"/>
                    </w:rPr>
                  </w:pPr>
                  <w:r>
                    <w:rPr>
                      <w:rFonts w:ascii="Times New Roman" w:hAnsi="Times New Roman" w:cs="Times New Roman"/>
                      <w:spacing w:val="-1"/>
                    </w:rPr>
                    <w:t>≤</w:t>
                  </w:r>
                  <w:r>
                    <w:rPr>
                      <w:rFonts w:ascii="Times New Roman" w:hAnsi="Times New Roman" w:cs="Times New Roman"/>
                      <w:spacing w:val="-3"/>
                    </w:rPr>
                    <w:t>1.70</w:t>
                  </w:r>
                </w:p>
              </w:tc>
              <w:tc>
                <w:tcPr>
                  <w:tcW w:w="799" w:type="pct"/>
                  <w:vAlign w:val="center"/>
                </w:tcPr>
                <w:p w14:paraId="32FDE602">
                  <w:pPr>
                    <w:pStyle w:val="323"/>
                    <w:spacing w:line="240" w:lineRule="auto"/>
                    <w:jc w:val="center"/>
                    <w:rPr>
                      <w:rFonts w:ascii="Times New Roman" w:hAnsi="Times New Roman" w:cs="Times New Roman"/>
                    </w:rPr>
                  </w:pPr>
                  <w:r>
                    <w:rPr>
                      <w:rFonts w:ascii="Times New Roman" w:hAnsi="Times New Roman" w:cs="Times New Roman"/>
                      <w:spacing w:val="-1"/>
                    </w:rPr>
                    <w:t>≤</w:t>
                  </w:r>
                  <w:r>
                    <w:rPr>
                      <w:rFonts w:ascii="Times New Roman" w:hAnsi="Times New Roman" w:cs="Times New Roman"/>
                      <w:spacing w:val="-2"/>
                    </w:rPr>
                    <w:t>2.00</w:t>
                  </w:r>
                </w:p>
              </w:tc>
            </w:tr>
            <w:tr w14:paraId="287D14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78E8AE04">
                  <w:pPr>
                    <w:pStyle w:val="323"/>
                    <w:spacing w:line="240" w:lineRule="auto"/>
                    <w:jc w:val="center"/>
                    <w:rPr>
                      <w:rFonts w:ascii="Times New Roman" w:hAnsi="Times New Roman" w:cs="Times New Roman"/>
                    </w:rPr>
                  </w:pPr>
                  <w:r>
                    <w:rPr>
                      <w:rFonts w:ascii="Times New Roman" w:hAnsi="Times New Roman" w:cs="Times New Roman"/>
                    </w:rPr>
                    <w:t>8</w:t>
                  </w:r>
                </w:p>
              </w:tc>
              <w:tc>
                <w:tcPr>
                  <w:tcW w:w="1751" w:type="pct"/>
                  <w:vAlign w:val="center"/>
                </w:tcPr>
                <w:p w14:paraId="1168D1C2">
                  <w:pPr>
                    <w:pStyle w:val="323"/>
                    <w:spacing w:line="240" w:lineRule="auto"/>
                    <w:rPr>
                      <w:rFonts w:ascii="Times New Roman" w:hAnsi="Times New Roman" w:cs="Times New Roman"/>
                    </w:rPr>
                  </w:pPr>
                  <w:r>
                    <w:rPr>
                      <w:rFonts w:ascii="Times New Roman" w:hAnsi="Times New Roman" w:cs="Times New Roman"/>
                      <w:spacing w:val="-1"/>
                    </w:rPr>
                    <w:t>含油率/%</w:t>
                  </w:r>
                </w:p>
              </w:tc>
              <w:tc>
                <w:tcPr>
                  <w:tcW w:w="2830" w:type="pct"/>
                  <w:gridSpan w:val="3"/>
                  <w:vAlign w:val="center"/>
                </w:tcPr>
                <w:p w14:paraId="7D43AE27">
                  <w:pPr>
                    <w:pStyle w:val="323"/>
                    <w:spacing w:line="240" w:lineRule="auto"/>
                    <w:jc w:val="center"/>
                    <w:rPr>
                      <w:rFonts w:ascii="Times New Roman" w:hAnsi="Times New Roman" w:cs="Times New Roman"/>
                    </w:rPr>
                  </w:pPr>
                  <w:r>
                    <w:rPr>
                      <w:rFonts w:ascii="Times New Roman" w:hAnsi="Times New Roman" w:cs="Times New Roman"/>
                      <w:spacing w:val="-3"/>
                    </w:rPr>
                    <w:t>M₂</w:t>
                  </w:r>
                  <w:r>
                    <w:rPr>
                      <w:rFonts w:ascii="Times New Roman" w:hAnsi="Times New Roman" w:cs="Times New Roman"/>
                      <w:spacing w:val="-3"/>
                      <w:vertAlign w:val="superscript"/>
                      <w:lang w:eastAsia="zh-CN"/>
                    </w:rPr>
                    <w:t>b</w:t>
                  </w:r>
                  <w:r>
                    <w:rPr>
                      <w:rFonts w:ascii="Times New Roman" w:hAnsi="Times New Roman" w:cs="Times New Roman"/>
                      <w:spacing w:val="-8"/>
                    </w:rPr>
                    <w:t xml:space="preserve"> </w:t>
                  </w:r>
                  <w:r>
                    <w:rPr>
                      <w:rFonts w:ascii="Times New Roman" w:hAnsi="Times New Roman" w:cs="Times New Roman"/>
                      <w:spacing w:val="-3"/>
                    </w:rPr>
                    <w:t>±0.15</w:t>
                  </w:r>
                </w:p>
              </w:tc>
            </w:tr>
            <w:tr w14:paraId="5F9872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618BB999">
                  <w:pPr>
                    <w:pStyle w:val="323"/>
                    <w:spacing w:line="240" w:lineRule="auto"/>
                    <w:jc w:val="center"/>
                    <w:rPr>
                      <w:rFonts w:ascii="Times New Roman" w:hAnsi="Times New Roman" w:cs="Times New Roman"/>
                    </w:rPr>
                  </w:pPr>
                  <w:r>
                    <w:rPr>
                      <w:rFonts w:ascii="Times New Roman" w:hAnsi="Times New Roman" w:cs="Times New Roman"/>
                    </w:rPr>
                    <w:t>9</w:t>
                  </w:r>
                </w:p>
              </w:tc>
              <w:tc>
                <w:tcPr>
                  <w:tcW w:w="1751" w:type="pct"/>
                  <w:vAlign w:val="center"/>
                </w:tcPr>
                <w:p w14:paraId="485C0D21">
                  <w:pPr>
                    <w:pStyle w:val="323"/>
                    <w:spacing w:line="240" w:lineRule="auto"/>
                    <w:rPr>
                      <w:rFonts w:ascii="Times New Roman" w:hAnsi="Times New Roman" w:cs="Times New Roman"/>
                    </w:rPr>
                  </w:pPr>
                  <w:r>
                    <w:rPr>
                      <w:rFonts w:ascii="Times New Roman" w:hAnsi="Times New Roman" w:cs="Times New Roman"/>
                      <w:spacing w:val="-2"/>
                    </w:rPr>
                    <w:t>筒重/kg</w:t>
                  </w:r>
                </w:p>
              </w:tc>
              <w:tc>
                <w:tcPr>
                  <w:tcW w:w="993" w:type="pct"/>
                  <w:vAlign w:val="center"/>
                </w:tcPr>
                <w:p w14:paraId="0E709012">
                  <w:pPr>
                    <w:pStyle w:val="323"/>
                    <w:spacing w:line="240" w:lineRule="auto"/>
                    <w:jc w:val="center"/>
                    <w:rPr>
                      <w:rFonts w:ascii="Times New Roman" w:hAnsi="Times New Roman" w:cs="Times New Roman"/>
                    </w:rPr>
                  </w:pPr>
                  <w:r>
                    <w:rPr>
                      <w:rFonts w:ascii="Times New Roman" w:hAnsi="Times New Roman" w:cs="Times New Roman"/>
                      <w:spacing w:val="-2"/>
                    </w:rPr>
                    <w:t>定重或定长</w:t>
                  </w:r>
                </w:p>
              </w:tc>
              <w:tc>
                <w:tcPr>
                  <w:tcW w:w="1038" w:type="pct"/>
                  <w:vAlign w:val="center"/>
                </w:tcPr>
                <w:p w14:paraId="0F53B74B">
                  <w:pPr>
                    <w:pStyle w:val="323"/>
                    <w:spacing w:line="240" w:lineRule="auto"/>
                    <w:jc w:val="center"/>
                    <w:rPr>
                      <w:rFonts w:ascii="Times New Roman" w:hAnsi="Times New Roman" w:cs="Times New Roman"/>
                    </w:rPr>
                  </w:pPr>
                  <w:r>
                    <w:rPr>
                      <w:rFonts w:ascii="Times New Roman" w:hAnsi="Times New Roman" w:cs="Times New Roman"/>
                      <w:spacing w:val="-5"/>
                    </w:rPr>
                    <w:t>≥5.0</w:t>
                  </w:r>
                </w:p>
              </w:tc>
              <w:tc>
                <w:tcPr>
                  <w:tcW w:w="799" w:type="pct"/>
                  <w:vAlign w:val="center"/>
                </w:tcPr>
                <w:p w14:paraId="19AB66EE">
                  <w:pPr>
                    <w:pStyle w:val="323"/>
                    <w:spacing w:line="240" w:lineRule="auto"/>
                    <w:jc w:val="center"/>
                    <w:rPr>
                      <w:rFonts w:ascii="Times New Roman" w:hAnsi="Times New Roman" w:cs="Times New Roman"/>
                    </w:rPr>
                  </w:pPr>
                  <w:r>
                    <w:rPr>
                      <w:rFonts w:ascii="Times New Roman" w:hAnsi="Times New Roman" w:cs="Times New Roman"/>
                      <w:spacing w:val="-5"/>
                    </w:rPr>
                    <w:t>≥1.0</w:t>
                  </w:r>
                </w:p>
              </w:tc>
            </w:tr>
            <w:tr w14:paraId="1108D8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vAlign w:val="center"/>
                </w:tcPr>
                <w:p w14:paraId="76603D1F">
                  <w:pPr>
                    <w:pStyle w:val="323"/>
                    <w:spacing w:line="240" w:lineRule="auto"/>
                    <w:rPr>
                      <w:rFonts w:ascii="Times New Roman" w:hAnsi="Times New Roman" w:cs="Times New Roman"/>
                      <w:lang w:eastAsia="zh-CN"/>
                    </w:rPr>
                  </w:pPr>
                  <w:r>
                    <w:rPr>
                      <w:rFonts w:ascii="Times New Roman" w:hAnsi="Times New Roman" w:cs="Times New Roman"/>
                      <w:spacing w:val="1"/>
                      <w:vertAlign w:val="superscript"/>
                      <w:lang w:eastAsia="zh-CN"/>
                    </w:rPr>
                    <w:t xml:space="preserve">a </w:t>
                  </w:r>
                  <w:r>
                    <w:rPr>
                      <w:rFonts w:ascii="Times New Roman" w:hAnsi="Times New Roman" w:cs="Times New Roman"/>
                      <w:spacing w:val="1"/>
                      <w:lang w:eastAsia="zh-CN"/>
                    </w:rPr>
                    <w:t>M₁为断裂伸长率中心值，由供需双方协商确定，一旦</w:t>
                  </w:r>
                  <w:r>
                    <w:rPr>
                      <w:rFonts w:ascii="Times New Roman" w:hAnsi="Times New Roman" w:cs="Times New Roman"/>
                      <w:lang w:eastAsia="zh-CN"/>
                    </w:rPr>
                    <w:t>确定后不得任意变更。</w:t>
                  </w:r>
                </w:p>
                <w:p w14:paraId="6515D13C">
                  <w:pPr>
                    <w:pStyle w:val="323"/>
                    <w:spacing w:line="240" w:lineRule="auto"/>
                    <w:rPr>
                      <w:rFonts w:ascii="Times New Roman" w:hAnsi="Times New Roman" w:cs="Times New Roman"/>
                      <w:lang w:eastAsia="zh-CN"/>
                    </w:rPr>
                  </w:pPr>
                  <w:r>
                    <w:rPr>
                      <w:rFonts w:ascii="Times New Roman" w:hAnsi="Times New Roman" w:cs="Times New Roman"/>
                      <w:vertAlign w:val="superscript"/>
                      <w:lang w:eastAsia="zh-CN"/>
                    </w:rPr>
                    <w:t xml:space="preserve">B </w:t>
                  </w:r>
                  <w:r>
                    <w:rPr>
                      <w:rFonts w:ascii="Times New Roman" w:hAnsi="Times New Roman" w:cs="Times New Roman"/>
                      <w:lang w:eastAsia="zh-CN"/>
                    </w:rPr>
                    <w:t>M₂为含油率中心值，由供需双方协商确定，一旦确定后不得任意变更。</w:t>
                  </w:r>
                </w:p>
              </w:tc>
            </w:tr>
          </w:tbl>
          <w:p w14:paraId="1B57D144">
            <w:pPr>
              <w:pStyle w:val="75"/>
              <w:spacing w:line="500" w:lineRule="exact"/>
              <w:rPr>
                <w:b/>
              </w:rPr>
            </w:pPr>
            <w:r>
              <w:rPr>
                <w:b/>
              </w:rPr>
              <w:t>3、主要生产单元、主要工艺及生产设施名称</w:t>
            </w:r>
          </w:p>
          <w:p w14:paraId="1303D36E">
            <w:pPr>
              <w:pStyle w:val="76"/>
              <w:spacing w:line="500" w:lineRule="exact"/>
              <w:ind w:firstLine="480"/>
            </w:pPr>
            <w:r>
              <w:t>本项目主要生产单元、主要工艺及生产设施名称内容详见下表。</w:t>
            </w:r>
          </w:p>
          <w:p w14:paraId="14D2DF82">
            <w:pPr>
              <w:pStyle w:val="91"/>
              <w:spacing w:line="500" w:lineRule="exact"/>
            </w:pPr>
            <w:r>
              <w:t>表2-</w:t>
            </w:r>
            <w:r>
              <w:rPr>
                <w:rFonts w:hint="eastAsia"/>
              </w:rPr>
              <w:t>8</w:t>
            </w:r>
            <w:r>
              <w:t xml:space="preserve"> 主要生产单元、生产设施名称一览表</w:t>
            </w:r>
          </w:p>
          <w:tbl>
            <w:tblPr>
              <w:tblStyle w:val="92"/>
              <w:tblW w:w="771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4"/>
              <w:gridCol w:w="1900"/>
              <w:gridCol w:w="3258"/>
              <w:gridCol w:w="526"/>
              <w:gridCol w:w="1244"/>
              <w:gridCol w:w="424"/>
            </w:tblGrid>
            <w:tr w14:paraId="5E3C83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noWrap/>
                  <w:vAlign w:val="center"/>
                </w:tcPr>
                <w:p w14:paraId="78D528B5">
                  <w:pPr>
                    <w:widowControl/>
                    <w:jc w:val="center"/>
                    <w:rPr>
                      <w:rFonts w:eastAsiaTheme="minorEastAsia"/>
                      <w:b/>
                      <w:bCs/>
                      <w:kern w:val="0"/>
                      <w:szCs w:val="21"/>
                    </w:rPr>
                  </w:pPr>
                  <w:r>
                    <w:rPr>
                      <w:rFonts w:eastAsiaTheme="minorEastAsia"/>
                      <w:b/>
                      <w:bCs/>
                      <w:kern w:val="0"/>
                      <w:szCs w:val="21"/>
                    </w:rPr>
                    <w:t>序号</w:t>
                  </w:r>
                </w:p>
              </w:tc>
              <w:tc>
                <w:tcPr>
                  <w:tcW w:w="1924" w:type="dxa"/>
                  <w:noWrap/>
                  <w:vAlign w:val="center"/>
                </w:tcPr>
                <w:p w14:paraId="2487A795">
                  <w:pPr>
                    <w:widowControl/>
                    <w:jc w:val="center"/>
                    <w:rPr>
                      <w:rFonts w:eastAsiaTheme="minorEastAsia"/>
                      <w:b/>
                      <w:bCs/>
                      <w:kern w:val="0"/>
                      <w:szCs w:val="21"/>
                    </w:rPr>
                  </w:pPr>
                  <w:r>
                    <w:rPr>
                      <w:rFonts w:eastAsiaTheme="minorEastAsia"/>
                      <w:b/>
                      <w:bCs/>
                      <w:kern w:val="0"/>
                      <w:szCs w:val="21"/>
                    </w:rPr>
                    <w:t>设备名称</w:t>
                  </w:r>
                </w:p>
              </w:tc>
              <w:tc>
                <w:tcPr>
                  <w:tcW w:w="2748" w:type="dxa"/>
                  <w:noWrap/>
                  <w:vAlign w:val="center"/>
                </w:tcPr>
                <w:p w14:paraId="0334D47A">
                  <w:pPr>
                    <w:widowControl/>
                    <w:jc w:val="center"/>
                    <w:rPr>
                      <w:rFonts w:eastAsiaTheme="minorEastAsia"/>
                      <w:b/>
                      <w:bCs/>
                      <w:kern w:val="0"/>
                      <w:szCs w:val="21"/>
                    </w:rPr>
                  </w:pPr>
                  <w:r>
                    <w:rPr>
                      <w:rFonts w:eastAsiaTheme="minorEastAsia"/>
                      <w:b/>
                      <w:bCs/>
                      <w:kern w:val="0"/>
                      <w:szCs w:val="21"/>
                    </w:rPr>
                    <w:t>型号/备注</w:t>
                  </w:r>
                </w:p>
              </w:tc>
              <w:tc>
                <w:tcPr>
                  <w:tcW w:w="530" w:type="dxa"/>
                  <w:noWrap/>
                  <w:vAlign w:val="center"/>
                </w:tcPr>
                <w:p w14:paraId="1CC7FB87">
                  <w:pPr>
                    <w:widowControl/>
                    <w:jc w:val="center"/>
                    <w:rPr>
                      <w:rFonts w:eastAsiaTheme="minorEastAsia"/>
                      <w:b/>
                      <w:bCs/>
                      <w:kern w:val="0"/>
                      <w:szCs w:val="21"/>
                    </w:rPr>
                  </w:pPr>
                  <w:r>
                    <w:rPr>
                      <w:rFonts w:eastAsiaTheme="minorEastAsia"/>
                      <w:b/>
                      <w:bCs/>
                      <w:kern w:val="0"/>
                      <w:szCs w:val="21"/>
                    </w:rPr>
                    <w:t>单位</w:t>
                  </w:r>
                </w:p>
              </w:tc>
              <w:tc>
                <w:tcPr>
                  <w:tcW w:w="1259" w:type="dxa"/>
                  <w:noWrap/>
                  <w:vAlign w:val="center"/>
                </w:tcPr>
                <w:p w14:paraId="3F092E28">
                  <w:pPr>
                    <w:widowControl/>
                    <w:jc w:val="center"/>
                    <w:rPr>
                      <w:rFonts w:eastAsiaTheme="minorEastAsia"/>
                      <w:b/>
                      <w:bCs/>
                      <w:kern w:val="0"/>
                      <w:szCs w:val="21"/>
                    </w:rPr>
                  </w:pPr>
                  <w:r>
                    <w:rPr>
                      <w:rFonts w:eastAsiaTheme="minorEastAsia"/>
                      <w:b/>
                      <w:bCs/>
                      <w:kern w:val="0"/>
                      <w:szCs w:val="21"/>
                    </w:rPr>
                    <w:t>数量</w:t>
                  </w:r>
                </w:p>
              </w:tc>
              <w:tc>
                <w:tcPr>
                  <w:tcW w:w="672" w:type="dxa"/>
                  <w:vAlign w:val="center"/>
                </w:tcPr>
                <w:p w14:paraId="70B5030B">
                  <w:pPr>
                    <w:widowControl/>
                    <w:jc w:val="center"/>
                    <w:rPr>
                      <w:rFonts w:eastAsiaTheme="minorEastAsia"/>
                      <w:b/>
                      <w:bCs/>
                      <w:kern w:val="0"/>
                      <w:szCs w:val="21"/>
                    </w:rPr>
                  </w:pPr>
                  <w:r>
                    <w:rPr>
                      <w:rFonts w:eastAsiaTheme="minorEastAsia"/>
                      <w:b/>
                      <w:bCs/>
                      <w:kern w:val="0"/>
                      <w:szCs w:val="21"/>
                    </w:rPr>
                    <w:t>新建/依托</w:t>
                  </w:r>
                </w:p>
              </w:tc>
            </w:tr>
            <w:tr w14:paraId="5BA840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1" w:type="dxa"/>
                  <w:gridSpan w:val="5"/>
                  <w:noWrap/>
                  <w:vAlign w:val="center"/>
                </w:tcPr>
                <w:p w14:paraId="52853753">
                  <w:pPr>
                    <w:widowControl/>
                    <w:rPr>
                      <w:rFonts w:eastAsiaTheme="minorEastAsia"/>
                      <w:kern w:val="0"/>
                      <w:szCs w:val="21"/>
                    </w:rPr>
                  </w:pPr>
                  <w:r>
                    <w:rPr>
                      <w:rFonts w:eastAsiaTheme="minorEastAsia"/>
                      <w:kern w:val="0"/>
                      <w:szCs w:val="21"/>
                    </w:rPr>
                    <w:t>一、二期项目——纺丝单元</w:t>
                  </w:r>
                </w:p>
              </w:tc>
              <w:tc>
                <w:tcPr>
                  <w:tcW w:w="672" w:type="dxa"/>
                  <w:vAlign w:val="center"/>
                </w:tcPr>
                <w:p w14:paraId="0ABCEEBA">
                  <w:pPr>
                    <w:widowControl/>
                    <w:rPr>
                      <w:rFonts w:eastAsiaTheme="minorEastAsia"/>
                      <w:kern w:val="0"/>
                      <w:szCs w:val="21"/>
                    </w:rPr>
                  </w:pPr>
                </w:p>
              </w:tc>
            </w:tr>
            <w:tr w14:paraId="111F6F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60C4DD72">
                  <w:pPr>
                    <w:widowControl/>
                    <w:jc w:val="center"/>
                    <w:rPr>
                      <w:rFonts w:eastAsiaTheme="minorEastAsia"/>
                      <w:kern w:val="0"/>
                      <w:szCs w:val="21"/>
                    </w:rPr>
                  </w:pPr>
                  <w:r>
                    <w:rPr>
                      <w:rFonts w:eastAsiaTheme="minorEastAsia"/>
                      <w:kern w:val="0"/>
                      <w:szCs w:val="21"/>
                    </w:rPr>
                    <w:t>1</w:t>
                  </w:r>
                </w:p>
              </w:tc>
              <w:tc>
                <w:tcPr>
                  <w:tcW w:w="1924" w:type="dxa"/>
                  <w:vAlign w:val="center"/>
                </w:tcPr>
                <w:p w14:paraId="7B7040A4">
                  <w:pPr>
                    <w:widowControl/>
                    <w:jc w:val="center"/>
                    <w:rPr>
                      <w:rFonts w:eastAsiaTheme="minorEastAsia"/>
                      <w:kern w:val="0"/>
                      <w:szCs w:val="21"/>
                    </w:rPr>
                  </w:pPr>
                  <w:r>
                    <w:rPr>
                      <w:rFonts w:eastAsiaTheme="minorEastAsia"/>
                      <w:kern w:val="0"/>
                      <w:szCs w:val="21"/>
                    </w:rPr>
                    <w:t>全自动喷丝板镜检仪</w:t>
                  </w:r>
                </w:p>
              </w:tc>
              <w:tc>
                <w:tcPr>
                  <w:tcW w:w="2748" w:type="dxa"/>
                  <w:vAlign w:val="center"/>
                </w:tcPr>
                <w:p w14:paraId="1C6CD8CE">
                  <w:pPr>
                    <w:widowControl/>
                    <w:jc w:val="center"/>
                    <w:rPr>
                      <w:rFonts w:eastAsiaTheme="minorEastAsia"/>
                      <w:kern w:val="0"/>
                      <w:szCs w:val="21"/>
                    </w:rPr>
                  </w:pPr>
                  <w:r>
                    <w:rPr>
                      <w:rFonts w:eastAsiaTheme="minorEastAsia"/>
                      <w:kern w:val="0"/>
                      <w:szCs w:val="21"/>
                    </w:rPr>
                    <w:t>/</w:t>
                  </w:r>
                </w:p>
              </w:tc>
              <w:tc>
                <w:tcPr>
                  <w:tcW w:w="530" w:type="dxa"/>
                  <w:vAlign w:val="center"/>
                </w:tcPr>
                <w:p w14:paraId="16C608D1">
                  <w:pPr>
                    <w:widowControl/>
                    <w:jc w:val="center"/>
                    <w:rPr>
                      <w:rFonts w:eastAsiaTheme="minorEastAsia"/>
                      <w:kern w:val="0"/>
                      <w:szCs w:val="21"/>
                    </w:rPr>
                  </w:pPr>
                  <w:r>
                    <w:rPr>
                      <w:rFonts w:eastAsiaTheme="minorEastAsia"/>
                      <w:kern w:val="0"/>
                      <w:szCs w:val="21"/>
                    </w:rPr>
                    <w:t>台</w:t>
                  </w:r>
                </w:p>
              </w:tc>
              <w:tc>
                <w:tcPr>
                  <w:tcW w:w="1259" w:type="dxa"/>
                  <w:vAlign w:val="center"/>
                </w:tcPr>
                <w:p w14:paraId="464CF352">
                  <w:pPr>
                    <w:widowControl/>
                    <w:jc w:val="center"/>
                    <w:rPr>
                      <w:rFonts w:eastAsiaTheme="minorEastAsia"/>
                      <w:kern w:val="0"/>
                      <w:szCs w:val="21"/>
                    </w:rPr>
                  </w:pPr>
                  <w:r>
                    <w:rPr>
                      <w:rFonts w:eastAsiaTheme="minorEastAsia"/>
                      <w:kern w:val="0"/>
                      <w:szCs w:val="21"/>
                    </w:rPr>
                    <w:t>1</w:t>
                  </w:r>
                </w:p>
              </w:tc>
              <w:tc>
                <w:tcPr>
                  <w:tcW w:w="672" w:type="dxa"/>
                  <w:vMerge w:val="restart"/>
                  <w:vAlign w:val="center"/>
                </w:tcPr>
                <w:p w14:paraId="0F1723AE">
                  <w:pPr>
                    <w:widowControl/>
                    <w:jc w:val="center"/>
                    <w:rPr>
                      <w:rFonts w:eastAsiaTheme="minorEastAsia"/>
                      <w:kern w:val="0"/>
                      <w:szCs w:val="21"/>
                    </w:rPr>
                  </w:pPr>
                  <w:r>
                    <w:rPr>
                      <w:rFonts w:eastAsiaTheme="minorEastAsia"/>
                      <w:kern w:val="0"/>
                      <w:szCs w:val="21"/>
                    </w:rPr>
                    <w:t>新建</w:t>
                  </w:r>
                </w:p>
              </w:tc>
            </w:tr>
            <w:tr w14:paraId="3B251C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7E13AB1B">
                  <w:pPr>
                    <w:widowControl/>
                    <w:jc w:val="center"/>
                    <w:rPr>
                      <w:rFonts w:eastAsiaTheme="minorEastAsia"/>
                      <w:kern w:val="0"/>
                      <w:szCs w:val="21"/>
                    </w:rPr>
                  </w:pPr>
                  <w:r>
                    <w:rPr>
                      <w:rFonts w:eastAsiaTheme="minorEastAsia"/>
                      <w:kern w:val="0"/>
                      <w:szCs w:val="21"/>
                    </w:rPr>
                    <w:t>2</w:t>
                  </w:r>
                </w:p>
              </w:tc>
              <w:tc>
                <w:tcPr>
                  <w:tcW w:w="1924" w:type="dxa"/>
                  <w:vAlign w:val="center"/>
                </w:tcPr>
                <w:p w14:paraId="539816A1">
                  <w:pPr>
                    <w:widowControl/>
                    <w:jc w:val="center"/>
                    <w:rPr>
                      <w:rFonts w:eastAsiaTheme="minorEastAsia"/>
                      <w:kern w:val="0"/>
                      <w:szCs w:val="21"/>
                    </w:rPr>
                  </w:pPr>
                  <w:r>
                    <w:rPr>
                      <w:rFonts w:eastAsiaTheme="minorEastAsia"/>
                      <w:kern w:val="0"/>
                      <w:szCs w:val="21"/>
                    </w:rPr>
                    <w:t>自动落丝机</w:t>
                  </w:r>
                </w:p>
              </w:tc>
              <w:tc>
                <w:tcPr>
                  <w:tcW w:w="2748" w:type="dxa"/>
                  <w:vAlign w:val="center"/>
                </w:tcPr>
                <w:p w14:paraId="0CA90704">
                  <w:pPr>
                    <w:widowControl/>
                    <w:jc w:val="center"/>
                    <w:rPr>
                      <w:rFonts w:eastAsiaTheme="minorEastAsia"/>
                      <w:kern w:val="0"/>
                      <w:szCs w:val="21"/>
                    </w:rPr>
                  </w:pPr>
                  <w:r>
                    <w:rPr>
                      <w:rFonts w:eastAsiaTheme="minorEastAsia"/>
                      <w:kern w:val="0"/>
                      <w:szCs w:val="21"/>
                    </w:rPr>
                    <w:t>/</w:t>
                  </w:r>
                </w:p>
              </w:tc>
              <w:tc>
                <w:tcPr>
                  <w:tcW w:w="530" w:type="dxa"/>
                  <w:vAlign w:val="center"/>
                </w:tcPr>
                <w:p w14:paraId="4B7EE6D7">
                  <w:pPr>
                    <w:widowControl/>
                    <w:jc w:val="center"/>
                    <w:rPr>
                      <w:rFonts w:eastAsiaTheme="minorEastAsia"/>
                      <w:kern w:val="0"/>
                      <w:szCs w:val="21"/>
                    </w:rPr>
                  </w:pPr>
                  <w:r>
                    <w:rPr>
                      <w:rFonts w:eastAsiaTheme="minorEastAsia"/>
                      <w:kern w:val="0"/>
                      <w:szCs w:val="21"/>
                    </w:rPr>
                    <w:t>线</w:t>
                  </w:r>
                </w:p>
              </w:tc>
              <w:tc>
                <w:tcPr>
                  <w:tcW w:w="1259" w:type="dxa"/>
                  <w:vAlign w:val="center"/>
                </w:tcPr>
                <w:p w14:paraId="5E6A9D65">
                  <w:pPr>
                    <w:widowControl/>
                    <w:jc w:val="center"/>
                    <w:rPr>
                      <w:rFonts w:eastAsiaTheme="minorEastAsia"/>
                      <w:kern w:val="0"/>
                      <w:szCs w:val="21"/>
                    </w:rPr>
                  </w:pPr>
                  <w:r>
                    <w:rPr>
                      <w:rFonts w:eastAsiaTheme="minorEastAsia"/>
                      <w:kern w:val="0"/>
                      <w:szCs w:val="21"/>
                    </w:rPr>
                    <w:t>10</w:t>
                  </w:r>
                </w:p>
              </w:tc>
              <w:tc>
                <w:tcPr>
                  <w:tcW w:w="672" w:type="dxa"/>
                  <w:vMerge w:val="continue"/>
                  <w:vAlign w:val="center"/>
                </w:tcPr>
                <w:p w14:paraId="2DFCA09C">
                  <w:pPr>
                    <w:widowControl/>
                    <w:jc w:val="center"/>
                    <w:rPr>
                      <w:rFonts w:eastAsiaTheme="minorEastAsia"/>
                      <w:kern w:val="0"/>
                      <w:szCs w:val="21"/>
                    </w:rPr>
                  </w:pPr>
                </w:p>
              </w:tc>
            </w:tr>
            <w:tr w14:paraId="42F602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19D5BB9A">
                  <w:pPr>
                    <w:widowControl/>
                    <w:jc w:val="center"/>
                    <w:rPr>
                      <w:rFonts w:eastAsiaTheme="minorEastAsia"/>
                      <w:kern w:val="0"/>
                      <w:szCs w:val="21"/>
                    </w:rPr>
                  </w:pPr>
                  <w:r>
                    <w:rPr>
                      <w:rFonts w:eastAsiaTheme="minorEastAsia"/>
                      <w:kern w:val="0"/>
                      <w:szCs w:val="21"/>
                    </w:rPr>
                    <w:t>3</w:t>
                  </w:r>
                </w:p>
              </w:tc>
              <w:tc>
                <w:tcPr>
                  <w:tcW w:w="1924" w:type="dxa"/>
                  <w:vAlign w:val="center"/>
                </w:tcPr>
                <w:p w14:paraId="378AC46F">
                  <w:pPr>
                    <w:widowControl/>
                    <w:jc w:val="center"/>
                    <w:rPr>
                      <w:rFonts w:eastAsiaTheme="minorEastAsia"/>
                      <w:kern w:val="0"/>
                      <w:szCs w:val="21"/>
                    </w:rPr>
                  </w:pPr>
                  <w:r>
                    <w:rPr>
                      <w:rFonts w:eastAsiaTheme="minorEastAsia"/>
                      <w:kern w:val="0"/>
                      <w:szCs w:val="21"/>
                    </w:rPr>
                    <w:t>FDY卷绕机</w:t>
                  </w:r>
                </w:p>
              </w:tc>
              <w:tc>
                <w:tcPr>
                  <w:tcW w:w="2748" w:type="dxa"/>
                  <w:vAlign w:val="center"/>
                </w:tcPr>
                <w:p w14:paraId="619EA6B8">
                  <w:pPr>
                    <w:widowControl/>
                    <w:jc w:val="center"/>
                    <w:rPr>
                      <w:rFonts w:eastAsiaTheme="minorEastAsia"/>
                      <w:kern w:val="0"/>
                      <w:szCs w:val="21"/>
                    </w:rPr>
                  </w:pPr>
                  <w:r>
                    <w:rPr>
                      <w:rFonts w:eastAsiaTheme="minorEastAsia"/>
                      <w:kern w:val="0"/>
                      <w:szCs w:val="21"/>
                    </w:rPr>
                    <w:t>定制</w:t>
                  </w:r>
                </w:p>
              </w:tc>
              <w:tc>
                <w:tcPr>
                  <w:tcW w:w="530" w:type="dxa"/>
                  <w:vAlign w:val="center"/>
                </w:tcPr>
                <w:p w14:paraId="1E6EDD3A">
                  <w:pPr>
                    <w:widowControl/>
                    <w:jc w:val="center"/>
                    <w:rPr>
                      <w:rFonts w:eastAsiaTheme="minorEastAsia"/>
                      <w:kern w:val="0"/>
                      <w:szCs w:val="21"/>
                    </w:rPr>
                  </w:pPr>
                  <w:r>
                    <w:rPr>
                      <w:rFonts w:eastAsiaTheme="minorEastAsia"/>
                      <w:kern w:val="0"/>
                      <w:szCs w:val="21"/>
                    </w:rPr>
                    <w:t>台</w:t>
                  </w:r>
                </w:p>
              </w:tc>
              <w:tc>
                <w:tcPr>
                  <w:tcW w:w="1259" w:type="dxa"/>
                  <w:vAlign w:val="center"/>
                </w:tcPr>
                <w:p w14:paraId="1E29C1A1">
                  <w:pPr>
                    <w:widowControl/>
                    <w:jc w:val="center"/>
                    <w:rPr>
                      <w:rFonts w:eastAsiaTheme="minorEastAsia"/>
                      <w:kern w:val="0"/>
                      <w:szCs w:val="21"/>
                    </w:rPr>
                  </w:pPr>
                  <w:r>
                    <w:rPr>
                      <w:rFonts w:eastAsiaTheme="minorEastAsia"/>
                      <w:kern w:val="0"/>
                      <w:szCs w:val="21"/>
                    </w:rPr>
                    <w:t>240</w:t>
                  </w:r>
                </w:p>
              </w:tc>
              <w:tc>
                <w:tcPr>
                  <w:tcW w:w="672" w:type="dxa"/>
                  <w:vMerge w:val="continue"/>
                  <w:vAlign w:val="center"/>
                </w:tcPr>
                <w:p w14:paraId="4F0619C3">
                  <w:pPr>
                    <w:widowControl/>
                    <w:jc w:val="center"/>
                    <w:rPr>
                      <w:rFonts w:eastAsiaTheme="minorEastAsia"/>
                      <w:kern w:val="0"/>
                      <w:szCs w:val="21"/>
                    </w:rPr>
                  </w:pPr>
                </w:p>
              </w:tc>
            </w:tr>
            <w:tr w14:paraId="7652A5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72D9067E">
                  <w:pPr>
                    <w:widowControl/>
                    <w:jc w:val="center"/>
                    <w:rPr>
                      <w:rFonts w:eastAsiaTheme="minorEastAsia"/>
                      <w:kern w:val="0"/>
                      <w:szCs w:val="21"/>
                    </w:rPr>
                  </w:pPr>
                  <w:r>
                    <w:rPr>
                      <w:rFonts w:eastAsiaTheme="minorEastAsia"/>
                      <w:kern w:val="0"/>
                      <w:szCs w:val="21"/>
                    </w:rPr>
                    <w:t>4</w:t>
                  </w:r>
                </w:p>
              </w:tc>
              <w:tc>
                <w:tcPr>
                  <w:tcW w:w="1924" w:type="dxa"/>
                  <w:vAlign w:val="center"/>
                </w:tcPr>
                <w:p w14:paraId="0ADAF5AE">
                  <w:pPr>
                    <w:widowControl/>
                    <w:jc w:val="center"/>
                    <w:rPr>
                      <w:rFonts w:eastAsiaTheme="minorEastAsia"/>
                      <w:kern w:val="0"/>
                      <w:szCs w:val="21"/>
                    </w:rPr>
                  </w:pPr>
                  <w:r>
                    <w:rPr>
                      <w:rFonts w:eastAsiaTheme="minorEastAsia"/>
                      <w:kern w:val="0"/>
                      <w:szCs w:val="21"/>
                    </w:rPr>
                    <w:t>POY卷绕机</w:t>
                  </w:r>
                </w:p>
              </w:tc>
              <w:tc>
                <w:tcPr>
                  <w:tcW w:w="2748" w:type="dxa"/>
                  <w:vAlign w:val="center"/>
                </w:tcPr>
                <w:p w14:paraId="0D0FC8E4">
                  <w:pPr>
                    <w:widowControl/>
                    <w:jc w:val="center"/>
                    <w:rPr>
                      <w:rFonts w:eastAsiaTheme="minorEastAsia"/>
                      <w:kern w:val="0"/>
                      <w:szCs w:val="21"/>
                    </w:rPr>
                  </w:pPr>
                  <w:r>
                    <w:rPr>
                      <w:rFonts w:eastAsiaTheme="minorEastAsia"/>
                      <w:kern w:val="0"/>
                      <w:szCs w:val="21"/>
                    </w:rPr>
                    <w:t>定制</w:t>
                  </w:r>
                </w:p>
              </w:tc>
              <w:tc>
                <w:tcPr>
                  <w:tcW w:w="530" w:type="dxa"/>
                  <w:vAlign w:val="center"/>
                </w:tcPr>
                <w:p w14:paraId="319A7A8B">
                  <w:pPr>
                    <w:widowControl/>
                    <w:jc w:val="center"/>
                    <w:rPr>
                      <w:rFonts w:eastAsiaTheme="minorEastAsia"/>
                      <w:kern w:val="0"/>
                      <w:szCs w:val="21"/>
                    </w:rPr>
                  </w:pPr>
                  <w:r>
                    <w:rPr>
                      <w:rFonts w:eastAsiaTheme="minorEastAsia"/>
                      <w:kern w:val="0"/>
                      <w:szCs w:val="21"/>
                    </w:rPr>
                    <w:t>台</w:t>
                  </w:r>
                </w:p>
              </w:tc>
              <w:tc>
                <w:tcPr>
                  <w:tcW w:w="1259" w:type="dxa"/>
                  <w:vAlign w:val="center"/>
                </w:tcPr>
                <w:p w14:paraId="0E5BE451">
                  <w:pPr>
                    <w:widowControl/>
                    <w:jc w:val="center"/>
                    <w:rPr>
                      <w:rFonts w:eastAsiaTheme="minorEastAsia"/>
                      <w:kern w:val="0"/>
                      <w:szCs w:val="21"/>
                    </w:rPr>
                  </w:pPr>
                  <w:r>
                    <w:rPr>
                      <w:rFonts w:eastAsiaTheme="minorEastAsia"/>
                      <w:kern w:val="0"/>
                      <w:szCs w:val="21"/>
                    </w:rPr>
                    <w:t>672</w:t>
                  </w:r>
                </w:p>
              </w:tc>
              <w:tc>
                <w:tcPr>
                  <w:tcW w:w="672" w:type="dxa"/>
                  <w:vMerge w:val="continue"/>
                  <w:vAlign w:val="center"/>
                </w:tcPr>
                <w:p w14:paraId="5FFF11C3">
                  <w:pPr>
                    <w:widowControl/>
                    <w:jc w:val="center"/>
                    <w:rPr>
                      <w:rFonts w:eastAsiaTheme="minorEastAsia"/>
                      <w:kern w:val="0"/>
                      <w:szCs w:val="21"/>
                    </w:rPr>
                  </w:pPr>
                </w:p>
              </w:tc>
            </w:tr>
            <w:tr w14:paraId="16E0A8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5B9B9B4A">
                  <w:pPr>
                    <w:widowControl/>
                    <w:jc w:val="center"/>
                    <w:rPr>
                      <w:rFonts w:eastAsiaTheme="minorEastAsia"/>
                      <w:kern w:val="0"/>
                      <w:szCs w:val="21"/>
                    </w:rPr>
                  </w:pPr>
                  <w:r>
                    <w:rPr>
                      <w:rFonts w:eastAsiaTheme="minorEastAsia"/>
                      <w:kern w:val="0"/>
                      <w:szCs w:val="21"/>
                    </w:rPr>
                    <w:t>5</w:t>
                  </w:r>
                </w:p>
              </w:tc>
              <w:tc>
                <w:tcPr>
                  <w:tcW w:w="1924" w:type="dxa"/>
                  <w:vAlign w:val="center"/>
                </w:tcPr>
                <w:p w14:paraId="7BA14184">
                  <w:pPr>
                    <w:widowControl/>
                    <w:jc w:val="center"/>
                    <w:rPr>
                      <w:rFonts w:eastAsiaTheme="minorEastAsia"/>
                      <w:kern w:val="0"/>
                      <w:szCs w:val="21"/>
                    </w:rPr>
                  </w:pPr>
                  <w:r>
                    <w:rPr>
                      <w:rFonts w:eastAsiaTheme="minorEastAsia"/>
                      <w:kern w:val="0"/>
                      <w:szCs w:val="21"/>
                    </w:rPr>
                    <w:t>纺丝成套生产线</w:t>
                  </w:r>
                </w:p>
              </w:tc>
              <w:tc>
                <w:tcPr>
                  <w:tcW w:w="2748" w:type="dxa"/>
                  <w:vAlign w:val="center"/>
                </w:tcPr>
                <w:p w14:paraId="745B6AC6">
                  <w:pPr>
                    <w:widowControl/>
                    <w:jc w:val="center"/>
                    <w:rPr>
                      <w:rFonts w:eastAsiaTheme="minorEastAsia"/>
                      <w:kern w:val="0"/>
                      <w:szCs w:val="21"/>
                    </w:rPr>
                  </w:pPr>
                  <w:r>
                    <w:rPr>
                      <w:rFonts w:eastAsiaTheme="minorEastAsia"/>
                      <w:kern w:val="0"/>
                      <w:szCs w:val="21"/>
                    </w:rPr>
                    <w:t>POY纺丝设备（包含EVO）</w:t>
                  </w:r>
                </w:p>
              </w:tc>
              <w:tc>
                <w:tcPr>
                  <w:tcW w:w="530" w:type="dxa"/>
                  <w:vAlign w:val="center"/>
                </w:tcPr>
                <w:p w14:paraId="721C17A7">
                  <w:pPr>
                    <w:widowControl/>
                    <w:jc w:val="center"/>
                    <w:rPr>
                      <w:rFonts w:eastAsiaTheme="minorEastAsia"/>
                      <w:kern w:val="0"/>
                      <w:szCs w:val="21"/>
                    </w:rPr>
                  </w:pPr>
                  <w:r>
                    <w:rPr>
                      <w:rFonts w:eastAsiaTheme="minorEastAsia"/>
                      <w:kern w:val="0"/>
                      <w:szCs w:val="21"/>
                    </w:rPr>
                    <w:t>位</w:t>
                  </w:r>
                </w:p>
              </w:tc>
              <w:tc>
                <w:tcPr>
                  <w:tcW w:w="1259" w:type="dxa"/>
                  <w:vAlign w:val="center"/>
                </w:tcPr>
                <w:p w14:paraId="3AC446E6">
                  <w:pPr>
                    <w:widowControl/>
                    <w:jc w:val="center"/>
                    <w:rPr>
                      <w:rFonts w:eastAsiaTheme="minorEastAsia"/>
                      <w:kern w:val="0"/>
                      <w:szCs w:val="21"/>
                    </w:rPr>
                  </w:pPr>
                  <w:r>
                    <w:rPr>
                      <w:rFonts w:eastAsiaTheme="minorEastAsia"/>
                      <w:kern w:val="0"/>
                      <w:szCs w:val="21"/>
                    </w:rPr>
                    <w:t>600</w:t>
                  </w:r>
                </w:p>
              </w:tc>
              <w:tc>
                <w:tcPr>
                  <w:tcW w:w="672" w:type="dxa"/>
                  <w:vMerge w:val="continue"/>
                  <w:vAlign w:val="center"/>
                </w:tcPr>
                <w:p w14:paraId="6F0DD27E">
                  <w:pPr>
                    <w:widowControl/>
                    <w:jc w:val="center"/>
                    <w:rPr>
                      <w:rFonts w:eastAsiaTheme="minorEastAsia"/>
                      <w:kern w:val="0"/>
                      <w:szCs w:val="21"/>
                    </w:rPr>
                  </w:pPr>
                </w:p>
              </w:tc>
            </w:tr>
            <w:tr w14:paraId="59C999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43A5FF32">
                  <w:pPr>
                    <w:widowControl/>
                    <w:jc w:val="center"/>
                    <w:rPr>
                      <w:rFonts w:eastAsiaTheme="minorEastAsia"/>
                      <w:kern w:val="0"/>
                      <w:szCs w:val="21"/>
                    </w:rPr>
                  </w:pPr>
                  <w:r>
                    <w:rPr>
                      <w:rFonts w:eastAsiaTheme="minorEastAsia"/>
                      <w:kern w:val="0"/>
                      <w:szCs w:val="21"/>
                    </w:rPr>
                    <w:t>6</w:t>
                  </w:r>
                </w:p>
              </w:tc>
              <w:tc>
                <w:tcPr>
                  <w:tcW w:w="1924" w:type="dxa"/>
                  <w:vAlign w:val="center"/>
                </w:tcPr>
                <w:p w14:paraId="523BFDD9">
                  <w:pPr>
                    <w:widowControl/>
                    <w:jc w:val="center"/>
                    <w:rPr>
                      <w:rFonts w:eastAsiaTheme="minorEastAsia"/>
                      <w:kern w:val="0"/>
                      <w:szCs w:val="21"/>
                    </w:rPr>
                  </w:pPr>
                  <w:r>
                    <w:rPr>
                      <w:rFonts w:eastAsiaTheme="minorEastAsia"/>
                      <w:kern w:val="0"/>
                      <w:szCs w:val="21"/>
                    </w:rPr>
                    <w:t>纺丝成套生产线</w:t>
                  </w:r>
                </w:p>
              </w:tc>
              <w:tc>
                <w:tcPr>
                  <w:tcW w:w="2748" w:type="dxa"/>
                  <w:vAlign w:val="center"/>
                </w:tcPr>
                <w:p w14:paraId="6286621E">
                  <w:pPr>
                    <w:widowControl/>
                    <w:jc w:val="center"/>
                    <w:rPr>
                      <w:rFonts w:eastAsiaTheme="minorEastAsia"/>
                      <w:kern w:val="0"/>
                      <w:szCs w:val="21"/>
                    </w:rPr>
                  </w:pPr>
                  <w:r>
                    <w:rPr>
                      <w:rFonts w:eastAsiaTheme="minorEastAsia"/>
                      <w:kern w:val="0"/>
                      <w:szCs w:val="21"/>
                    </w:rPr>
                    <w:t>FDY纺丝设备（包含EVO）</w:t>
                  </w:r>
                </w:p>
              </w:tc>
              <w:tc>
                <w:tcPr>
                  <w:tcW w:w="530" w:type="dxa"/>
                  <w:vAlign w:val="center"/>
                </w:tcPr>
                <w:p w14:paraId="586F1581">
                  <w:pPr>
                    <w:widowControl/>
                    <w:jc w:val="center"/>
                    <w:rPr>
                      <w:rFonts w:eastAsiaTheme="minorEastAsia"/>
                      <w:kern w:val="0"/>
                      <w:szCs w:val="21"/>
                    </w:rPr>
                  </w:pPr>
                  <w:r>
                    <w:rPr>
                      <w:rFonts w:eastAsiaTheme="minorEastAsia"/>
                      <w:kern w:val="0"/>
                      <w:szCs w:val="21"/>
                    </w:rPr>
                    <w:t>位</w:t>
                  </w:r>
                </w:p>
              </w:tc>
              <w:tc>
                <w:tcPr>
                  <w:tcW w:w="1259" w:type="dxa"/>
                  <w:vAlign w:val="center"/>
                </w:tcPr>
                <w:p w14:paraId="3898D253">
                  <w:pPr>
                    <w:widowControl/>
                    <w:jc w:val="center"/>
                    <w:rPr>
                      <w:rFonts w:eastAsiaTheme="minorEastAsia"/>
                      <w:kern w:val="0"/>
                      <w:szCs w:val="21"/>
                    </w:rPr>
                  </w:pPr>
                  <w:r>
                    <w:rPr>
                      <w:rFonts w:eastAsiaTheme="minorEastAsia"/>
                      <w:kern w:val="0"/>
                      <w:szCs w:val="21"/>
                    </w:rPr>
                    <w:t>240</w:t>
                  </w:r>
                </w:p>
              </w:tc>
              <w:tc>
                <w:tcPr>
                  <w:tcW w:w="672" w:type="dxa"/>
                  <w:vMerge w:val="continue"/>
                  <w:vAlign w:val="center"/>
                </w:tcPr>
                <w:p w14:paraId="4731FCB1">
                  <w:pPr>
                    <w:widowControl/>
                    <w:jc w:val="center"/>
                    <w:rPr>
                      <w:rFonts w:eastAsiaTheme="minorEastAsia"/>
                      <w:kern w:val="0"/>
                      <w:szCs w:val="21"/>
                    </w:rPr>
                  </w:pPr>
                </w:p>
              </w:tc>
            </w:tr>
            <w:tr w14:paraId="17B667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2613FF61">
                  <w:pPr>
                    <w:widowControl/>
                    <w:jc w:val="center"/>
                    <w:rPr>
                      <w:rFonts w:eastAsiaTheme="minorEastAsia"/>
                      <w:kern w:val="0"/>
                      <w:szCs w:val="21"/>
                    </w:rPr>
                  </w:pPr>
                  <w:r>
                    <w:rPr>
                      <w:rFonts w:eastAsiaTheme="minorEastAsia"/>
                      <w:kern w:val="0"/>
                      <w:szCs w:val="21"/>
                    </w:rPr>
                    <w:t>7</w:t>
                  </w:r>
                </w:p>
              </w:tc>
              <w:tc>
                <w:tcPr>
                  <w:tcW w:w="1924" w:type="dxa"/>
                  <w:vAlign w:val="center"/>
                </w:tcPr>
                <w:p w14:paraId="6838E136">
                  <w:pPr>
                    <w:widowControl/>
                    <w:jc w:val="center"/>
                    <w:rPr>
                      <w:rFonts w:eastAsiaTheme="minorEastAsia"/>
                      <w:kern w:val="0"/>
                      <w:szCs w:val="21"/>
                    </w:rPr>
                  </w:pPr>
                  <w:r>
                    <w:rPr>
                      <w:rFonts w:eastAsiaTheme="minorEastAsia"/>
                      <w:kern w:val="0"/>
                      <w:szCs w:val="21"/>
                    </w:rPr>
                    <w:t>风管送风式空调机组</w:t>
                  </w:r>
                </w:p>
              </w:tc>
              <w:tc>
                <w:tcPr>
                  <w:tcW w:w="2748" w:type="dxa"/>
                  <w:vAlign w:val="center"/>
                </w:tcPr>
                <w:p w14:paraId="6924BE90">
                  <w:pPr>
                    <w:widowControl/>
                    <w:jc w:val="center"/>
                    <w:rPr>
                      <w:rFonts w:eastAsiaTheme="minorEastAsia"/>
                      <w:kern w:val="0"/>
                      <w:szCs w:val="21"/>
                    </w:rPr>
                  </w:pPr>
                  <w:r>
                    <w:rPr>
                      <w:rFonts w:eastAsiaTheme="minorEastAsia"/>
                      <w:kern w:val="0"/>
                      <w:szCs w:val="21"/>
                    </w:rPr>
                    <w:t>55万m</w:t>
                  </w:r>
                  <w:r>
                    <w:rPr>
                      <w:rFonts w:eastAsiaTheme="minorEastAsia"/>
                      <w:kern w:val="0"/>
                      <w:szCs w:val="21"/>
                      <w:vertAlign w:val="superscript"/>
                    </w:rPr>
                    <w:t>3</w:t>
                  </w:r>
                  <w:r>
                    <w:rPr>
                      <w:rFonts w:eastAsiaTheme="minorEastAsia"/>
                      <w:kern w:val="0"/>
                      <w:szCs w:val="21"/>
                    </w:rPr>
                    <w:t>/h</w:t>
                  </w:r>
                </w:p>
              </w:tc>
              <w:tc>
                <w:tcPr>
                  <w:tcW w:w="530" w:type="dxa"/>
                  <w:vAlign w:val="center"/>
                </w:tcPr>
                <w:p w14:paraId="41AF945F">
                  <w:pPr>
                    <w:widowControl/>
                    <w:jc w:val="center"/>
                    <w:rPr>
                      <w:rFonts w:eastAsiaTheme="minorEastAsia"/>
                      <w:kern w:val="0"/>
                      <w:szCs w:val="21"/>
                    </w:rPr>
                  </w:pPr>
                  <w:r>
                    <w:rPr>
                      <w:rFonts w:eastAsiaTheme="minorEastAsia"/>
                      <w:kern w:val="0"/>
                      <w:szCs w:val="21"/>
                    </w:rPr>
                    <w:t>台</w:t>
                  </w:r>
                </w:p>
              </w:tc>
              <w:tc>
                <w:tcPr>
                  <w:tcW w:w="1259" w:type="dxa"/>
                  <w:vAlign w:val="center"/>
                </w:tcPr>
                <w:p w14:paraId="07DBD63C">
                  <w:pPr>
                    <w:widowControl/>
                    <w:jc w:val="center"/>
                    <w:rPr>
                      <w:rFonts w:eastAsiaTheme="minorEastAsia"/>
                      <w:kern w:val="0"/>
                      <w:szCs w:val="21"/>
                    </w:rPr>
                  </w:pPr>
                  <w:r>
                    <w:rPr>
                      <w:rFonts w:eastAsiaTheme="minorEastAsia"/>
                      <w:kern w:val="0"/>
                      <w:szCs w:val="21"/>
                    </w:rPr>
                    <w:t>5</w:t>
                  </w:r>
                </w:p>
              </w:tc>
              <w:tc>
                <w:tcPr>
                  <w:tcW w:w="672" w:type="dxa"/>
                  <w:vMerge w:val="continue"/>
                  <w:vAlign w:val="center"/>
                </w:tcPr>
                <w:p w14:paraId="48E117EB">
                  <w:pPr>
                    <w:widowControl/>
                    <w:jc w:val="center"/>
                    <w:rPr>
                      <w:rFonts w:eastAsiaTheme="minorEastAsia"/>
                      <w:kern w:val="0"/>
                      <w:szCs w:val="21"/>
                    </w:rPr>
                  </w:pPr>
                </w:p>
              </w:tc>
            </w:tr>
            <w:tr w14:paraId="4DFF95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4BACAF8D">
                  <w:pPr>
                    <w:widowControl/>
                    <w:jc w:val="center"/>
                    <w:rPr>
                      <w:rFonts w:eastAsiaTheme="minorEastAsia"/>
                      <w:kern w:val="0"/>
                      <w:szCs w:val="21"/>
                    </w:rPr>
                  </w:pPr>
                  <w:r>
                    <w:rPr>
                      <w:rFonts w:eastAsiaTheme="minorEastAsia"/>
                      <w:kern w:val="0"/>
                      <w:szCs w:val="21"/>
                    </w:rPr>
                    <w:t>8</w:t>
                  </w:r>
                </w:p>
              </w:tc>
              <w:tc>
                <w:tcPr>
                  <w:tcW w:w="1924" w:type="dxa"/>
                  <w:vAlign w:val="center"/>
                </w:tcPr>
                <w:p w14:paraId="3AD79435">
                  <w:pPr>
                    <w:widowControl/>
                    <w:jc w:val="center"/>
                    <w:rPr>
                      <w:rFonts w:eastAsiaTheme="minorEastAsia"/>
                      <w:kern w:val="0"/>
                      <w:szCs w:val="21"/>
                    </w:rPr>
                  </w:pPr>
                  <w:r>
                    <w:rPr>
                      <w:rFonts w:eastAsiaTheme="minorEastAsia"/>
                      <w:kern w:val="0"/>
                      <w:szCs w:val="21"/>
                    </w:rPr>
                    <w:t>风管送风式空调机组</w:t>
                  </w:r>
                </w:p>
              </w:tc>
              <w:tc>
                <w:tcPr>
                  <w:tcW w:w="2748" w:type="dxa"/>
                  <w:vAlign w:val="center"/>
                </w:tcPr>
                <w:p w14:paraId="7B5D82E0">
                  <w:pPr>
                    <w:widowControl/>
                    <w:jc w:val="center"/>
                    <w:rPr>
                      <w:rFonts w:eastAsiaTheme="minorEastAsia"/>
                      <w:kern w:val="0"/>
                      <w:szCs w:val="21"/>
                    </w:rPr>
                  </w:pPr>
                  <w:r>
                    <w:rPr>
                      <w:rFonts w:eastAsiaTheme="minorEastAsia"/>
                      <w:kern w:val="0"/>
                      <w:szCs w:val="21"/>
                    </w:rPr>
                    <w:t>8.5万m</w:t>
                  </w:r>
                  <w:r>
                    <w:rPr>
                      <w:rFonts w:eastAsiaTheme="minorEastAsia"/>
                      <w:kern w:val="0"/>
                      <w:szCs w:val="21"/>
                      <w:vertAlign w:val="superscript"/>
                    </w:rPr>
                    <w:t>3</w:t>
                  </w:r>
                  <w:r>
                    <w:rPr>
                      <w:rFonts w:eastAsiaTheme="minorEastAsia"/>
                      <w:kern w:val="0"/>
                      <w:szCs w:val="21"/>
                    </w:rPr>
                    <w:t>/h（纺控+低配）</w:t>
                  </w:r>
                </w:p>
              </w:tc>
              <w:tc>
                <w:tcPr>
                  <w:tcW w:w="530" w:type="dxa"/>
                  <w:vAlign w:val="center"/>
                </w:tcPr>
                <w:p w14:paraId="4D72D278">
                  <w:pPr>
                    <w:widowControl/>
                    <w:jc w:val="center"/>
                    <w:rPr>
                      <w:rFonts w:eastAsiaTheme="minorEastAsia"/>
                      <w:kern w:val="0"/>
                      <w:szCs w:val="21"/>
                    </w:rPr>
                  </w:pPr>
                  <w:r>
                    <w:rPr>
                      <w:rFonts w:eastAsiaTheme="minorEastAsia"/>
                      <w:kern w:val="0"/>
                      <w:szCs w:val="21"/>
                    </w:rPr>
                    <w:t>台</w:t>
                  </w:r>
                </w:p>
              </w:tc>
              <w:tc>
                <w:tcPr>
                  <w:tcW w:w="1259" w:type="dxa"/>
                  <w:vAlign w:val="center"/>
                </w:tcPr>
                <w:p w14:paraId="4901329D">
                  <w:pPr>
                    <w:widowControl/>
                    <w:jc w:val="center"/>
                    <w:rPr>
                      <w:rFonts w:eastAsiaTheme="minorEastAsia"/>
                      <w:kern w:val="0"/>
                      <w:szCs w:val="21"/>
                    </w:rPr>
                  </w:pPr>
                  <w:r>
                    <w:rPr>
                      <w:rFonts w:eastAsiaTheme="minorEastAsia"/>
                      <w:kern w:val="0"/>
                      <w:szCs w:val="21"/>
                    </w:rPr>
                    <w:t>1</w:t>
                  </w:r>
                </w:p>
              </w:tc>
              <w:tc>
                <w:tcPr>
                  <w:tcW w:w="672" w:type="dxa"/>
                  <w:vMerge w:val="continue"/>
                  <w:vAlign w:val="center"/>
                </w:tcPr>
                <w:p w14:paraId="36E8FBA4">
                  <w:pPr>
                    <w:widowControl/>
                    <w:jc w:val="center"/>
                    <w:rPr>
                      <w:rFonts w:eastAsiaTheme="minorEastAsia"/>
                      <w:kern w:val="0"/>
                      <w:szCs w:val="21"/>
                    </w:rPr>
                  </w:pPr>
                </w:p>
              </w:tc>
            </w:tr>
            <w:tr w14:paraId="3DE7EE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61261209">
                  <w:pPr>
                    <w:widowControl/>
                    <w:jc w:val="center"/>
                    <w:rPr>
                      <w:rFonts w:eastAsiaTheme="minorEastAsia"/>
                      <w:kern w:val="0"/>
                      <w:szCs w:val="21"/>
                    </w:rPr>
                  </w:pPr>
                  <w:r>
                    <w:rPr>
                      <w:rFonts w:eastAsiaTheme="minorEastAsia"/>
                      <w:kern w:val="0"/>
                      <w:szCs w:val="21"/>
                    </w:rPr>
                    <w:t>9</w:t>
                  </w:r>
                </w:p>
              </w:tc>
              <w:tc>
                <w:tcPr>
                  <w:tcW w:w="1924" w:type="dxa"/>
                  <w:vAlign w:val="center"/>
                </w:tcPr>
                <w:p w14:paraId="0C8EC4AE">
                  <w:pPr>
                    <w:widowControl/>
                    <w:jc w:val="center"/>
                    <w:rPr>
                      <w:rFonts w:eastAsiaTheme="minorEastAsia"/>
                      <w:kern w:val="0"/>
                      <w:szCs w:val="21"/>
                    </w:rPr>
                  </w:pPr>
                  <w:r>
                    <w:rPr>
                      <w:rFonts w:eastAsiaTheme="minorEastAsia"/>
                      <w:kern w:val="0"/>
                      <w:szCs w:val="21"/>
                    </w:rPr>
                    <w:t>风管送风式空调机组</w:t>
                  </w:r>
                </w:p>
              </w:tc>
              <w:tc>
                <w:tcPr>
                  <w:tcW w:w="2748" w:type="dxa"/>
                  <w:vAlign w:val="center"/>
                </w:tcPr>
                <w:p w14:paraId="5C1BFFC8">
                  <w:pPr>
                    <w:widowControl/>
                    <w:jc w:val="center"/>
                    <w:rPr>
                      <w:rFonts w:eastAsiaTheme="minorEastAsia"/>
                      <w:kern w:val="0"/>
                      <w:szCs w:val="21"/>
                    </w:rPr>
                  </w:pPr>
                  <w:r>
                    <w:rPr>
                      <w:rFonts w:eastAsiaTheme="minorEastAsia"/>
                      <w:kern w:val="0"/>
                      <w:szCs w:val="21"/>
                    </w:rPr>
                    <w:t>14万m</w:t>
                  </w:r>
                  <w:r>
                    <w:rPr>
                      <w:rFonts w:eastAsiaTheme="minorEastAsia"/>
                      <w:kern w:val="0"/>
                      <w:szCs w:val="21"/>
                      <w:vertAlign w:val="superscript"/>
                    </w:rPr>
                    <w:t>3</w:t>
                  </w:r>
                  <w:r>
                    <w:rPr>
                      <w:rFonts w:eastAsiaTheme="minorEastAsia"/>
                      <w:kern w:val="0"/>
                      <w:szCs w:val="21"/>
                    </w:rPr>
                    <w:t>/h（外检+卷绕电器柜）</w:t>
                  </w:r>
                </w:p>
              </w:tc>
              <w:tc>
                <w:tcPr>
                  <w:tcW w:w="530" w:type="dxa"/>
                  <w:vAlign w:val="center"/>
                </w:tcPr>
                <w:p w14:paraId="39307AD1">
                  <w:pPr>
                    <w:widowControl/>
                    <w:jc w:val="center"/>
                    <w:rPr>
                      <w:rFonts w:eastAsiaTheme="minorEastAsia"/>
                      <w:kern w:val="0"/>
                      <w:szCs w:val="21"/>
                    </w:rPr>
                  </w:pPr>
                  <w:r>
                    <w:rPr>
                      <w:rFonts w:eastAsiaTheme="minorEastAsia"/>
                      <w:kern w:val="0"/>
                      <w:szCs w:val="21"/>
                    </w:rPr>
                    <w:t>台</w:t>
                  </w:r>
                </w:p>
              </w:tc>
              <w:tc>
                <w:tcPr>
                  <w:tcW w:w="1259" w:type="dxa"/>
                  <w:vAlign w:val="center"/>
                </w:tcPr>
                <w:p w14:paraId="13E471A1">
                  <w:pPr>
                    <w:widowControl/>
                    <w:jc w:val="center"/>
                    <w:rPr>
                      <w:rFonts w:eastAsiaTheme="minorEastAsia"/>
                      <w:kern w:val="0"/>
                      <w:szCs w:val="21"/>
                    </w:rPr>
                  </w:pPr>
                  <w:r>
                    <w:rPr>
                      <w:rFonts w:eastAsiaTheme="minorEastAsia"/>
                      <w:kern w:val="0"/>
                      <w:szCs w:val="21"/>
                    </w:rPr>
                    <w:t>1</w:t>
                  </w:r>
                </w:p>
              </w:tc>
              <w:tc>
                <w:tcPr>
                  <w:tcW w:w="672" w:type="dxa"/>
                  <w:vMerge w:val="continue"/>
                  <w:vAlign w:val="center"/>
                </w:tcPr>
                <w:p w14:paraId="5390C2E8">
                  <w:pPr>
                    <w:widowControl/>
                    <w:jc w:val="center"/>
                    <w:rPr>
                      <w:rFonts w:eastAsiaTheme="minorEastAsia"/>
                      <w:kern w:val="0"/>
                      <w:szCs w:val="21"/>
                    </w:rPr>
                  </w:pPr>
                </w:p>
              </w:tc>
            </w:tr>
            <w:tr w14:paraId="32D8F6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05C1FD7B">
                  <w:pPr>
                    <w:widowControl/>
                    <w:jc w:val="center"/>
                    <w:rPr>
                      <w:rFonts w:eastAsiaTheme="minorEastAsia"/>
                      <w:kern w:val="0"/>
                      <w:szCs w:val="21"/>
                    </w:rPr>
                  </w:pPr>
                  <w:r>
                    <w:rPr>
                      <w:rFonts w:eastAsiaTheme="minorEastAsia"/>
                      <w:kern w:val="0"/>
                      <w:szCs w:val="21"/>
                    </w:rPr>
                    <w:t>10</w:t>
                  </w:r>
                </w:p>
              </w:tc>
              <w:tc>
                <w:tcPr>
                  <w:tcW w:w="1924" w:type="dxa"/>
                  <w:vAlign w:val="center"/>
                </w:tcPr>
                <w:p w14:paraId="7E260F94">
                  <w:pPr>
                    <w:widowControl/>
                    <w:jc w:val="center"/>
                    <w:rPr>
                      <w:rFonts w:eastAsiaTheme="minorEastAsia"/>
                      <w:kern w:val="0"/>
                      <w:szCs w:val="21"/>
                    </w:rPr>
                  </w:pPr>
                  <w:r>
                    <w:rPr>
                      <w:rFonts w:eastAsiaTheme="minorEastAsia"/>
                      <w:kern w:val="0"/>
                      <w:szCs w:val="21"/>
                    </w:rPr>
                    <w:t>EVO超声波清洗机</w:t>
                  </w:r>
                </w:p>
              </w:tc>
              <w:tc>
                <w:tcPr>
                  <w:tcW w:w="2748" w:type="dxa"/>
                  <w:vAlign w:val="center"/>
                </w:tcPr>
                <w:p w14:paraId="15308DF0">
                  <w:pPr>
                    <w:widowControl/>
                    <w:jc w:val="center"/>
                    <w:rPr>
                      <w:rFonts w:eastAsiaTheme="minorEastAsia"/>
                      <w:kern w:val="0"/>
                      <w:szCs w:val="21"/>
                    </w:rPr>
                  </w:pPr>
                  <w:r>
                    <w:rPr>
                      <w:rFonts w:eastAsiaTheme="minorEastAsia"/>
                      <w:kern w:val="0"/>
                      <w:szCs w:val="21"/>
                    </w:rPr>
                    <w:t>NF25-9600（蒸汽加热）9.0kW</w:t>
                  </w:r>
                </w:p>
              </w:tc>
              <w:tc>
                <w:tcPr>
                  <w:tcW w:w="530" w:type="dxa"/>
                  <w:vAlign w:val="center"/>
                </w:tcPr>
                <w:p w14:paraId="02C1FCB1">
                  <w:pPr>
                    <w:widowControl/>
                    <w:jc w:val="center"/>
                    <w:rPr>
                      <w:rFonts w:eastAsiaTheme="minorEastAsia"/>
                      <w:kern w:val="0"/>
                      <w:szCs w:val="21"/>
                    </w:rPr>
                  </w:pPr>
                  <w:r>
                    <w:rPr>
                      <w:rFonts w:eastAsiaTheme="minorEastAsia"/>
                      <w:kern w:val="0"/>
                      <w:szCs w:val="21"/>
                    </w:rPr>
                    <w:t>台</w:t>
                  </w:r>
                </w:p>
              </w:tc>
              <w:tc>
                <w:tcPr>
                  <w:tcW w:w="1259" w:type="dxa"/>
                  <w:vAlign w:val="center"/>
                </w:tcPr>
                <w:p w14:paraId="6707D73C">
                  <w:pPr>
                    <w:widowControl/>
                    <w:jc w:val="center"/>
                    <w:rPr>
                      <w:rFonts w:eastAsiaTheme="minorEastAsia"/>
                      <w:kern w:val="0"/>
                      <w:szCs w:val="21"/>
                    </w:rPr>
                  </w:pPr>
                  <w:r>
                    <w:rPr>
                      <w:rFonts w:eastAsiaTheme="minorEastAsia"/>
                      <w:kern w:val="0"/>
                      <w:szCs w:val="21"/>
                    </w:rPr>
                    <w:t>9</w:t>
                  </w:r>
                </w:p>
              </w:tc>
              <w:tc>
                <w:tcPr>
                  <w:tcW w:w="672" w:type="dxa"/>
                  <w:vMerge w:val="continue"/>
                  <w:vAlign w:val="center"/>
                </w:tcPr>
                <w:p w14:paraId="1AF214B9">
                  <w:pPr>
                    <w:widowControl/>
                    <w:jc w:val="center"/>
                    <w:rPr>
                      <w:rFonts w:eastAsiaTheme="minorEastAsia"/>
                      <w:kern w:val="0"/>
                      <w:szCs w:val="21"/>
                    </w:rPr>
                  </w:pPr>
                </w:p>
              </w:tc>
            </w:tr>
            <w:tr w14:paraId="1A026F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488238A6">
                  <w:pPr>
                    <w:widowControl/>
                    <w:jc w:val="center"/>
                    <w:rPr>
                      <w:rFonts w:eastAsiaTheme="minorEastAsia"/>
                      <w:kern w:val="0"/>
                      <w:szCs w:val="21"/>
                    </w:rPr>
                  </w:pPr>
                  <w:r>
                    <w:rPr>
                      <w:rFonts w:eastAsiaTheme="minorEastAsia"/>
                      <w:kern w:val="0"/>
                      <w:szCs w:val="21"/>
                    </w:rPr>
                    <w:t>11</w:t>
                  </w:r>
                </w:p>
              </w:tc>
              <w:tc>
                <w:tcPr>
                  <w:tcW w:w="1924" w:type="dxa"/>
                  <w:vAlign w:val="center"/>
                </w:tcPr>
                <w:p w14:paraId="46C40807">
                  <w:pPr>
                    <w:widowControl/>
                    <w:jc w:val="center"/>
                    <w:rPr>
                      <w:rFonts w:eastAsiaTheme="minorEastAsia"/>
                      <w:kern w:val="0"/>
                      <w:szCs w:val="21"/>
                    </w:rPr>
                  </w:pPr>
                  <w:r>
                    <w:rPr>
                      <w:rFonts w:eastAsiaTheme="minorEastAsia"/>
                      <w:kern w:val="0"/>
                      <w:szCs w:val="21"/>
                    </w:rPr>
                    <w:t>抽屉式组件预热炉</w:t>
                  </w:r>
                </w:p>
              </w:tc>
              <w:tc>
                <w:tcPr>
                  <w:tcW w:w="2748" w:type="dxa"/>
                  <w:vAlign w:val="center"/>
                </w:tcPr>
                <w:p w14:paraId="6974D892">
                  <w:pPr>
                    <w:widowControl/>
                    <w:jc w:val="center"/>
                    <w:rPr>
                      <w:rFonts w:eastAsiaTheme="minorEastAsia"/>
                      <w:kern w:val="0"/>
                      <w:szCs w:val="21"/>
                    </w:rPr>
                  </w:pPr>
                  <w:r>
                    <w:rPr>
                      <w:rFonts w:eastAsiaTheme="minorEastAsia"/>
                      <w:kern w:val="0"/>
                      <w:szCs w:val="21"/>
                    </w:rPr>
                    <w:t>L3270×W950×H1170 定制</w:t>
                  </w:r>
                </w:p>
              </w:tc>
              <w:tc>
                <w:tcPr>
                  <w:tcW w:w="530" w:type="dxa"/>
                  <w:vAlign w:val="center"/>
                </w:tcPr>
                <w:p w14:paraId="42A545AF">
                  <w:pPr>
                    <w:widowControl/>
                    <w:jc w:val="center"/>
                    <w:rPr>
                      <w:rFonts w:eastAsiaTheme="minorEastAsia"/>
                      <w:kern w:val="0"/>
                      <w:szCs w:val="21"/>
                    </w:rPr>
                  </w:pPr>
                  <w:r>
                    <w:rPr>
                      <w:rFonts w:eastAsiaTheme="minorEastAsia"/>
                      <w:kern w:val="0"/>
                      <w:szCs w:val="21"/>
                    </w:rPr>
                    <w:t>台</w:t>
                  </w:r>
                </w:p>
              </w:tc>
              <w:tc>
                <w:tcPr>
                  <w:tcW w:w="1259" w:type="dxa"/>
                  <w:vAlign w:val="center"/>
                </w:tcPr>
                <w:p w14:paraId="596F32F3">
                  <w:pPr>
                    <w:widowControl/>
                    <w:jc w:val="center"/>
                    <w:rPr>
                      <w:rFonts w:eastAsiaTheme="minorEastAsia"/>
                      <w:kern w:val="0"/>
                      <w:szCs w:val="21"/>
                    </w:rPr>
                  </w:pPr>
                  <w:r>
                    <w:rPr>
                      <w:rFonts w:eastAsiaTheme="minorEastAsia"/>
                      <w:kern w:val="0"/>
                      <w:szCs w:val="21"/>
                    </w:rPr>
                    <w:t>20</w:t>
                  </w:r>
                </w:p>
              </w:tc>
              <w:tc>
                <w:tcPr>
                  <w:tcW w:w="672" w:type="dxa"/>
                  <w:vMerge w:val="continue"/>
                  <w:vAlign w:val="center"/>
                </w:tcPr>
                <w:p w14:paraId="417017B8">
                  <w:pPr>
                    <w:widowControl/>
                    <w:jc w:val="center"/>
                    <w:rPr>
                      <w:rFonts w:eastAsiaTheme="minorEastAsia"/>
                      <w:kern w:val="0"/>
                      <w:szCs w:val="21"/>
                    </w:rPr>
                  </w:pPr>
                </w:p>
              </w:tc>
            </w:tr>
            <w:tr w14:paraId="0D2BEB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6A6CA4E3">
                  <w:pPr>
                    <w:widowControl/>
                    <w:jc w:val="center"/>
                    <w:rPr>
                      <w:rFonts w:eastAsiaTheme="minorEastAsia"/>
                      <w:kern w:val="0"/>
                      <w:szCs w:val="21"/>
                    </w:rPr>
                  </w:pPr>
                  <w:r>
                    <w:rPr>
                      <w:rFonts w:eastAsiaTheme="minorEastAsia"/>
                      <w:kern w:val="0"/>
                      <w:szCs w:val="21"/>
                    </w:rPr>
                    <w:t>12</w:t>
                  </w:r>
                </w:p>
              </w:tc>
              <w:tc>
                <w:tcPr>
                  <w:tcW w:w="1924" w:type="dxa"/>
                  <w:vAlign w:val="center"/>
                </w:tcPr>
                <w:p w14:paraId="64FE8901">
                  <w:pPr>
                    <w:widowControl/>
                    <w:jc w:val="center"/>
                    <w:rPr>
                      <w:rFonts w:eastAsiaTheme="minorEastAsia"/>
                      <w:kern w:val="0"/>
                      <w:szCs w:val="21"/>
                    </w:rPr>
                  </w:pPr>
                  <w:r>
                    <w:rPr>
                      <w:rFonts w:eastAsiaTheme="minorEastAsia"/>
                      <w:kern w:val="0"/>
                      <w:szCs w:val="21"/>
                    </w:rPr>
                    <w:t>卧式真空清洗炉</w:t>
                  </w:r>
                </w:p>
              </w:tc>
              <w:tc>
                <w:tcPr>
                  <w:tcW w:w="2748" w:type="dxa"/>
                  <w:vAlign w:val="center"/>
                </w:tcPr>
                <w:p w14:paraId="13DAE4D3">
                  <w:pPr>
                    <w:widowControl/>
                    <w:jc w:val="center"/>
                    <w:rPr>
                      <w:rFonts w:eastAsiaTheme="minorEastAsia"/>
                      <w:kern w:val="0"/>
                      <w:szCs w:val="21"/>
                    </w:rPr>
                  </w:pPr>
                  <w:r>
                    <w:rPr>
                      <w:rFonts w:eastAsiaTheme="minorEastAsia"/>
                      <w:kern w:val="0"/>
                      <w:szCs w:val="21"/>
                    </w:rPr>
                    <w:t>L3200×W2300×H2160 定制</w:t>
                  </w:r>
                </w:p>
              </w:tc>
              <w:tc>
                <w:tcPr>
                  <w:tcW w:w="530" w:type="dxa"/>
                  <w:vAlign w:val="center"/>
                </w:tcPr>
                <w:p w14:paraId="4F8936FC">
                  <w:pPr>
                    <w:widowControl/>
                    <w:jc w:val="center"/>
                    <w:rPr>
                      <w:rFonts w:eastAsiaTheme="minorEastAsia"/>
                      <w:kern w:val="0"/>
                      <w:szCs w:val="21"/>
                    </w:rPr>
                  </w:pPr>
                  <w:r>
                    <w:rPr>
                      <w:rFonts w:eastAsiaTheme="minorEastAsia"/>
                      <w:kern w:val="0"/>
                      <w:szCs w:val="21"/>
                    </w:rPr>
                    <w:t>台</w:t>
                  </w:r>
                </w:p>
              </w:tc>
              <w:tc>
                <w:tcPr>
                  <w:tcW w:w="1259" w:type="dxa"/>
                  <w:vAlign w:val="center"/>
                </w:tcPr>
                <w:p w14:paraId="5E0F548F">
                  <w:pPr>
                    <w:widowControl/>
                    <w:jc w:val="center"/>
                    <w:rPr>
                      <w:rFonts w:eastAsiaTheme="minorEastAsia"/>
                      <w:kern w:val="0"/>
                      <w:szCs w:val="21"/>
                    </w:rPr>
                  </w:pPr>
                  <w:r>
                    <w:rPr>
                      <w:rFonts w:eastAsiaTheme="minorEastAsia"/>
                      <w:kern w:val="0"/>
                      <w:szCs w:val="21"/>
                    </w:rPr>
                    <w:t>11</w:t>
                  </w:r>
                </w:p>
              </w:tc>
              <w:tc>
                <w:tcPr>
                  <w:tcW w:w="672" w:type="dxa"/>
                  <w:vMerge w:val="continue"/>
                  <w:vAlign w:val="center"/>
                </w:tcPr>
                <w:p w14:paraId="45C88428">
                  <w:pPr>
                    <w:widowControl/>
                    <w:jc w:val="center"/>
                    <w:rPr>
                      <w:rFonts w:eastAsiaTheme="minorEastAsia"/>
                      <w:kern w:val="0"/>
                      <w:szCs w:val="21"/>
                    </w:rPr>
                  </w:pPr>
                </w:p>
              </w:tc>
            </w:tr>
            <w:tr w14:paraId="43DCF9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68EA3FDD">
                  <w:pPr>
                    <w:widowControl/>
                    <w:jc w:val="center"/>
                    <w:rPr>
                      <w:rFonts w:eastAsiaTheme="minorEastAsia"/>
                      <w:kern w:val="0"/>
                      <w:szCs w:val="21"/>
                    </w:rPr>
                  </w:pPr>
                  <w:r>
                    <w:rPr>
                      <w:rFonts w:eastAsiaTheme="minorEastAsia"/>
                      <w:kern w:val="0"/>
                      <w:szCs w:val="21"/>
                    </w:rPr>
                    <w:t>13</w:t>
                  </w:r>
                </w:p>
              </w:tc>
              <w:tc>
                <w:tcPr>
                  <w:tcW w:w="1924" w:type="dxa"/>
                  <w:vAlign w:val="center"/>
                </w:tcPr>
                <w:p w14:paraId="7DA100A9">
                  <w:pPr>
                    <w:widowControl/>
                    <w:jc w:val="center"/>
                    <w:rPr>
                      <w:rFonts w:eastAsiaTheme="minorEastAsia"/>
                      <w:kern w:val="0"/>
                      <w:szCs w:val="21"/>
                    </w:rPr>
                  </w:pPr>
                  <w:r>
                    <w:rPr>
                      <w:rFonts w:eastAsiaTheme="minorEastAsia"/>
                      <w:kern w:val="0"/>
                      <w:szCs w:val="21"/>
                    </w:rPr>
                    <w:t>水解炉</w:t>
                  </w:r>
                </w:p>
              </w:tc>
              <w:tc>
                <w:tcPr>
                  <w:tcW w:w="2748" w:type="dxa"/>
                  <w:vAlign w:val="center"/>
                </w:tcPr>
                <w:p w14:paraId="24A34B82">
                  <w:pPr>
                    <w:widowControl/>
                    <w:jc w:val="center"/>
                    <w:rPr>
                      <w:rFonts w:eastAsiaTheme="minorEastAsia"/>
                      <w:kern w:val="0"/>
                      <w:szCs w:val="21"/>
                    </w:rPr>
                  </w:pPr>
                  <w:r>
                    <w:rPr>
                      <w:rFonts w:eastAsiaTheme="minorEastAsia"/>
                      <w:kern w:val="0"/>
                      <w:szCs w:val="21"/>
                    </w:rPr>
                    <w:t>碱水解炉\L1750*12502 定制</w:t>
                  </w:r>
                </w:p>
              </w:tc>
              <w:tc>
                <w:tcPr>
                  <w:tcW w:w="530" w:type="dxa"/>
                  <w:vAlign w:val="center"/>
                </w:tcPr>
                <w:p w14:paraId="2794744C">
                  <w:pPr>
                    <w:widowControl/>
                    <w:jc w:val="center"/>
                    <w:rPr>
                      <w:rFonts w:eastAsiaTheme="minorEastAsia"/>
                      <w:kern w:val="0"/>
                      <w:szCs w:val="21"/>
                    </w:rPr>
                  </w:pPr>
                  <w:r>
                    <w:rPr>
                      <w:rFonts w:eastAsiaTheme="minorEastAsia"/>
                      <w:kern w:val="0"/>
                      <w:szCs w:val="21"/>
                    </w:rPr>
                    <w:t>台</w:t>
                  </w:r>
                </w:p>
              </w:tc>
              <w:tc>
                <w:tcPr>
                  <w:tcW w:w="1259" w:type="dxa"/>
                  <w:vAlign w:val="center"/>
                </w:tcPr>
                <w:p w14:paraId="053E58B0">
                  <w:pPr>
                    <w:widowControl/>
                    <w:jc w:val="center"/>
                    <w:rPr>
                      <w:rFonts w:eastAsiaTheme="minorEastAsia"/>
                      <w:kern w:val="0"/>
                      <w:szCs w:val="21"/>
                    </w:rPr>
                  </w:pPr>
                  <w:r>
                    <w:rPr>
                      <w:rFonts w:eastAsiaTheme="minorEastAsia"/>
                      <w:kern w:val="0"/>
                      <w:szCs w:val="21"/>
                    </w:rPr>
                    <w:t>3</w:t>
                  </w:r>
                </w:p>
              </w:tc>
              <w:tc>
                <w:tcPr>
                  <w:tcW w:w="672" w:type="dxa"/>
                  <w:vMerge w:val="continue"/>
                  <w:vAlign w:val="center"/>
                </w:tcPr>
                <w:p w14:paraId="4F4155EA">
                  <w:pPr>
                    <w:widowControl/>
                    <w:jc w:val="center"/>
                    <w:rPr>
                      <w:rFonts w:eastAsiaTheme="minorEastAsia"/>
                      <w:kern w:val="0"/>
                      <w:szCs w:val="21"/>
                    </w:rPr>
                  </w:pPr>
                </w:p>
              </w:tc>
            </w:tr>
            <w:tr w14:paraId="5E76A0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0F5F91F6">
                  <w:pPr>
                    <w:widowControl/>
                    <w:jc w:val="center"/>
                    <w:rPr>
                      <w:rFonts w:eastAsiaTheme="minorEastAsia"/>
                      <w:kern w:val="0"/>
                      <w:szCs w:val="21"/>
                    </w:rPr>
                  </w:pPr>
                  <w:r>
                    <w:rPr>
                      <w:rFonts w:eastAsiaTheme="minorEastAsia"/>
                      <w:kern w:val="0"/>
                      <w:szCs w:val="21"/>
                    </w:rPr>
                    <w:t>14</w:t>
                  </w:r>
                </w:p>
              </w:tc>
              <w:tc>
                <w:tcPr>
                  <w:tcW w:w="1924" w:type="dxa"/>
                  <w:vAlign w:val="center"/>
                </w:tcPr>
                <w:p w14:paraId="606F531F">
                  <w:pPr>
                    <w:widowControl/>
                    <w:jc w:val="center"/>
                    <w:rPr>
                      <w:rFonts w:eastAsiaTheme="minorEastAsia"/>
                      <w:kern w:val="0"/>
                      <w:szCs w:val="21"/>
                    </w:rPr>
                  </w:pPr>
                  <w:r>
                    <w:rPr>
                      <w:rFonts w:eastAsiaTheme="minorEastAsia"/>
                      <w:kern w:val="0"/>
                      <w:szCs w:val="21"/>
                    </w:rPr>
                    <w:t>碱、水洗槽</w:t>
                  </w:r>
                </w:p>
              </w:tc>
              <w:tc>
                <w:tcPr>
                  <w:tcW w:w="2748" w:type="dxa"/>
                  <w:vAlign w:val="center"/>
                </w:tcPr>
                <w:p w14:paraId="29D4B46A">
                  <w:pPr>
                    <w:widowControl/>
                    <w:jc w:val="center"/>
                    <w:rPr>
                      <w:rFonts w:eastAsiaTheme="minorEastAsia"/>
                      <w:kern w:val="0"/>
                      <w:szCs w:val="21"/>
                    </w:rPr>
                  </w:pPr>
                  <w:r>
                    <w:rPr>
                      <w:rFonts w:eastAsiaTheme="minorEastAsia"/>
                      <w:kern w:val="0"/>
                      <w:szCs w:val="21"/>
                    </w:rPr>
                    <w:t>L1750×Φ1250 定制</w:t>
                  </w:r>
                </w:p>
              </w:tc>
              <w:tc>
                <w:tcPr>
                  <w:tcW w:w="530" w:type="dxa"/>
                  <w:vAlign w:val="center"/>
                </w:tcPr>
                <w:p w14:paraId="601A0C6A">
                  <w:pPr>
                    <w:widowControl/>
                    <w:jc w:val="center"/>
                    <w:rPr>
                      <w:rFonts w:eastAsiaTheme="minorEastAsia"/>
                      <w:kern w:val="0"/>
                      <w:szCs w:val="21"/>
                    </w:rPr>
                  </w:pPr>
                  <w:r>
                    <w:rPr>
                      <w:rFonts w:eastAsiaTheme="minorEastAsia"/>
                      <w:kern w:val="0"/>
                      <w:szCs w:val="21"/>
                    </w:rPr>
                    <w:t>台</w:t>
                  </w:r>
                </w:p>
              </w:tc>
              <w:tc>
                <w:tcPr>
                  <w:tcW w:w="1259" w:type="dxa"/>
                  <w:vAlign w:val="center"/>
                </w:tcPr>
                <w:p w14:paraId="625B2A67">
                  <w:pPr>
                    <w:widowControl/>
                    <w:jc w:val="center"/>
                    <w:rPr>
                      <w:rFonts w:eastAsiaTheme="minorEastAsia"/>
                      <w:kern w:val="0"/>
                      <w:szCs w:val="21"/>
                    </w:rPr>
                  </w:pPr>
                  <w:r>
                    <w:rPr>
                      <w:rFonts w:eastAsiaTheme="minorEastAsia"/>
                      <w:kern w:val="0"/>
                      <w:szCs w:val="21"/>
                    </w:rPr>
                    <w:t>8</w:t>
                  </w:r>
                </w:p>
              </w:tc>
              <w:tc>
                <w:tcPr>
                  <w:tcW w:w="672" w:type="dxa"/>
                  <w:vMerge w:val="continue"/>
                  <w:vAlign w:val="center"/>
                </w:tcPr>
                <w:p w14:paraId="33951E95">
                  <w:pPr>
                    <w:widowControl/>
                    <w:jc w:val="center"/>
                    <w:rPr>
                      <w:rFonts w:eastAsiaTheme="minorEastAsia"/>
                      <w:kern w:val="0"/>
                      <w:szCs w:val="21"/>
                    </w:rPr>
                  </w:pPr>
                </w:p>
              </w:tc>
            </w:tr>
            <w:tr w14:paraId="1F2E6E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08050F68">
                  <w:pPr>
                    <w:widowControl/>
                    <w:jc w:val="center"/>
                    <w:rPr>
                      <w:rFonts w:eastAsiaTheme="minorEastAsia"/>
                      <w:kern w:val="0"/>
                      <w:szCs w:val="21"/>
                    </w:rPr>
                  </w:pPr>
                  <w:r>
                    <w:rPr>
                      <w:rFonts w:eastAsiaTheme="minorEastAsia"/>
                      <w:kern w:val="0"/>
                      <w:szCs w:val="21"/>
                    </w:rPr>
                    <w:t>15</w:t>
                  </w:r>
                </w:p>
              </w:tc>
              <w:tc>
                <w:tcPr>
                  <w:tcW w:w="1924" w:type="dxa"/>
                  <w:vAlign w:val="center"/>
                </w:tcPr>
                <w:p w14:paraId="452CBE35">
                  <w:pPr>
                    <w:widowControl/>
                    <w:jc w:val="center"/>
                    <w:rPr>
                      <w:rFonts w:eastAsiaTheme="minorEastAsia"/>
                      <w:kern w:val="0"/>
                      <w:szCs w:val="21"/>
                    </w:rPr>
                  </w:pPr>
                  <w:r>
                    <w:rPr>
                      <w:rFonts w:eastAsiaTheme="minorEastAsia"/>
                      <w:kern w:val="0"/>
                      <w:szCs w:val="21"/>
                    </w:rPr>
                    <w:t>镜检仪</w:t>
                  </w:r>
                </w:p>
              </w:tc>
              <w:tc>
                <w:tcPr>
                  <w:tcW w:w="2748" w:type="dxa"/>
                  <w:vAlign w:val="center"/>
                </w:tcPr>
                <w:p w14:paraId="6089BE49">
                  <w:pPr>
                    <w:widowControl/>
                    <w:jc w:val="center"/>
                    <w:rPr>
                      <w:rFonts w:eastAsiaTheme="minorEastAsia"/>
                      <w:kern w:val="0"/>
                      <w:szCs w:val="21"/>
                    </w:rPr>
                  </w:pPr>
                  <w:r>
                    <w:rPr>
                      <w:rFonts w:eastAsiaTheme="minorEastAsia"/>
                      <w:kern w:val="0"/>
                      <w:szCs w:val="21"/>
                    </w:rPr>
                    <w:t>南京提升 XRSP-2021</w:t>
                  </w:r>
                </w:p>
              </w:tc>
              <w:tc>
                <w:tcPr>
                  <w:tcW w:w="530" w:type="dxa"/>
                  <w:vAlign w:val="center"/>
                </w:tcPr>
                <w:p w14:paraId="1F55D7DB">
                  <w:pPr>
                    <w:widowControl/>
                    <w:jc w:val="center"/>
                    <w:rPr>
                      <w:rFonts w:eastAsiaTheme="minorEastAsia"/>
                      <w:kern w:val="0"/>
                      <w:szCs w:val="21"/>
                    </w:rPr>
                  </w:pPr>
                  <w:r>
                    <w:rPr>
                      <w:rFonts w:eastAsiaTheme="minorEastAsia"/>
                      <w:kern w:val="0"/>
                      <w:szCs w:val="21"/>
                    </w:rPr>
                    <w:t>台</w:t>
                  </w:r>
                </w:p>
              </w:tc>
              <w:tc>
                <w:tcPr>
                  <w:tcW w:w="1259" w:type="dxa"/>
                  <w:vAlign w:val="center"/>
                </w:tcPr>
                <w:p w14:paraId="3B469E29">
                  <w:pPr>
                    <w:widowControl/>
                    <w:jc w:val="center"/>
                    <w:rPr>
                      <w:rFonts w:eastAsiaTheme="minorEastAsia"/>
                      <w:kern w:val="0"/>
                      <w:szCs w:val="21"/>
                    </w:rPr>
                  </w:pPr>
                  <w:r>
                    <w:rPr>
                      <w:rFonts w:eastAsiaTheme="minorEastAsia"/>
                      <w:kern w:val="0"/>
                      <w:szCs w:val="21"/>
                    </w:rPr>
                    <w:t>9</w:t>
                  </w:r>
                </w:p>
              </w:tc>
              <w:tc>
                <w:tcPr>
                  <w:tcW w:w="672" w:type="dxa"/>
                  <w:vMerge w:val="continue"/>
                  <w:vAlign w:val="center"/>
                </w:tcPr>
                <w:p w14:paraId="2BD2DE60">
                  <w:pPr>
                    <w:widowControl/>
                    <w:jc w:val="center"/>
                    <w:rPr>
                      <w:rFonts w:eastAsiaTheme="minorEastAsia"/>
                      <w:kern w:val="0"/>
                      <w:szCs w:val="21"/>
                    </w:rPr>
                  </w:pPr>
                </w:p>
              </w:tc>
            </w:tr>
            <w:tr w14:paraId="231632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534581AC">
                  <w:pPr>
                    <w:widowControl/>
                    <w:jc w:val="center"/>
                    <w:rPr>
                      <w:rFonts w:eastAsiaTheme="minorEastAsia"/>
                      <w:kern w:val="0"/>
                      <w:szCs w:val="21"/>
                    </w:rPr>
                  </w:pPr>
                  <w:r>
                    <w:rPr>
                      <w:rFonts w:eastAsiaTheme="minorEastAsia"/>
                      <w:kern w:val="0"/>
                      <w:szCs w:val="21"/>
                    </w:rPr>
                    <w:t>16</w:t>
                  </w:r>
                </w:p>
              </w:tc>
              <w:tc>
                <w:tcPr>
                  <w:tcW w:w="1924" w:type="dxa"/>
                  <w:vAlign w:val="center"/>
                </w:tcPr>
                <w:p w14:paraId="2C8C8EB5">
                  <w:pPr>
                    <w:widowControl/>
                    <w:jc w:val="center"/>
                    <w:rPr>
                      <w:rFonts w:eastAsiaTheme="minorEastAsia"/>
                      <w:kern w:val="0"/>
                      <w:szCs w:val="21"/>
                    </w:rPr>
                  </w:pPr>
                  <w:r>
                    <w:rPr>
                      <w:rFonts w:eastAsiaTheme="minorEastAsia"/>
                      <w:kern w:val="0"/>
                      <w:szCs w:val="21"/>
                    </w:rPr>
                    <w:t>脱盐水加热槽</w:t>
                  </w:r>
                </w:p>
              </w:tc>
              <w:tc>
                <w:tcPr>
                  <w:tcW w:w="2748" w:type="dxa"/>
                  <w:vAlign w:val="center"/>
                </w:tcPr>
                <w:p w14:paraId="274B8CD3">
                  <w:pPr>
                    <w:widowControl/>
                    <w:jc w:val="center"/>
                    <w:rPr>
                      <w:rFonts w:eastAsiaTheme="minorEastAsia"/>
                      <w:kern w:val="0"/>
                      <w:szCs w:val="21"/>
                    </w:rPr>
                  </w:pPr>
                  <w:r>
                    <w:rPr>
                      <w:rFonts w:eastAsiaTheme="minorEastAsia"/>
                      <w:kern w:val="0"/>
                      <w:szCs w:val="21"/>
                    </w:rPr>
                    <w:t>L1600×W800×H1200 定制</w:t>
                  </w:r>
                </w:p>
              </w:tc>
              <w:tc>
                <w:tcPr>
                  <w:tcW w:w="530" w:type="dxa"/>
                  <w:vAlign w:val="center"/>
                </w:tcPr>
                <w:p w14:paraId="186630AE">
                  <w:pPr>
                    <w:widowControl/>
                    <w:jc w:val="center"/>
                    <w:rPr>
                      <w:rFonts w:eastAsiaTheme="minorEastAsia"/>
                      <w:kern w:val="0"/>
                      <w:szCs w:val="21"/>
                    </w:rPr>
                  </w:pPr>
                  <w:r>
                    <w:rPr>
                      <w:rFonts w:eastAsiaTheme="minorEastAsia"/>
                      <w:kern w:val="0"/>
                      <w:szCs w:val="21"/>
                    </w:rPr>
                    <w:t>台</w:t>
                  </w:r>
                </w:p>
              </w:tc>
              <w:tc>
                <w:tcPr>
                  <w:tcW w:w="1259" w:type="dxa"/>
                  <w:vAlign w:val="center"/>
                </w:tcPr>
                <w:p w14:paraId="23663544">
                  <w:pPr>
                    <w:widowControl/>
                    <w:jc w:val="center"/>
                    <w:rPr>
                      <w:rFonts w:eastAsiaTheme="minorEastAsia"/>
                      <w:kern w:val="0"/>
                      <w:szCs w:val="21"/>
                    </w:rPr>
                  </w:pPr>
                  <w:r>
                    <w:rPr>
                      <w:rFonts w:eastAsiaTheme="minorEastAsia"/>
                      <w:kern w:val="0"/>
                      <w:szCs w:val="21"/>
                    </w:rPr>
                    <w:t>1</w:t>
                  </w:r>
                </w:p>
              </w:tc>
              <w:tc>
                <w:tcPr>
                  <w:tcW w:w="672" w:type="dxa"/>
                  <w:vMerge w:val="continue"/>
                  <w:vAlign w:val="center"/>
                </w:tcPr>
                <w:p w14:paraId="37A82ADF">
                  <w:pPr>
                    <w:widowControl/>
                    <w:jc w:val="center"/>
                    <w:rPr>
                      <w:rFonts w:eastAsiaTheme="minorEastAsia"/>
                      <w:kern w:val="0"/>
                      <w:szCs w:val="21"/>
                    </w:rPr>
                  </w:pPr>
                </w:p>
              </w:tc>
            </w:tr>
            <w:tr w14:paraId="420924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258B9124">
                  <w:pPr>
                    <w:widowControl/>
                    <w:jc w:val="center"/>
                    <w:rPr>
                      <w:rFonts w:eastAsiaTheme="minorEastAsia"/>
                      <w:kern w:val="0"/>
                      <w:szCs w:val="21"/>
                    </w:rPr>
                  </w:pPr>
                  <w:r>
                    <w:rPr>
                      <w:rFonts w:eastAsiaTheme="minorEastAsia"/>
                      <w:kern w:val="0"/>
                      <w:szCs w:val="21"/>
                    </w:rPr>
                    <w:t>17</w:t>
                  </w:r>
                </w:p>
              </w:tc>
              <w:tc>
                <w:tcPr>
                  <w:tcW w:w="1924" w:type="dxa"/>
                  <w:vAlign w:val="center"/>
                </w:tcPr>
                <w:p w14:paraId="764BD92F">
                  <w:pPr>
                    <w:widowControl/>
                    <w:jc w:val="center"/>
                    <w:rPr>
                      <w:rFonts w:eastAsiaTheme="minorEastAsia"/>
                      <w:kern w:val="0"/>
                      <w:szCs w:val="21"/>
                    </w:rPr>
                  </w:pPr>
                  <w:r>
                    <w:rPr>
                      <w:rFonts w:eastAsiaTheme="minorEastAsia"/>
                      <w:kern w:val="0"/>
                      <w:szCs w:val="21"/>
                    </w:rPr>
                    <w:t>喷丝板存放柜</w:t>
                  </w:r>
                </w:p>
              </w:tc>
              <w:tc>
                <w:tcPr>
                  <w:tcW w:w="2748" w:type="dxa"/>
                  <w:vAlign w:val="center"/>
                </w:tcPr>
                <w:p w14:paraId="56D7C860">
                  <w:pPr>
                    <w:widowControl/>
                    <w:jc w:val="center"/>
                    <w:rPr>
                      <w:rFonts w:eastAsiaTheme="minorEastAsia"/>
                      <w:kern w:val="0"/>
                      <w:szCs w:val="21"/>
                    </w:rPr>
                  </w:pPr>
                  <w:r>
                    <w:rPr>
                      <w:rFonts w:eastAsiaTheme="minorEastAsia"/>
                      <w:kern w:val="0"/>
                      <w:szCs w:val="21"/>
                    </w:rPr>
                    <w:t>L580×W290×H145 定制</w:t>
                  </w:r>
                </w:p>
              </w:tc>
              <w:tc>
                <w:tcPr>
                  <w:tcW w:w="530" w:type="dxa"/>
                  <w:vAlign w:val="center"/>
                </w:tcPr>
                <w:p w14:paraId="2F2EDEB9">
                  <w:pPr>
                    <w:widowControl/>
                    <w:jc w:val="center"/>
                    <w:rPr>
                      <w:rFonts w:eastAsiaTheme="minorEastAsia"/>
                      <w:kern w:val="0"/>
                      <w:szCs w:val="21"/>
                    </w:rPr>
                  </w:pPr>
                  <w:r>
                    <w:rPr>
                      <w:rFonts w:eastAsiaTheme="minorEastAsia"/>
                      <w:kern w:val="0"/>
                      <w:szCs w:val="21"/>
                    </w:rPr>
                    <w:t>个</w:t>
                  </w:r>
                </w:p>
              </w:tc>
              <w:tc>
                <w:tcPr>
                  <w:tcW w:w="1259" w:type="dxa"/>
                  <w:vAlign w:val="center"/>
                </w:tcPr>
                <w:p w14:paraId="34231C80">
                  <w:pPr>
                    <w:widowControl/>
                    <w:jc w:val="center"/>
                    <w:rPr>
                      <w:rFonts w:eastAsiaTheme="minorEastAsia"/>
                      <w:kern w:val="0"/>
                      <w:szCs w:val="21"/>
                    </w:rPr>
                  </w:pPr>
                  <w:r>
                    <w:rPr>
                      <w:rFonts w:eastAsiaTheme="minorEastAsia"/>
                      <w:kern w:val="0"/>
                      <w:szCs w:val="21"/>
                    </w:rPr>
                    <w:t>30</w:t>
                  </w:r>
                </w:p>
              </w:tc>
              <w:tc>
                <w:tcPr>
                  <w:tcW w:w="672" w:type="dxa"/>
                  <w:vMerge w:val="continue"/>
                  <w:vAlign w:val="center"/>
                </w:tcPr>
                <w:p w14:paraId="0D99F1E1">
                  <w:pPr>
                    <w:widowControl/>
                    <w:jc w:val="center"/>
                    <w:rPr>
                      <w:rFonts w:eastAsiaTheme="minorEastAsia"/>
                      <w:kern w:val="0"/>
                      <w:szCs w:val="21"/>
                    </w:rPr>
                  </w:pPr>
                </w:p>
              </w:tc>
            </w:tr>
            <w:tr w14:paraId="3E6683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73C29AF3">
                  <w:pPr>
                    <w:widowControl/>
                    <w:jc w:val="center"/>
                    <w:rPr>
                      <w:rFonts w:eastAsiaTheme="minorEastAsia"/>
                      <w:kern w:val="0"/>
                      <w:szCs w:val="21"/>
                    </w:rPr>
                  </w:pPr>
                  <w:r>
                    <w:rPr>
                      <w:rFonts w:eastAsiaTheme="minorEastAsia"/>
                      <w:kern w:val="0"/>
                      <w:szCs w:val="21"/>
                    </w:rPr>
                    <w:t>18</w:t>
                  </w:r>
                </w:p>
              </w:tc>
              <w:tc>
                <w:tcPr>
                  <w:tcW w:w="1924" w:type="dxa"/>
                  <w:vAlign w:val="center"/>
                </w:tcPr>
                <w:p w14:paraId="0BBF5B96">
                  <w:pPr>
                    <w:widowControl/>
                    <w:jc w:val="center"/>
                    <w:rPr>
                      <w:rFonts w:eastAsiaTheme="minorEastAsia"/>
                      <w:kern w:val="0"/>
                      <w:szCs w:val="21"/>
                    </w:rPr>
                  </w:pPr>
                  <w:r>
                    <w:rPr>
                      <w:rFonts w:eastAsiaTheme="minorEastAsia"/>
                      <w:kern w:val="0"/>
                      <w:szCs w:val="21"/>
                    </w:rPr>
                    <w:t>组件超声波清洗机</w:t>
                  </w:r>
                </w:p>
              </w:tc>
              <w:tc>
                <w:tcPr>
                  <w:tcW w:w="2748" w:type="dxa"/>
                  <w:vAlign w:val="center"/>
                </w:tcPr>
                <w:p w14:paraId="47292DFB">
                  <w:pPr>
                    <w:widowControl/>
                    <w:jc w:val="center"/>
                    <w:rPr>
                      <w:rFonts w:eastAsiaTheme="minorEastAsia"/>
                      <w:kern w:val="0"/>
                      <w:szCs w:val="21"/>
                    </w:rPr>
                  </w:pPr>
                  <w:r>
                    <w:rPr>
                      <w:rFonts w:eastAsiaTheme="minorEastAsia"/>
                      <w:kern w:val="0"/>
                      <w:szCs w:val="21"/>
                    </w:rPr>
                    <w:t>NU25-9900TQ（真空脱气）9.9kW</w:t>
                  </w:r>
                </w:p>
              </w:tc>
              <w:tc>
                <w:tcPr>
                  <w:tcW w:w="530" w:type="dxa"/>
                  <w:vAlign w:val="center"/>
                </w:tcPr>
                <w:p w14:paraId="11D5E1A2">
                  <w:pPr>
                    <w:widowControl/>
                    <w:jc w:val="center"/>
                    <w:rPr>
                      <w:rFonts w:eastAsiaTheme="minorEastAsia"/>
                      <w:kern w:val="0"/>
                      <w:szCs w:val="21"/>
                    </w:rPr>
                  </w:pPr>
                  <w:r>
                    <w:rPr>
                      <w:rFonts w:eastAsiaTheme="minorEastAsia"/>
                      <w:kern w:val="0"/>
                      <w:szCs w:val="21"/>
                    </w:rPr>
                    <w:t>台</w:t>
                  </w:r>
                </w:p>
              </w:tc>
              <w:tc>
                <w:tcPr>
                  <w:tcW w:w="1259" w:type="dxa"/>
                  <w:vAlign w:val="center"/>
                </w:tcPr>
                <w:p w14:paraId="553DC975">
                  <w:pPr>
                    <w:widowControl/>
                    <w:jc w:val="center"/>
                    <w:rPr>
                      <w:rFonts w:eastAsiaTheme="minorEastAsia"/>
                      <w:kern w:val="0"/>
                      <w:szCs w:val="21"/>
                    </w:rPr>
                  </w:pPr>
                  <w:r>
                    <w:rPr>
                      <w:rFonts w:eastAsiaTheme="minorEastAsia"/>
                      <w:kern w:val="0"/>
                      <w:szCs w:val="21"/>
                    </w:rPr>
                    <w:t>7</w:t>
                  </w:r>
                </w:p>
              </w:tc>
              <w:tc>
                <w:tcPr>
                  <w:tcW w:w="672" w:type="dxa"/>
                  <w:vMerge w:val="continue"/>
                  <w:vAlign w:val="center"/>
                </w:tcPr>
                <w:p w14:paraId="3ABA4BE7">
                  <w:pPr>
                    <w:widowControl/>
                    <w:jc w:val="center"/>
                    <w:rPr>
                      <w:rFonts w:eastAsiaTheme="minorEastAsia"/>
                      <w:kern w:val="0"/>
                      <w:szCs w:val="21"/>
                    </w:rPr>
                  </w:pPr>
                </w:p>
              </w:tc>
            </w:tr>
            <w:tr w14:paraId="7CFD3B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7DDE9B5D">
                  <w:pPr>
                    <w:widowControl/>
                    <w:jc w:val="center"/>
                    <w:rPr>
                      <w:rFonts w:eastAsiaTheme="minorEastAsia"/>
                      <w:kern w:val="0"/>
                      <w:szCs w:val="21"/>
                    </w:rPr>
                  </w:pPr>
                  <w:r>
                    <w:rPr>
                      <w:rFonts w:eastAsiaTheme="minorEastAsia"/>
                      <w:kern w:val="0"/>
                      <w:szCs w:val="21"/>
                    </w:rPr>
                    <w:t>19</w:t>
                  </w:r>
                </w:p>
              </w:tc>
              <w:tc>
                <w:tcPr>
                  <w:tcW w:w="1924" w:type="dxa"/>
                  <w:vAlign w:val="center"/>
                </w:tcPr>
                <w:p w14:paraId="5FFB414F">
                  <w:pPr>
                    <w:widowControl/>
                    <w:jc w:val="center"/>
                    <w:rPr>
                      <w:rFonts w:eastAsiaTheme="minorEastAsia"/>
                      <w:kern w:val="0"/>
                      <w:szCs w:val="21"/>
                    </w:rPr>
                  </w:pPr>
                  <w:r>
                    <w:rPr>
                      <w:rFonts w:eastAsiaTheme="minorEastAsia"/>
                      <w:kern w:val="0"/>
                      <w:szCs w:val="21"/>
                    </w:rPr>
                    <w:t>组件超声波清洗机</w:t>
                  </w:r>
                </w:p>
              </w:tc>
              <w:tc>
                <w:tcPr>
                  <w:tcW w:w="2748" w:type="dxa"/>
                  <w:vAlign w:val="center"/>
                </w:tcPr>
                <w:p w14:paraId="45055DB9">
                  <w:pPr>
                    <w:widowControl/>
                    <w:jc w:val="center"/>
                    <w:rPr>
                      <w:rFonts w:eastAsiaTheme="minorEastAsia"/>
                      <w:kern w:val="0"/>
                      <w:szCs w:val="21"/>
                    </w:rPr>
                  </w:pPr>
                  <w:r>
                    <w:rPr>
                      <w:rFonts w:eastAsiaTheme="minorEastAsia"/>
                      <w:kern w:val="0"/>
                      <w:szCs w:val="21"/>
                    </w:rPr>
                    <w:t>NFU-1520D-X型</w:t>
                  </w:r>
                </w:p>
              </w:tc>
              <w:tc>
                <w:tcPr>
                  <w:tcW w:w="530" w:type="dxa"/>
                  <w:vAlign w:val="center"/>
                </w:tcPr>
                <w:p w14:paraId="79E95CDE">
                  <w:pPr>
                    <w:widowControl/>
                    <w:jc w:val="center"/>
                    <w:rPr>
                      <w:rFonts w:eastAsiaTheme="minorEastAsia"/>
                      <w:kern w:val="0"/>
                      <w:szCs w:val="21"/>
                    </w:rPr>
                  </w:pPr>
                  <w:r>
                    <w:rPr>
                      <w:rFonts w:eastAsiaTheme="minorEastAsia"/>
                      <w:kern w:val="0"/>
                      <w:szCs w:val="21"/>
                    </w:rPr>
                    <w:t>台</w:t>
                  </w:r>
                </w:p>
              </w:tc>
              <w:tc>
                <w:tcPr>
                  <w:tcW w:w="1259" w:type="dxa"/>
                  <w:vAlign w:val="center"/>
                </w:tcPr>
                <w:p w14:paraId="089CA89D">
                  <w:pPr>
                    <w:widowControl/>
                    <w:jc w:val="center"/>
                    <w:rPr>
                      <w:rFonts w:eastAsiaTheme="minorEastAsia"/>
                      <w:kern w:val="0"/>
                      <w:szCs w:val="21"/>
                    </w:rPr>
                  </w:pPr>
                  <w:r>
                    <w:rPr>
                      <w:rFonts w:eastAsiaTheme="minorEastAsia"/>
                      <w:kern w:val="0"/>
                      <w:szCs w:val="21"/>
                    </w:rPr>
                    <w:t>2</w:t>
                  </w:r>
                </w:p>
              </w:tc>
              <w:tc>
                <w:tcPr>
                  <w:tcW w:w="672" w:type="dxa"/>
                  <w:vMerge w:val="continue"/>
                  <w:vAlign w:val="center"/>
                </w:tcPr>
                <w:p w14:paraId="33EB8914">
                  <w:pPr>
                    <w:widowControl/>
                    <w:jc w:val="center"/>
                    <w:rPr>
                      <w:rFonts w:eastAsiaTheme="minorEastAsia"/>
                      <w:kern w:val="0"/>
                      <w:szCs w:val="21"/>
                    </w:rPr>
                  </w:pPr>
                </w:p>
              </w:tc>
            </w:tr>
            <w:tr w14:paraId="7AB667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19D3B9F0">
                  <w:pPr>
                    <w:widowControl/>
                    <w:jc w:val="center"/>
                    <w:rPr>
                      <w:rFonts w:eastAsiaTheme="minorEastAsia"/>
                      <w:kern w:val="0"/>
                      <w:szCs w:val="21"/>
                    </w:rPr>
                  </w:pPr>
                  <w:r>
                    <w:rPr>
                      <w:rFonts w:eastAsiaTheme="minorEastAsia"/>
                      <w:kern w:val="0"/>
                      <w:szCs w:val="21"/>
                    </w:rPr>
                    <w:t>20</w:t>
                  </w:r>
                </w:p>
              </w:tc>
              <w:tc>
                <w:tcPr>
                  <w:tcW w:w="1924" w:type="dxa"/>
                  <w:vAlign w:val="center"/>
                </w:tcPr>
                <w:p w14:paraId="6A90F371">
                  <w:pPr>
                    <w:widowControl/>
                    <w:jc w:val="center"/>
                    <w:rPr>
                      <w:rFonts w:eastAsiaTheme="minorEastAsia"/>
                      <w:kern w:val="0"/>
                      <w:szCs w:val="21"/>
                    </w:rPr>
                  </w:pPr>
                  <w:r>
                    <w:rPr>
                      <w:rFonts w:eastAsiaTheme="minorEastAsia"/>
                      <w:kern w:val="0"/>
                      <w:szCs w:val="21"/>
                    </w:rPr>
                    <w:t>废丝箱</w:t>
                  </w:r>
                </w:p>
              </w:tc>
              <w:tc>
                <w:tcPr>
                  <w:tcW w:w="2748" w:type="dxa"/>
                  <w:vAlign w:val="center"/>
                </w:tcPr>
                <w:p w14:paraId="55D82C49">
                  <w:pPr>
                    <w:widowControl/>
                    <w:jc w:val="center"/>
                    <w:rPr>
                      <w:rFonts w:eastAsiaTheme="minorEastAsia"/>
                      <w:kern w:val="0"/>
                      <w:szCs w:val="21"/>
                    </w:rPr>
                  </w:pPr>
                  <w:r>
                    <w:rPr>
                      <w:rFonts w:eastAsiaTheme="minorEastAsia"/>
                      <w:kern w:val="0"/>
                      <w:szCs w:val="21"/>
                    </w:rPr>
                    <w:t>L1000×W600×H1900 定制</w:t>
                  </w:r>
                </w:p>
              </w:tc>
              <w:tc>
                <w:tcPr>
                  <w:tcW w:w="530" w:type="dxa"/>
                  <w:vAlign w:val="center"/>
                </w:tcPr>
                <w:p w14:paraId="6127DE7C">
                  <w:pPr>
                    <w:widowControl/>
                    <w:jc w:val="center"/>
                    <w:rPr>
                      <w:rFonts w:eastAsiaTheme="minorEastAsia"/>
                      <w:kern w:val="0"/>
                      <w:szCs w:val="21"/>
                    </w:rPr>
                  </w:pPr>
                  <w:r>
                    <w:rPr>
                      <w:rFonts w:eastAsiaTheme="minorEastAsia"/>
                      <w:kern w:val="0"/>
                      <w:szCs w:val="21"/>
                    </w:rPr>
                    <w:t>个</w:t>
                  </w:r>
                </w:p>
              </w:tc>
              <w:tc>
                <w:tcPr>
                  <w:tcW w:w="1259" w:type="dxa"/>
                  <w:vAlign w:val="center"/>
                </w:tcPr>
                <w:p w14:paraId="518F1F73">
                  <w:pPr>
                    <w:widowControl/>
                    <w:jc w:val="center"/>
                    <w:rPr>
                      <w:rFonts w:eastAsiaTheme="minorEastAsia"/>
                      <w:kern w:val="0"/>
                      <w:szCs w:val="21"/>
                    </w:rPr>
                  </w:pPr>
                  <w:r>
                    <w:rPr>
                      <w:rFonts w:eastAsiaTheme="minorEastAsia"/>
                      <w:kern w:val="0"/>
                      <w:szCs w:val="21"/>
                    </w:rPr>
                    <w:t>103</w:t>
                  </w:r>
                </w:p>
              </w:tc>
              <w:tc>
                <w:tcPr>
                  <w:tcW w:w="672" w:type="dxa"/>
                  <w:vMerge w:val="continue"/>
                  <w:vAlign w:val="center"/>
                </w:tcPr>
                <w:p w14:paraId="396EC329">
                  <w:pPr>
                    <w:widowControl/>
                    <w:jc w:val="center"/>
                    <w:rPr>
                      <w:rFonts w:eastAsiaTheme="minorEastAsia"/>
                      <w:kern w:val="0"/>
                      <w:szCs w:val="21"/>
                    </w:rPr>
                  </w:pPr>
                </w:p>
              </w:tc>
            </w:tr>
            <w:tr w14:paraId="6382DD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42BCDCB0">
                  <w:pPr>
                    <w:widowControl/>
                    <w:jc w:val="center"/>
                    <w:rPr>
                      <w:rFonts w:eastAsiaTheme="minorEastAsia"/>
                      <w:kern w:val="0"/>
                      <w:szCs w:val="21"/>
                    </w:rPr>
                  </w:pPr>
                  <w:r>
                    <w:rPr>
                      <w:rFonts w:eastAsiaTheme="minorEastAsia"/>
                      <w:kern w:val="0"/>
                      <w:szCs w:val="21"/>
                    </w:rPr>
                    <w:t>21</w:t>
                  </w:r>
                </w:p>
              </w:tc>
              <w:tc>
                <w:tcPr>
                  <w:tcW w:w="1924" w:type="dxa"/>
                  <w:shd w:val="clear" w:color="auto" w:fill="auto"/>
                  <w:vAlign w:val="center"/>
                </w:tcPr>
                <w:p w14:paraId="626B28C6">
                  <w:pPr>
                    <w:jc w:val="center"/>
                    <w:rPr>
                      <w:rFonts w:eastAsiaTheme="minorEastAsia"/>
                      <w:szCs w:val="21"/>
                    </w:rPr>
                  </w:pPr>
                  <w:r>
                    <w:rPr>
                      <w:rFonts w:eastAsiaTheme="minorEastAsia"/>
                      <w:szCs w:val="21"/>
                    </w:rPr>
                    <w:t>油剂调配槽</w:t>
                  </w:r>
                </w:p>
              </w:tc>
              <w:tc>
                <w:tcPr>
                  <w:tcW w:w="2748" w:type="dxa"/>
                  <w:shd w:val="clear" w:color="auto" w:fill="auto"/>
                  <w:vAlign w:val="center"/>
                </w:tcPr>
                <w:p w14:paraId="44080FCB">
                  <w:pPr>
                    <w:jc w:val="center"/>
                    <w:rPr>
                      <w:rFonts w:eastAsiaTheme="minorEastAsia"/>
                      <w:szCs w:val="21"/>
                    </w:rPr>
                  </w:pPr>
                  <w:r>
                    <w:rPr>
                      <w:rFonts w:eastAsiaTheme="minorEastAsia"/>
                      <w:szCs w:val="21"/>
                    </w:rPr>
                    <w:t>FDY 7 m</w:t>
                  </w:r>
                  <w:r>
                    <w:rPr>
                      <w:rFonts w:hint="eastAsia" w:eastAsiaTheme="minorEastAsia"/>
                      <w:szCs w:val="21"/>
                      <w:vertAlign w:val="superscript"/>
                    </w:rPr>
                    <w:t>3</w:t>
                  </w:r>
                </w:p>
              </w:tc>
              <w:tc>
                <w:tcPr>
                  <w:tcW w:w="530" w:type="dxa"/>
                  <w:shd w:val="clear" w:color="auto" w:fill="auto"/>
                  <w:vAlign w:val="center"/>
                </w:tcPr>
                <w:p w14:paraId="0452ACC0">
                  <w:pPr>
                    <w:jc w:val="center"/>
                    <w:rPr>
                      <w:rFonts w:eastAsiaTheme="minorEastAsia"/>
                      <w:szCs w:val="21"/>
                    </w:rPr>
                  </w:pPr>
                  <w:r>
                    <w:rPr>
                      <w:rFonts w:eastAsiaTheme="minorEastAsia"/>
                      <w:szCs w:val="21"/>
                    </w:rPr>
                    <w:t>台</w:t>
                  </w:r>
                </w:p>
              </w:tc>
              <w:tc>
                <w:tcPr>
                  <w:tcW w:w="1259" w:type="dxa"/>
                  <w:shd w:val="clear" w:color="auto" w:fill="auto"/>
                  <w:vAlign w:val="center"/>
                </w:tcPr>
                <w:p w14:paraId="72B9F898">
                  <w:pPr>
                    <w:jc w:val="center"/>
                    <w:rPr>
                      <w:rFonts w:eastAsiaTheme="minorEastAsia"/>
                      <w:szCs w:val="21"/>
                    </w:rPr>
                  </w:pPr>
                  <w:r>
                    <w:rPr>
                      <w:rFonts w:eastAsiaTheme="minorEastAsia"/>
                      <w:szCs w:val="21"/>
                    </w:rPr>
                    <w:t>4</w:t>
                  </w:r>
                </w:p>
              </w:tc>
              <w:tc>
                <w:tcPr>
                  <w:tcW w:w="672" w:type="dxa"/>
                  <w:vMerge w:val="continue"/>
                  <w:vAlign w:val="center"/>
                </w:tcPr>
                <w:p w14:paraId="419FAFF1">
                  <w:pPr>
                    <w:jc w:val="center"/>
                    <w:rPr>
                      <w:rFonts w:eastAsiaTheme="minorEastAsia"/>
                      <w:szCs w:val="21"/>
                    </w:rPr>
                  </w:pPr>
                </w:p>
              </w:tc>
            </w:tr>
            <w:tr w14:paraId="0705D9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2E888692">
                  <w:pPr>
                    <w:widowControl/>
                    <w:jc w:val="center"/>
                    <w:rPr>
                      <w:rFonts w:eastAsiaTheme="minorEastAsia"/>
                      <w:kern w:val="0"/>
                      <w:szCs w:val="21"/>
                    </w:rPr>
                  </w:pPr>
                  <w:r>
                    <w:rPr>
                      <w:rFonts w:eastAsiaTheme="minorEastAsia"/>
                      <w:kern w:val="0"/>
                      <w:szCs w:val="21"/>
                    </w:rPr>
                    <w:t>22</w:t>
                  </w:r>
                </w:p>
              </w:tc>
              <w:tc>
                <w:tcPr>
                  <w:tcW w:w="1924" w:type="dxa"/>
                  <w:shd w:val="clear" w:color="auto" w:fill="auto"/>
                  <w:vAlign w:val="center"/>
                </w:tcPr>
                <w:p w14:paraId="469F4EBA">
                  <w:pPr>
                    <w:jc w:val="center"/>
                    <w:rPr>
                      <w:rFonts w:eastAsiaTheme="minorEastAsia"/>
                      <w:szCs w:val="21"/>
                    </w:rPr>
                  </w:pPr>
                  <w:r>
                    <w:rPr>
                      <w:rFonts w:eastAsiaTheme="minorEastAsia"/>
                      <w:szCs w:val="21"/>
                    </w:rPr>
                    <w:t>油剂调配槽</w:t>
                  </w:r>
                </w:p>
              </w:tc>
              <w:tc>
                <w:tcPr>
                  <w:tcW w:w="2748" w:type="dxa"/>
                  <w:shd w:val="clear" w:color="auto" w:fill="auto"/>
                  <w:vAlign w:val="center"/>
                </w:tcPr>
                <w:p w14:paraId="689C1E8B">
                  <w:pPr>
                    <w:jc w:val="center"/>
                    <w:rPr>
                      <w:rFonts w:eastAsiaTheme="minorEastAsia"/>
                      <w:szCs w:val="21"/>
                    </w:rPr>
                  </w:pPr>
                  <w:r>
                    <w:rPr>
                      <w:rFonts w:eastAsiaTheme="minorEastAsia"/>
                      <w:szCs w:val="21"/>
                    </w:rPr>
                    <w:t>POY 10 m</w:t>
                  </w:r>
                  <w:r>
                    <w:rPr>
                      <w:rFonts w:hint="eastAsia" w:eastAsiaTheme="minorEastAsia"/>
                      <w:szCs w:val="21"/>
                      <w:vertAlign w:val="superscript"/>
                    </w:rPr>
                    <w:t>3</w:t>
                  </w:r>
                </w:p>
              </w:tc>
              <w:tc>
                <w:tcPr>
                  <w:tcW w:w="530" w:type="dxa"/>
                  <w:shd w:val="clear" w:color="auto" w:fill="auto"/>
                  <w:vAlign w:val="center"/>
                </w:tcPr>
                <w:p w14:paraId="484CA6B1">
                  <w:pPr>
                    <w:jc w:val="center"/>
                    <w:rPr>
                      <w:rFonts w:eastAsiaTheme="minorEastAsia"/>
                      <w:szCs w:val="21"/>
                    </w:rPr>
                  </w:pPr>
                  <w:r>
                    <w:rPr>
                      <w:rFonts w:eastAsiaTheme="minorEastAsia"/>
                      <w:szCs w:val="21"/>
                    </w:rPr>
                    <w:t>台</w:t>
                  </w:r>
                </w:p>
              </w:tc>
              <w:tc>
                <w:tcPr>
                  <w:tcW w:w="1259" w:type="dxa"/>
                  <w:shd w:val="clear" w:color="auto" w:fill="auto"/>
                  <w:vAlign w:val="center"/>
                </w:tcPr>
                <w:p w14:paraId="3FA3B93B">
                  <w:pPr>
                    <w:jc w:val="center"/>
                    <w:rPr>
                      <w:rFonts w:eastAsiaTheme="minorEastAsia"/>
                      <w:szCs w:val="21"/>
                    </w:rPr>
                  </w:pPr>
                  <w:r>
                    <w:rPr>
                      <w:rFonts w:eastAsiaTheme="minorEastAsia"/>
                      <w:szCs w:val="21"/>
                    </w:rPr>
                    <w:t>3</w:t>
                  </w:r>
                </w:p>
              </w:tc>
              <w:tc>
                <w:tcPr>
                  <w:tcW w:w="672" w:type="dxa"/>
                  <w:vMerge w:val="continue"/>
                  <w:vAlign w:val="center"/>
                </w:tcPr>
                <w:p w14:paraId="17F2AB0F">
                  <w:pPr>
                    <w:jc w:val="center"/>
                    <w:rPr>
                      <w:rFonts w:eastAsiaTheme="minorEastAsia"/>
                      <w:szCs w:val="21"/>
                    </w:rPr>
                  </w:pPr>
                </w:p>
              </w:tc>
            </w:tr>
            <w:tr w14:paraId="50304A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067A12F6">
                  <w:pPr>
                    <w:widowControl/>
                    <w:jc w:val="center"/>
                    <w:rPr>
                      <w:rFonts w:eastAsiaTheme="minorEastAsia"/>
                      <w:kern w:val="0"/>
                      <w:szCs w:val="21"/>
                    </w:rPr>
                  </w:pPr>
                  <w:r>
                    <w:rPr>
                      <w:rFonts w:eastAsiaTheme="minorEastAsia"/>
                      <w:kern w:val="0"/>
                      <w:szCs w:val="21"/>
                    </w:rPr>
                    <w:t>23</w:t>
                  </w:r>
                </w:p>
              </w:tc>
              <w:tc>
                <w:tcPr>
                  <w:tcW w:w="1924" w:type="dxa"/>
                  <w:shd w:val="clear" w:color="auto" w:fill="auto"/>
                  <w:vAlign w:val="center"/>
                </w:tcPr>
                <w:p w14:paraId="14362051">
                  <w:pPr>
                    <w:jc w:val="center"/>
                    <w:rPr>
                      <w:rFonts w:eastAsiaTheme="minorEastAsia"/>
                      <w:szCs w:val="21"/>
                    </w:rPr>
                  </w:pPr>
                  <w:r>
                    <w:rPr>
                      <w:rFonts w:eastAsiaTheme="minorEastAsia"/>
                      <w:szCs w:val="21"/>
                    </w:rPr>
                    <w:t>油剂循环槽</w:t>
                  </w:r>
                </w:p>
              </w:tc>
              <w:tc>
                <w:tcPr>
                  <w:tcW w:w="2748" w:type="dxa"/>
                  <w:shd w:val="clear" w:color="auto" w:fill="auto"/>
                  <w:vAlign w:val="center"/>
                </w:tcPr>
                <w:p w14:paraId="7B8278B2">
                  <w:pPr>
                    <w:jc w:val="center"/>
                    <w:rPr>
                      <w:rFonts w:eastAsiaTheme="minorEastAsia"/>
                      <w:szCs w:val="21"/>
                    </w:rPr>
                  </w:pPr>
                  <w:r>
                    <w:rPr>
                      <w:rFonts w:eastAsiaTheme="minorEastAsia"/>
                      <w:szCs w:val="21"/>
                    </w:rPr>
                    <w:t>FDY 循环槽 10 m</w:t>
                  </w:r>
                  <w:r>
                    <w:rPr>
                      <w:rFonts w:hint="eastAsia" w:eastAsiaTheme="minorEastAsia"/>
                      <w:szCs w:val="21"/>
                      <w:vertAlign w:val="superscript"/>
                    </w:rPr>
                    <w:t>3</w:t>
                  </w:r>
                </w:p>
              </w:tc>
              <w:tc>
                <w:tcPr>
                  <w:tcW w:w="530" w:type="dxa"/>
                  <w:shd w:val="clear" w:color="auto" w:fill="auto"/>
                  <w:vAlign w:val="center"/>
                </w:tcPr>
                <w:p w14:paraId="575D4A7C">
                  <w:pPr>
                    <w:jc w:val="center"/>
                    <w:rPr>
                      <w:rFonts w:eastAsiaTheme="minorEastAsia"/>
                      <w:szCs w:val="21"/>
                    </w:rPr>
                  </w:pPr>
                  <w:r>
                    <w:rPr>
                      <w:rFonts w:eastAsiaTheme="minorEastAsia"/>
                      <w:szCs w:val="21"/>
                    </w:rPr>
                    <w:t>台</w:t>
                  </w:r>
                </w:p>
              </w:tc>
              <w:tc>
                <w:tcPr>
                  <w:tcW w:w="1259" w:type="dxa"/>
                  <w:shd w:val="clear" w:color="auto" w:fill="auto"/>
                  <w:vAlign w:val="center"/>
                </w:tcPr>
                <w:p w14:paraId="30FF60C6">
                  <w:pPr>
                    <w:jc w:val="center"/>
                    <w:rPr>
                      <w:rFonts w:eastAsiaTheme="minorEastAsia"/>
                      <w:szCs w:val="21"/>
                    </w:rPr>
                  </w:pPr>
                  <w:r>
                    <w:rPr>
                      <w:rFonts w:eastAsiaTheme="minorEastAsia"/>
                      <w:szCs w:val="21"/>
                    </w:rPr>
                    <w:t>3</w:t>
                  </w:r>
                </w:p>
              </w:tc>
              <w:tc>
                <w:tcPr>
                  <w:tcW w:w="672" w:type="dxa"/>
                  <w:vMerge w:val="continue"/>
                  <w:vAlign w:val="center"/>
                </w:tcPr>
                <w:p w14:paraId="785BCD72">
                  <w:pPr>
                    <w:jc w:val="center"/>
                    <w:rPr>
                      <w:rFonts w:eastAsiaTheme="minorEastAsia"/>
                      <w:szCs w:val="21"/>
                    </w:rPr>
                  </w:pPr>
                </w:p>
              </w:tc>
            </w:tr>
            <w:tr w14:paraId="1E5310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67AF56EC">
                  <w:pPr>
                    <w:widowControl/>
                    <w:jc w:val="center"/>
                    <w:rPr>
                      <w:rFonts w:eastAsiaTheme="minorEastAsia"/>
                      <w:kern w:val="0"/>
                      <w:szCs w:val="21"/>
                    </w:rPr>
                  </w:pPr>
                  <w:r>
                    <w:rPr>
                      <w:rFonts w:eastAsiaTheme="minorEastAsia"/>
                      <w:kern w:val="0"/>
                      <w:szCs w:val="21"/>
                    </w:rPr>
                    <w:t>24</w:t>
                  </w:r>
                </w:p>
              </w:tc>
              <w:tc>
                <w:tcPr>
                  <w:tcW w:w="1924" w:type="dxa"/>
                  <w:shd w:val="clear" w:color="auto" w:fill="auto"/>
                  <w:vAlign w:val="center"/>
                </w:tcPr>
                <w:p w14:paraId="4CA69305">
                  <w:pPr>
                    <w:jc w:val="center"/>
                    <w:rPr>
                      <w:rFonts w:eastAsiaTheme="minorEastAsia"/>
                      <w:szCs w:val="21"/>
                    </w:rPr>
                  </w:pPr>
                  <w:r>
                    <w:rPr>
                      <w:rFonts w:eastAsiaTheme="minorEastAsia"/>
                      <w:szCs w:val="21"/>
                    </w:rPr>
                    <w:t>油剂循环槽</w:t>
                  </w:r>
                </w:p>
              </w:tc>
              <w:tc>
                <w:tcPr>
                  <w:tcW w:w="2748" w:type="dxa"/>
                  <w:shd w:val="clear" w:color="auto" w:fill="auto"/>
                  <w:vAlign w:val="center"/>
                </w:tcPr>
                <w:p w14:paraId="2D630740">
                  <w:pPr>
                    <w:jc w:val="center"/>
                    <w:rPr>
                      <w:rFonts w:eastAsiaTheme="minorEastAsia"/>
                      <w:szCs w:val="21"/>
                    </w:rPr>
                  </w:pPr>
                  <w:r>
                    <w:rPr>
                      <w:rFonts w:eastAsiaTheme="minorEastAsia"/>
                      <w:szCs w:val="21"/>
                    </w:rPr>
                    <w:t>POY循环槽 10 m</w:t>
                  </w:r>
                  <w:r>
                    <w:rPr>
                      <w:rFonts w:hint="eastAsia" w:eastAsiaTheme="minorEastAsia"/>
                      <w:szCs w:val="21"/>
                      <w:vertAlign w:val="superscript"/>
                    </w:rPr>
                    <w:t>3</w:t>
                  </w:r>
                </w:p>
              </w:tc>
              <w:tc>
                <w:tcPr>
                  <w:tcW w:w="530" w:type="dxa"/>
                  <w:shd w:val="clear" w:color="auto" w:fill="auto"/>
                  <w:vAlign w:val="center"/>
                </w:tcPr>
                <w:p w14:paraId="4B19F352">
                  <w:pPr>
                    <w:jc w:val="center"/>
                    <w:rPr>
                      <w:rFonts w:eastAsiaTheme="minorEastAsia"/>
                      <w:szCs w:val="21"/>
                    </w:rPr>
                  </w:pPr>
                  <w:r>
                    <w:rPr>
                      <w:rFonts w:eastAsiaTheme="minorEastAsia"/>
                      <w:szCs w:val="21"/>
                    </w:rPr>
                    <w:t>台</w:t>
                  </w:r>
                </w:p>
              </w:tc>
              <w:tc>
                <w:tcPr>
                  <w:tcW w:w="1259" w:type="dxa"/>
                  <w:shd w:val="clear" w:color="auto" w:fill="auto"/>
                  <w:vAlign w:val="center"/>
                </w:tcPr>
                <w:p w14:paraId="3D987F29">
                  <w:pPr>
                    <w:jc w:val="center"/>
                    <w:rPr>
                      <w:rFonts w:eastAsiaTheme="minorEastAsia"/>
                      <w:szCs w:val="21"/>
                    </w:rPr>
                  </w:pPr>
                  <w:r>
                    <w:rPr>
                      <w:rFonts w:eastAsiaTheme="minorEastAsia"/>
                      <w:szCs w:val="21"/>
                    </w:rPr>
                    <w:t>3</w:t>
                  </w:r>
                </w:p>
              </w:tc>
              <w:tc>
                <w:tcPr>
                  <w:tcW w:w="672" w:type="dxa"/>
                  <w:vMerge w:val="continue"/>
                  <w:vAlign w:val="center"/>
                </w:tcPr>
                <w:p w14:paraId="40B61C75">
                  <w:pPr>
                    <w:jc w:val="center"/>
                    <w:rPr>
                      <w:rFonts w:eastAsiaTheme="minorEastAsia"/>
                      <w:szCs w:val="21"/>
                    </w:rPr>
                  </w:pPr>
                </w:p>
              </w:tc>
            </w:tr>
            <w:tr w14:paraId="673850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73B57853">
                  <w:pPr>
                    <w:widowControl/>
                    <w:jc w:val="center"/>
                    <w:rPr>
                      <w:rFonts w:eastAsiaTheme="minorEastAsia"/>
                      <w:kern w:val="0"/>
                      <w:szCs w:val="21"/>
                    </w:rPr>
                  </w:pPr>
                  <w:r>
                    <w:rPr>
                      <w:rFonts w:eastAsiaTheme="minorEastAsia"/>
                      <w:kern w:val="0"/>
                      <w:szCs w:val="21"/>
                    </w:rPr>
                    <w:t>25</w:t>
                  </w:r>
                </w:p>
              </w:tc>
              <w:tc>
                <w:tcPr>
                  <w:tcW w:w="1924" w:type="dxa"/>
                  <w:shd w:val="clear" w:color="auto" w:fill="auto"/>
                  <w:vAlign w:val="center"/>
                </w:tcPr>
                <w:p w14:paraId="13D5F04E">
                  <w:pPr>
                    <w:jc w:val="center"/>
                    <w:rPr>
                      <w:rFonts w:eastAsiaTheme="minorEastAsia"/>
                      <w:szCs w:val="21"/>
                    </w:rPr>
                  </w:pPr>
                  <w:r>
                    <w:rPr>
                      <w:rFonts w:eastAsiaTheme="minorEastAsia"/>
                      <w:szCs w:val="21"/>
                    </w:rPr>
                    <w:t>油剂加热槽</w:t>
                  </w:r>
                </w:p>
              </w:tc>
              <w:tc>
                <w:tcPr>
                  <w:tcW w:w="2748" w:type="dxa"/>
                  <w:shd w:val="clear" w:color="auto" w:fill="auto"/>
                  <w:vAlign w:val="center"/>
                </w:tcPr>
                <w:p w14:paraId="1170A666">
                  <w:pPr>
                    <w:jc w:val="center"/>
                    <w:rPr>
                      <w:rFonts w:eastAsiaTheme="minorEastAsia"/>
                      <w:szCs w:val="21"/>
                    </w:rPr>
                  </w:pPr>
                  <w:r>
                    <w:rPr>
                      <w:rFonts w:eastAsiaTheme="minorEastAsia"/>
                      <w:szCs w:val="21"/>
                    </w:rPr>
                    <w:t>3m</w:t>
                  </w:r>
                  <w:r>
                    <w:rPr>
                      <w:rFonts w:hint="eastAsia" w:eastAsiaTheme="minorEastAsia"/>
                      <w:szCs w:val="21"/>
                      <w:vertAlign w:val="superscript"/>
                    </w:rPr>
                    <w:t>3</w:t>
                  </w:r>
                </w:p>
              </w:tc>
              <w:tc>
                <w:tcPr>
                  <w:tcW w:w="530" w:type="dxa"/>
                  <w:shd w:val="clear" w:color="auto" w:fill="auto"/>
                  <w:vAlign w:val="center"/>
                </w:tcPr>
                <w:p w14:paraId="29AC442A">
                  <w:pPr>
                    <w:jc w:val="center"/>
                    <w:rPr>
                      <w:rFonts w:eastAsiaTheme="minorEastAsia"/>
                      <w:szCs w:val="21"/>
                    </w:rPr>
                  </w:pPr>
                  <w:r>
                    <w:rPr>
                      <w:rFonts w:eastAsiaTheme="minorEastAsia"/>
                      <w:szCs w:val="21"/>
                    </w:rPr>
                    <w:t>台</w:t>
                  </w:r>
                </w:p>
              </w:tc>
              <w:tc>
                <w:tcPr>
                  <w:tcW w:w="1259" w:type="dxa"/>
                  <w:shd w:val="clear" w:color="auto" w:fill="auto"/>
                  <w:vAlign w:val="center"/>
                </w:tcPr>
                <w:p w14:paraId="50BFC012">
                  <w:pPr>
                    <w:jc w:val="center"/>
                    <w:rPr>
                      <w:rFonts w:eastAsiaTheme="minorEastAsia"/>
                      <w:szCs w:val="21"/>
                    </w:rPr>
                  </w:pPr>
                  <w:r>
                    <w:rPr>
                      <w:rFonts w:eastAsiaTheme="minorEastAsia"/>
                      <w:szCs w:val="21"/>
                    </w:rPr>
                    <w:t>4</w:t>
                  </w:r>
                </w:p>
              </w:tc>
              <w:tc>
                <w:tcPr>
                  <w:tcW w:w="672" w:type="dxa"/>
                  <w:vMerge w:val="continue"/>
                  <w:vAlign w:val="center"/>
                </w:tcPr>
                <w:p w14:paraId="0D529E0D">
                  <w:pPr>
                    <w:jc w:val="center"/>
                    <w:rPr>
                      <w:rFonts w:eastAsiaTheme="minorEastAsia"/>
                      <w:szCs w:val="21"/>
                    </w:rPr>
                  </w:pPr>
                </w:p>
              </w:tc>
            </w:tr>
            <w:tr w14:paraId="5350B7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76864F05">
                  <w:pPr>
                    <w:widowControl/>
                    <w:jc w:val="center"/>
                    <w:rPr>
                      <w:rFonts w:eastAsiaTheme="minorEastAsia"/>
                      <w:kern w:val="0"/>
                      <w:szCs w:val="21"/>
                    </w:rPr>
                  </w:pPr>
                  <w:r>
                    <w:rPr>
                      <w:rFonts w:eastAsiaTheme="minorEastAsia"/>
                      <w:kern w:val="0"/>
                      <w:szCs w:val="21"/>
                    </w:rPr>
                    <w:t>26</w:t>
                  </w:r>
                </w:p>
              </w:tc>
              <w:tc>
                <w:tcPr>
                  <w:tcW w:w="1924" w:type="dxa"/>
                  <w:shd w:val="clear" w:color="auto" w:fill="auto"/>
                  <w:vAlign w:val="center"/>
                </w:tcPr>
                <w:p w14:paraId="19925D5E">
                  <w:pPr>
                    <w:jc w:val="center"/>
                    <w:rPr>
                      <w:rFonts w:eastAsiaTheme="minorEastAsia"/>
                      <w:szCs w:val="21"/>
                    </w:rPr>
                  </w:pPr>
                  <w:r>
                    <w:rPr>
                      <w:rFonts w:eastAsiaTheme="minorEastAsia"/>
                      <w:szCs w:val="21"/>
                    </w:rPr>
                    <w:t>热媒回收罐</w:t>
                  </w:r>
                </w:p>
              </w:tc>
              <w:tc>
                <w:tcPr>
                  <w:tcW w:w="2748" w:type="dxa"/>
                  <w:shd w:val="clear" w:color="auto" w:fill="auto"/>
                  <w:vAlign w:val="center"/>
                </w:tcPr>
                <w:p w14:paraId="1F149E04">
                  <w:pPr>
                    <w:jc w:val="center"/>
                    <w:rPr>
                      <w:rFonts w:eastAsiaTheme="minorEastAsia"/>
                      <w:szCs w:val="21"/>
                    </w:rPr>
                  </w:pPr>
                  <w:r>
                    <w:rPr>
                      <w:rFonts w:eastAsiaTheme="minorEastAsia"/>
                      <w:szCs w:val="21"/>
                    </w:rPr>
                    <w:t>6m³</w:t>
                  </w:r>
                </w:p>
              </w:tc>
              <w:tc>
                <w:tcPr>
                  <w:tcW w:w="530" w:type="dxa"/>
                  <w:shd w:val="clear" w:color="auto" w:fill="auto"/>
                  <w:vAlign w:val="center"/>
                </w:tcPr>
                <w:p w14:paraId="74FEC223">
                  <w:pPr>
                    <w:jc w:val="center"/>
                    <w:rPr>
                      <w:rFonts w:eastAsiaTheme="minorEastAsia"/>
                      <w:szCs w:val="21"/>
                    </w:rPr>
                  </w:pPr>
                  <w:r>
                    <w:rPr>
                      <w:rFonts w:eastAsiaTheme="minorEastAsia"/>
                      <w:szCs w:val="21"/>
                    </w:rPr>
                    <w:t>台</w:t>
                  </w:r>
                </w:p>
              </w:tc>
              <w:tc>
                <w:tcPr>
                  <w:tcW w:w="1259" w:type="dxa"/>
                  <w:shd w:val="clear" w:color="auto" w:fill="auto"/>
                  <w:vAlign w:val="center"/>
                </w:tcPr>
                <w:p w14:paraId="6C6AABE1">
                  <w:pPr>
                    <w:jc w:val="center"/>
                    <w:rPr>
                      <w:rFonts w:eastAsiaTheme="minorEastAsia"/>
                      <w:szCs w:val="21"/>
                    </w:rPr>
                  </w:pPr>
                  <w:r>
                    <w:rPr>
                      <w:rFonts w:eastAsiaTheme="minorEastAsia"/>
                      <w:szCs w:val="21"/>
                    </w:rPr>
                    <w:t>1</w:t>
                  </w:r>
                </w:p>
              </w:tc>
              <w:tc>
                <w:tcPr>
                  <w:tcW w:w="672" w:type="dxa"/>
                  <w:vMerge w:val="continue"/>
                  <w:vAlign w:val="center"/>
                </w:tcPr>
                <w:p w14:paraId="2E5772B3">
                  <w:pPr>
                    <w:jc w:val="center"/>
                    <w:rPr>
                      <w:rFonts w:eastAsiaTheme="minorEastAsia"/>
                      <w:szCs w:val="21"/>
                    </w:rPr>
                  </w:pPr>
                </w:p>
              </w:tc>
            </w:tr>
            <w:tr w14:paraId="735BC2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5AA1235B">
                  <w:pPr>
                    <w:widowControl/>
                    <w:jc w:val="center"/>
                    <w:rPr>
                      <w:rFonts w:eastAsiaTheme="minorEastAsia"/>
                      <w:kern w:val="0"/>
                      <w:szCs w:val="21"/>
                    </w:rPr>
                  </w:pPr>
                  <w:r>
                    <w:rPr>
                      <w:rFonts w:eastAsiaTheme="minorEastAsia"/>
                      <w:kern w:val="0"/>
                      <w:szCs w:val="21"/>
                    </w:rPr>
                    <w:t>27</w:t>
                  </w:r>
                </w:p>
              </w:tc>
              <w:tc>
                <w:tcPr>
                  <w:tcW w:w="1924" w:type="dxa"/>
                  <w:shd w:val="clear" w:color="auto" w:fill="auto"/>
                  <w:vAlign w:val="center"/>
                </w:tcPr>
                <w:p w14:paraId="72D636AB">
                  <w:pPr>
                    <w:jc w:val="center"/>
                    <w:rPr>
                      <w:rFonts w:eastAsiaTheme="minorEastAsia"/>
                      <w:szCs w:val="21"/>
                    </w:rPr>
                  </w:pPr>
                  <w:r>
                    <w:rPr>
                      <w:rFonts w:eastAsiaTheme="minorEastAsia"/>
                      <w:szCs w:val="21"/>
                    </w:rPr>
                    <w:t>热媒回收罐</w:t>
                  </w:r>
                </w:p>
              </w:tc>
              <w:tc>
                <w:tcPr>
                  <w:tcW w:w="2748" w:type="dxa"/>
                  <w:shd w:val="clear" w:color="auto" w:fill="auto"/>
                  <w:vAlign w:val="center"/>
                </w:tcPr>
                <w:p w14:paraId="1EFC2B72">
                  <w:pPr>
                    <w:jc w:val="center"/>
                    <w:rPr>
                      <w:rFonts w:eastAsiaTheme="minorEastAsia"/>
                      <w:szCs w:val="21"/>
                    </w:rPr>
                  </w:pPr>
                  <w:r>
                    <w:rPr>
                      <w:rFonts w:eastAsiaTheme="minorEastAsia"/>
                      <w:szCs w:val="21"/>
                    </w:rPr>
                    <w:t>3m³</w:t>
                  </w:r>
                </w:p>
              </w:tc>
              <w:tc>
                <w:tcPr>
                  <w:tcW w:w="530" w:type="dxa"/>
                  <w:shd w:val="clear" w:color="auto" w:fill="auto"/>
                  <w:vAlign w:val="center"/>
                </w:tcPr>
                <w:p w14:paraId="4B1B687D">
                  <w:pPr>
                    <w:jc w:val="center"/>
                    <w:rPr>
                      <w:rFonts w:eastAsiaTheme="minorEastAsia"/>
                      <w:szCs w:val="21"/>
                    </w:rPr>
                  </w:pPr>
                  <w:r>
                    <w:rPr>
                      <w:rFonts w:eastAsiaTheme="minorEastAsia"/>
                      <w:szCs w:val="21"/>
                    </w:rPr>
                    <w:t>台</w:t>
                  </w:r>
                </w:p>
              </w:tc>
              <w:tc>
                <w:tcPr>
                  <w:tcW w:w="1259" w:type="dxa"/>
                  <w:shd w:val="clear" w:color="auto" w:fill="auto"/>
                  <w:vAlign w:val="center"/>
                </w:tcPr>
                <w:p w14:paraId="75846676">
                  <w:pPr>
                    <w:jc w:val="center"/>
                    <w:rPr>
                      <w:rFonts w:eastAsiaTheme="minorEastAsia"/>
                      <w:szCs w:val="21"/>
                    </w:rPr>
                  </w:pPr>
                  <w:r>
                    <w:rPr>
                      <w:rFonts w:eastAsiaTheme="minorEastAsia"/>
                      <w:szCs w:val="21"/>
                    </w:rPr>
                    <w:t>1</w:t>
                  </w:r>
                </w:p>
              </w:tc>
              <w:tc>
                <w:tcPr>
                  <w:tcW w:w="672" w:type="dxa"/>
                  <w:vMerge w:val="continue"/>
                  <w:vAlign w:val="center"/>
                </w:tcPr>
                <w:p w14:paraId="5573630F">
                  <w:pPr>
                    <w:jc w:val="center"/>
                    <w:rPr>
                      <w:rFonts w:eastAsiaTheme="minorEastAsia"/>
                      <w:szCs w:val="21"/>
                    </w:rPr>
                  </w:pPr>
                </w:p>
              </w:tc>
            </w:tr>
            <w:tr w14:paraId="1621C3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222EE4C1">
                  <w:pPr>
                    <w:widowControl/>
                    <w:jc w:val="center"/>
                    <w:rPr>
                      <w:rFonts w:eastAsiaTheme="minorEastAsia"/>
                      <w:kern w:val="0"/>
                      <w:szCs w:val="21"/>
                    </w:rPr>
                  </w:pPr>
                  <w:r>
                    <w:rPr>
                      <w:rFonts w:eastAsiaTheme="minorEastAsia"/>
                      <w:kern w:val="0"/>
                      <w:szCs w:val="21"/>
                    </w:rPr>
                    <w:t>28</w:t>
                  </w:r>
                </w:p>
              </w:tc>
              <w:tc>
                <w:tcPr>
                  <w:tcW w:w="1924" w:type="dxa"/>
                  <w:shd w:val="clear" w:color="auto" w:fill="auto"/>
                  <w:vAlign w:val="center"/>
                </w:tcPr>
                <w:p w14:paraId="7C0A76BC">
                  <w:pPr>
                    <w:jc w:val="center"/>
                    <w:rPr>
                      <w:rFonts w:eastAsiaTheme="minorEastAsia"/>
                      <w:szCs w:val="21"/>
                    </w:rPr>
                  </w:pPr>
                  <w:r>
                    <w:rPr>
                      <w:rFonts w:eastAsiaTheme="minorEastAsia"/>
                      <w:szCs w:val="21"/>
                    </w:rPr>
                    <w:t>载货电梯</w:t>
                  </w:r>
                </w:p>
              </w:tc>
              <w:tc>
                <w:tcPr>
                  <w:tcW w:w="2748" w:type="dxa"/>
                  <w:shd w:val="clear" w:color="auto" w:fill="auto"/>
                  <w:vAlign w:val="center"/>
                </w:tcPr>
                <w:p w14:paraId="3879F419">
                  <w:pPr>
                    <w:jc w:val="center"/>
                    <w:rPr>
                      <w:rFonts w:eastAsiaTheme="minorEastAsia"/>
                      <w:szCs w:val="21"/>
                    </w:rPr>
                  </w:pPr>
                  <w:r>
                    <w:rPr>
                      <w:rFonts w:eastAsiaTheme="minorEastAsia"/>
                      <w:szCs w:val="21"/>
                    </w:rPr>
                    <w:t>3T</w:t>
                  </w:r>
                </w:p>
              </w:tc>
              <w:tc>
                <w:tcPr>
                  <w:tcW w:w="530" w:type="dxa"/>
                  <w:shd w:val="clear" w:color="auto" w:fill="auto"/>
                  <w:vAlign w:val="center"/>
                </w:tcPr>
                <w:p w14:paraId="399628D7">
                  <w:pPr>
                    <w:jc w:val="center"/>
                    <w:rPr>
                      <w:rFonts w:eastAsiaTheme="minorEastAsia"/>
                      <w:szCs w:val="21"/>
                    </w:rPr>
                  </w:pPr>
                  <w:r>
                    <w:rPr>
                      <w:rFonts w:eastAsiaTheme="minorEastAsia"/>
                      <w:szCs w:val="21"/>
                    </w:rPr>
                    <w:t>台</w:t>
                  </w:r>
                </w:p>
              </w:tc>
              <w:tc>
                <w:tcPr>
                  <w:tcW w:w="1259" w:type="dxa"/>
                  <w:shd w:val="clear" w:color="auto" w:fill="auto"/>
                  <w:vAlign w:val="center"/>
                </w:tcPr>
                <w:p w14:paraId="50A99E11">
                  <w:pPr>
                    <w:jc w:val="center"/>
                    <w:rPr>
                      <w:rFonts w:eastAsiaTheme="minorEastAsia"/>
                      <w:szCs w:val="21"/>
                    </w:rPr>
                  </w:pPr>
                  <w:r>
                    <w:rPr>
                      <w:rFonts w:eastAsiaTheme="minorEastAsia"/>
                      <w:szCs w:val="21"/>
                    </w:rPr>
                    <w:t>2</w:t>
                  </w:r>
                </w:p>
              </w:tc>
              <w:tc>
                <w:tcPr>
                  <w:tcW w:w="672" w:type="dxa"/>
                  <w:vMerge w:val="continue"/>
                  <w:vAlign w:val="center"/>
                </w:tcPr>
                <w:p w14:paraId="1CE0059A">
                  <w:pPr>
                    <w:jc w:val="center"/>
                    <w:rPr>
                      <w:rFonts w:eastAsiaTheme="minorEastAsia"/>
                      <w:szCs w:val="21"/>
                    </w:rPr>
                  </w:pPr>
                </w:p>
              </w:tc>
            </w:tr>
            <w:tr w14:paraId="29B9A3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2854D5DF">
                  <w:pPr>
                    <w:widowControl/>
                    <w:jc w:val="center"/>
                    <w:rPr>
                      <w:rFonts w:eastAsiaTheme="minorEastAsia"/>
                      <w:kern w:val="0"/>
                      <w:szCs w:val="21"/>
                    </w:rPr>
                  </w:pPr>
                  <w:r>
                    <w:rPr>
                      <w:rFonts w:eastAsiaTheme="minorEastAsia"/>
                      <w:kern w:val="0"/>
                      <w:szCs w:val="21"/>
                    </w:rPr>
                    <w:t>29</w:t>
                  </w:r>
                </w:p>
              </w:tc>
              <w:tc>
                <w:tcPr>
                  <w:tcW w:w="1924" w:type="dxa"/>
                  <w:vAlign w:val="center"/>
                </w:tcPr>
                <w:p w14:paraId="599D887A">
                  <w:pPr>
                    <w:widowControl/>
                    <w:jc w:val="center"/>
                    <w:rPr>
                      <w:rFonts w:eastAsiaTheme="minorEastAsia"/>
                      <w:kern w:val="0"/>
                      <w:szCs w:val="21"/>
                    </w:rPr>
                  </w:pPr>
                  <w:r>
                    <w:rPr>
                      <w:rFonts w:eastAsiaTheme="minorEastAsia"/>
                      <w:kern w:val="0"/>
                      <w:szCs w:val="21"/>
                    </w:rPr>
                    <w:t>POY油烟净化器</w:t>
                  </w:r>
                </w:p>
              </w:tc>
              <w:tc>
                <w:tcPr>
                  <w:tcW w:w="2748" w:type="dxa"/>
                  <w:vAlign w:val="center"/>
                </w:tcPr>
                <w:p w14:paraId="0B89A091">
                  <w:pPr>
                    <w:widowControl/>
                    <w:jc w:val="center"/>
                    <w:rPr>
                      <w:rFonts w:eastAsiaTheme="minorEastAsia"/>
                      <w:kern w:val="0"/>
                      <w:szCs w:val="21"/>
                    </w:rPr>
                  </w:pPr>
                  <w:r>
                    <w:rPr>
                      <w:rFonts w:eastAsiaTheme="minorEastAsia"/>
                      <w:kern w:val="0"/>
                      <w:szCs w:val="21"/>
                    </w:rPr>
                    <w:t>2万</w:t>
                  </w:r>
                  <w:r>
                    <w:rPr>
                      <w:rFonts w:eastAsiaTheme="minorEastAsia"/>
                      <w:szCs w:val="21"/>
                    </w:rPr>
                    <w:t>m</w:t>
                  </w:r>
                  <w:r>
                    <w:rPr>
                      <w:rFonts w:hint="eastAsia" w:eastAsiaTheme="minorEastAsia"/>
                      <w:szCs w:val="21"/>
                      <w:vertAlign w:val="superscript"/>
                    </w:rPr>
                    <w:t>3</w:t>
                  </w:r>
                  <w:r>
                    <w:rPr>
                      <w:rFonts w:eastAsiaTheme="minorEastAsia"/>
                      <w:kern w:val="0"/>
                      <w:szCs w:val="21"/>
                    </w:rPr>
                    <w:t>/h</w:t>
                  </w:r>
                </w:p>
              </w:tc>
              <w:tc>
                <w:tcPr>
                  <w:tcW w:w="530" w:type="dxa"/>
                  <w:vAlign w:val="center"/>
                </w:tcPr>
                <w:p w14:paraId="39E191E6">
                  <w:pPr>
                    <w:widowControl/>
                    <w:jc w:val="center"/>
                    <w:rPr>
                      <w:rFonts w:eastAsiaTheme="minorEastAsia"/>
                      <w:kern w:val="0"/>
                      <w:szCs w:val="21"/>
                    </w:rPr>
                  </w:pPr>
                  <w:r>
                    <w:rPr>
                      <w:rFonts w:eastAsiaTheme="minorEastAsia"/>
                      <w:kern w:val="0"/>
                      <w:szCs w:val="21"/>
                    </w:rPr>
                    <w:t>个</w:t>
                  </w:r>
                </w:p>
              </w:tc>
              <w:tc>
                <w:tcPr>
                  <w:tcW w:w="1259" w:type="dxa"/>
                  <w:vAlign w:val="center"/>
                </w:tcPr>
                <w:p w14:paraId="1DA6F960">
                  <w:pPr>
                    <w:widowControl/>
                    <w:jc w:val="center"/>
                    <w:rPr>
                      <w:rFonts w:eastAsiaTheme="minorEastAsia"/>
                      <w:kern w:val="0"/>
                      <w:szCs w:val="21"/>
                    </w:rPr>
                  </w:pPr>
                  <w:r>
                    <w:rPr>
                      <w:rFonts w:eastAsiaTheme="minorEastAsia"/>
                      <w:kern w:val="0"/>
                      <w:szCs w:val="21"/>
                    </w:rPr>
                    <w:t>1</w:t>
                  </w:r>
                </w:p>
              </w:tc>
              <w:tc>
                <w:tcPr>
                  <w:tcW w:w="672" w:type="dxa"/>
                  <w:vMerge w:val="continue"/>
                  <w:vAlign w:val="center"/>
                </w:tcPr>
                <w:p w14:paraId="62537218">
                  <w:pPr>
                    <w:widowControl/>
                    <w:jc w:val="center"/>
                    <w:rPr>
                      <w:rFonts w:eastAsiaTheme="minorEastAsia"/>
                      <w:kern w:val="0"/>
                      <w:szCs w:val="21"/>
                    </w:rPr>
                  </w:pPr>
                </w:p>
              </w:tc>
            </w:tr>
            <w:tr w14:paraId="0B89F4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51B02480">
                  <w:pPr>
                    <w:widowControl/>
                    <w:jc w:val="center"/>
                    <w:rPr>
                      <w:rFonts w:eastAsiaTheme="minorEastAsia"/>
                      <w:kern w:val="0"/>
                      <w:szCs w:val="21"/>
                    </w:rPr>
                  </w:pPr>
                  <w:r>
                    <w:rPr>
                      <w:rFonts w:eastAsiaTheme="minorEastAsia"/>
                      <w:kern w:val="0"/>
                      <w:szCs w:val="21"/>
                    </w:rPr>
                    <w:t>30</w:t>
                  </w:r>
                </w:p>
              </w:tc>
              <w:tc>
                <w:tcPr>
                  <w:tcW w:w="1924" w:type="dxa"/>
                  <w:vAlign w:val="center"/>
                </w:tcPr>
                <w:p w14:paraId="6D751DFC">
                  <w:pPr>
                    <w:widowControl/>
                    <w:jc w:val="center"/>
                    <w:rPr>
                      <w:rFonts w:eastAsiaTheme="minorEastAsia"/>
                      <w:kern w:val="0"/>
                      <w:szCs w:val="21"/>
                    </w:rPr>
                  </w:pPr>
                  <w:r>
                    <w:rPr>
                      <w:rFonts w:eastAsiaTheme="minorEastAsia"/>
                      <w:kern w:val="0"/>
                      <w:szCs w:val="21"/>
                    </w:rPr>
                    <w:t>FDY油烟净化器</w:t>
                  </w:r>
                </w:p>
              </w:tc>
              <w:tc>
                <w:tcPr>
                  <w:tcW w:w="2748" w:type="dxa"/>
                  <w:vAlign w:val="center"/>
                </w:tcPr>
                <w:p w14:paraId="410C446F">
                  <w:pPr>
                    <w:widowControl/>
                    <w:jc w:val="center"/>
                    <w:rPr>
                      <w:rFonts w:eastAsiaTheme="minorEastAsia"/>
                      <w:kern w:val="0"/>
                      <w:szCs w:val="21"/>
                    </w:rPr>
                  </w:pPr>
                  <w:r>
                    <w:rPr>
                      <w:rFonts w:eastAsiaTheme="minorEastAsia"/>
                      <w:kern w:val="0"/>
                      <w:szCs w:val="21"/>
                    </w:rPr>
                    <w:t>2.5万</w:t>
                  </w:r>
                  <w:r>
                    <w:rPr>
                      <w:rFonts w:eastAsiaTheme="minorEastAsia"/>
                      <w:szCs w:val="21"/>
                    </w:rPr>
                    <w:t>m</w:t>
                  </w:r>
                  <w:r>
                    <w:rPr>
                      <w:rFonts w:hint="eastAsia" w:eastAsiaTheme="minorEastAsia"/>
                      <w:szCs w:val="21"/>
                      <w:vertAlign w:val="superscript"/>
                    </w:rPr>
                    <w:t>3</w:t>
                  </w:r>
                  <w:r>
                    <w:rPr>
                      <w:rFonts w:eastAsiaTheme="minorEastAsia"/>
                      <w:kern w:val="0"/>
                      <w:szCs w:val="21"/>
                    </w:rPr>
                    <w:t>/h</w:t>
                  </w:r>
                </w:p>
              </w:tc>
              <w:tc>
                <w:tcPr>
                  <w:tcW w:w="530" w:type="dxa"/>
                  <w:vAlign w:val="center"/>
                </w:tcPr>
                <w:p w14:paraId="0EAA21C8">
                  <w:pPr>
                    <w:widowControl/>
                    <w:jc w:val="center"/>
                    <w:rPr>
                      <w:rFonts w:eastAsiaTheme="minorEastAsia"/>
                      <w:kern w:val="0"/>
                      <w:szCs w:val="21"/>
                    </w:rPr>
                  </w:pPr>
                  <w:r>
                    <w:rPr>
                      <w:rFonts w:eastAsiaTheme="minorEastAsia"/>
                      <w:kern w:val="0"/>
                      <w:szCs w:val="21"/>
                    </w:rPr>
                    <w:t>个</w:t>
                  </w:r>
                </w:p>
              </w:tc>
              <w:tc>
                <w:tcPr>
                  <w:tcW w:w="1259" w:type="dxa"/>
                  <w:vAlign w:val="center"/>
                </w:tcPr>
                <w:p w14:paraId="2FDEA5C3">
                  <w:pPr>
                    <w:widowControl/>
                    <w:jc w:val="center"/>
                    <w:rPr>
                      <w:rFonts w:eastAsiaTheme="minorEastAsia"/>
                      <w:kern w:val="0"/>
                      <w:szCs w:val="21"/>
                    </w:rPr>
                  </w:pPr>
                  <w:r>
                    <w:rPr>
                      <w:rFonts w:eastAsiaTheme="minorEastAsia"/>
                      <w:kern w:val="0"/>
                      <w:szCs w:val="21"/>
                    </w:rPr>
                    <w:t>2</w:t>
                  </w:r>
                </w:p>
              </w:tc>
              <w:tc>
                <w:tcPr>
                  <w:tcW w:w="672" w:type="dxa"/>
                  <w:vMerge w:val="continue"/>
                  <w:vAlign w:val="center"/>
                </w:tcPr>
                <w:p w14:paraId="17179381">
                  <w:pPr>
                    <w:widowControl/>
                    <w:jc w:val="center"/>
                    <w:rPr>
                      <w:rFonts w:eastAsiaTheme="minorEastAsia"/>
                      <w:kern w:val="0"/>
                      <w:szCs w:val="21"/>
                    </w:rPr>
                  </w:pPr>
                </w:p>
              </w:tc>
            </w:tr>
            <w:tr w14:paraId="4EA425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4682D57D">
                  <w:pPr>
                    <w:widowControl/>
                    <w:jc w:val="center"/>
                    <w:rPr>
                      <w:rFonts w:eastAsiaTheme="minorEastAsia"/>
                      <w:kern w:val="0"/>
                      <w:szCs w:val="21"/>
                    </w:rPr>
                  </w:pPr>
                  <w:r>
                    <w:rPr>
                      <w:rFonts w:eastAsiaTheme="minorEastAsia"/>
                      <w:kern w:val="0"/>
                      <w:szCs w:val="21"/>
                    </w:rPr>
                    <w:t>31</w:t>
                  </w:r>
                </w:p>
              </w:tc>
              <w:tc>
                <w:tcPr>
                  <w:tcW w:w="1924" w:type="dxa"/>
                  <w:vAlign w:val="center"/>
                </w:tcPr>
                <w:p w14:paraId="24450024">
                  <w:pPr>
                    <w:widowControl/>
                    <w:jc w:val="center"/>
                    <w:rPr>
                      <w:rFonts w:eastAsiaTheme="minorEastAsia"/>
                      <w:kern w:val="0"/>
                      <w:szCs w:val="21"/>
                    </w:rPr>
                  </w:pPr>
                  <w:r>
                    <w:rPr>
                      <w:rFonts w:eastAsiaTheme="minorEastAsia"/>
                      <w:kern w:val="0"/>
                      <w:szCs w:val="21"/>
                    </w:rPr>
                    <w:t>离心通风机</w:t>
                  </w:r>
                </w:p>
              </w:tc>
              <w:tc>
                <w:tcPr>
                  <w:tcW w:w="2748" w:type="dxa"/>
                  <w:vAlign w:val="center"/>
                </w:tcPr>
                <w:p w14:paraId="062335DB">
                  <w:pPr>
                    <w:widowControl/>
                    <w:jc w:val="center"/>
                    <w:rPr>
                      <w:rFonts w:eastAsiaTheme="minorEastAsia"/>
                      <w:kern w:val="0"/>
                      <w:szCs w:val="21"/>
                    </w:rPr>
                  </w:pPr>
                  <w:r>
                    <w:rPr>
                      <w:rFonts w:eastAsiaTheme="minorEastAsia"/>
                      <w:kern w:val="0"/>
                      <w:szCs w:val="21"/>
                    </w:rPr>
                    <w:t>CF54-560C 12330m</w:t>
                  </w:r>
                  <w:r>
                    <w:rPr>
                      <w:rFonts w:eastAsiaTheme="minorEastAsia"/>
                      <w:kern w:val="0"/>
                      <w:szCs w:val="21"/>
                      <w:vertAlign w:val="superscript"/>
                    </w:rPr>
                    <w:t>3</w:t>
                  </w:r>
                  <w:r>
                    <w:rPr>
                      <w:rFonts w:eastAsiaTheme="minorEastAsia"/>
                      <w:kern w:val="0"/>
                      <w:szCs w:val="21"/>
                    </w:rPr>
                    <w:t>/h 2325Pa 2160rpm 15kW Q235B</w:t>
                  </w:r>
                </w:p>
              </w:tc>
              <w:tc>
                <w:tcPr>
                  <w:tcW w:w="530" w:type="dxa"/>
                  <w:vAlign w:val="center"/>
                </w:tcPr>
                <w:p w14:paraId="0FD5BEB2">
                  <w:pPr>
                    <w:widowControl/>
                    <w:jc w:val="center"/>
                    <w:rPr>
                      <w:rFonts w:eastAsiaTheme="minorEastAsia"/>
                      <w:kern w:val="0"/>
                      <w:szCs w:val="21"/>
                    </w:rPr>
                  </w:pPr>
                  <w:r>
                    <w:rPr>
                      <w:rFonts w:eastAsiaTheme="minorEastAsia"/>
                      <w:kern w:val="0"/>
                      <w:szCs w:val="21"/>
                    </w:rPr>
                    <w:t>套</w:t>
                  </w:r>
                </w:p>
              </w:tc>
              <w:tc>
                <w:tcPr>
                  <w:tcW w:w="1259" w:type="dxa"/>
                  <w:vAlign w:val="center"/>
                </w:tcPr>
                <w:p w14:paraId="1601659E">
                  <w:pPr>
                    <w:widowControl/>
                    <w:jc w:val="center"/>
                    <w:rPr>
                      <w:rFonts w:eastAsiaTheme="minorEastAsia"/>
                      <w:kern w:val="0"/>
                      <w:szCs w:val="21"/>
                    </w:rPr>
                  </w:pPr>
                  <w:r>
                    <w:rPr>
                      <w:rFonts w:eastAsiaTheme="minorEastAsia"/>
                      <w:kern w:val="0"/>
                      <w:szCs w:val="21"/>
                    </w:rPr>
                    <w:t>1</w:t>
                  </w:r>
                </w:p>
              </w:tc>
              <w:tc>
                <w:tcPr>
                  <w:tcW w:w="672" w:type="dxa"/>
                  <w:vMerge w:val="continue"/>
                  <w:vAlign w:val="center"/>
                </w:tcPr>
                <w:p w14:paraId="7D525731">
                  <w:pPr>
                    <w:widowControl/>
                    <w:jc w:val="center"/>
                    <w:rPr>
                      <w:rFonts w:eastAsiaTheme="minorEastAsia"/>
                      <w:kern w:val="0"/>
                      <w:szCs w:val="21"/>
                    </w:rPr>
                  </w:pPr>
                </w:p>
              </w:tc>
            </w:tr>
            <w:tr w14:paraId="5F24EF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0A456DE9">
                  <w:pPr>
                    <w:widowControl/>
                    <w:jc w:val="center"/>
                    <w:rPr>
                      <w:rFonts w:eastAsiaTheme="minorEastAsia"/>
                      <w:kern w:val="0"/>
                      <w:szCs w:val="21"/>
                    </w:rPr>
                  </w:pPr>
                  <w:r>
                    <w:rPr>
                      <w:rFonts w:eastAsiaTheme="minorEastAsia"/>
                      <w:kern w:val="0"/>
                      <w:szCs w:val="21"/>
                    </w:rPr>
                    <w:t>32</w:t>
                  </w:r>
                </w:p>
              </w:tc>
              <w:tc>
                <w:tcPr>
                  <w:tcW w:w="1924" w:type="dxa"/>
                  <w:vAlign w:val="center"/>
                </w:tcPr>
                <w:p w14:paraId="249628E3">
                  <w:pPr>
                    <w:widowControl/>
                    <w:jc w:val="center"/>
                    <w:rPr>
                      <w:rFonts w:eastAsiaTheme="minorEastAsia"/>
                      <w:kern w:val="0"/>
                      <w:szCs w:val="21"/>
                    </w:rPr>
                  </w:pPr>
                  <w:r>
                    <w:rPr>
                      <w:rFonts w:eastAsiaTheme="minorEastAsia"/>
                      <w:kern w:val="0"/>
                      <w:szCs w:val="21"/>
                    </w:rPr>
                    <w:t>离心通风机</w:t>
                  </w:r>
                </w:p>
              </w:tc>
              <w:tc>
                <w:tcPr>
                  <w:tcW w:w="2748" w:type="dxa"/>
                  <w:vAlign w:val="center"/>
                </w:tcPr>
                <w:p w14:paraId="2FAB4A82">
                  <w:pPr>
                    <w:widowControl/>
                    <w:jc w:val="center"/>
                    <w:rPr>
                      <w:rFonts w:eastAsiaTheme="minorEastAsia"/>
                      <w:kern w:val="0"/>
                      <w:szCs w:val="21"/>
                    </w:rPr>
                  </w:pPr>
                  <w:r>
                    <w:rPr>
                      <w:rFonts w:eastAsiaTheme="minorEastAsia"/>
                      <w:kern w:val="0"/>
                      <w:szCs w:val="21"/>
                    </w:rPr>
                    <w:t>CF55-630C 15410m</w:t>
                  </w:r>
                  <w:r>
                    <w:rPr>
                      <w:rFonts w:eastAsiaTheme="minorEastAsia"/>
                      <w:kern w:val="0"/>
                      <w:szCs w:val="21"/>
                      <w:vertAlign w:val="superscript"/>
                    </w:rPr>
                    <w:t>3</w:t>
                  </w:r>
                  <w:r>
                    <w:rPr>
                      <w:rFonts w:eastAsiaTheme="minorEastAsia"/>
                      <w:kern w:val="0"/>
                      <w:szCs w:val="21"/>
                    </w:rPr>
                    <w:t>/h 3140Pa 2250rpm 22kW Q235B</w:t>
                  </w:r>
                </w:p>
              </w:tc>
              <w:tc>
                <w:tcPr>
                  <w:tcW w:w="530" w:type="dxa"/>
                  <w:vAlign w:val="center"/>
                </w:tcPr>
                <w:p w14:paraId="59561FFD">
                  <w:pPr>
                    <w:widowControl/>
                    <w:jc w:val="center"/>
                    <w:rPr>
                      <w:rFonts w:eastAsiaTheme="minorEastAsia"/>
                      <w:kern w:val="0"/>
                      <w:szCs w:val="21"/>
                    </w:rPr>
                  </w:pPr>
                  <w:r>
                    <w:rPr>
                      <w:rFonts w:eastAsiaTheme="minorEastAsia"/>
                      <w:kern w:val="0"/>
                      <w:szCs w:val="21"/>
                    </w:rPr>
                    <w:t>套</w:t>
                  </w:r>
                </w:p>
              </w:tc>
              <w:tc>
                <w:tcPr>
                  <w:tcW w:w="1259" w:type="dxa"/>
                  <w:vAlign w:val="center"/>
                </w:tcPr>
                <w:p w14:paraId="581600AE">
                  <w:pPr>
                    <w:widowControl/>
                    <w:jc w:val="center"/>
                    <w:rPr>
                      <w:rFonts w:eastAsiaTheme="minorEastAsia"/>
                      <w:kern w:val="0"/>
                      <w:szCs w:val="21"/>
                    </w:rPr>
                  </w:pPr>
                  <w:r>
                    <w:rPr>
                      <w:rFonts w:eastAsiaTheme="minorEastAsia"/>
                      <w:kern w:val="0"/>
                      <w:szCs w:val="21"/>
                    </w:rPr>
                    <w:t>8</w:t>
                  </w:r>
                </w:p>
              </w:tc>
              <w:tc>
                <w:tcPr>
                  <w:tcW w:w="672" w:type="dxa"/>
                  <w:vMerge w:val="continue"/>
                  <w:vAlign w:val="center"/>
                </w:tcPr>
                <w:p w14:paraId="22C7A0E4">
                  <w:pPr>
                    <w:widowControl/>
                    <w:jc w:val="center"/>
                    <w:rPr>
                      <w:rFonts w:eastAsiaTheme="minorEastAsia"/>
                      <w:kern w:val="0"/>
                      <w:szCs w:val="21"/>
                    </w:rPr>
                  </w:pPr>
                </w:p>
              </w:tc>
            </w:tr>
            <w:tr w14:paraId="3FDE44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2714187B">
                  <w:pPr>
                    <w:widowControl/>
                    <w:jc w:val="center"/>
                    <w:rPr>
                      <w:rFonts w:eastAsiaTheme="minorEastAsia"/>
                      <w:kern w:val="0"/>
                      <w:szCs w:val="21"/>
                    </w:rPr>
                  </w:pPr>
                  <w:r>
                    <w:rPr>
                      <w:rFonts w:eastAsiaTheme="minorEastAsia"/>
                      <w:kern w:val="0"/>
                      <w:szCs w:val="21"/>
                    </w:rPr>
                    <w:t>33</w:t>
                  </w:r>
                </w:p>
              </w:tc>
              <w:tc>
                <w:tcPr>
                  <w:tcW w:w="1924" w:type="dxa"/>
                  <w:shd w:val="clear" w:color="auto" w:fill="auto"/>
                  <w:vAlign w:val="center"/>
                </w:tcPr>
                <w:p w14:paraId="48FBFCED">
                  <w:pPr>
                    <w:jc w:val="center"/>
                    <w:rPr>
                      <w:rFonts w:eastAsiaTheme="minorEastAsia"/>
                      <w:szCs w:val="21"/>
                    </w:rPr>
                  </w:pPr>
                  <w:r>
                    <w:rPr>
                      <w:rFonts w:eastAsiaTheme="minorEastAsia"/>
                      <w:szCs w:val="21"/>
                    </w:rPr>
                    <w:t>壁式轴流风机</w:t>
                  </w:r>
                </w:p>
              </w:tc>
              <w:tc>
                <w:tcPr>
                  <w:tcW w:w="2748" w:type="dxa"/>
                  <w:shd w:val="clear" w:color="auto" w:fill="auto"/>
                  <w:vAlign w:val="center"/>
                </w:tcPr>
                <w:p w14:paraId="0622EC90">
                  <w:pPr>
                    <w:jc w:val="center"/>
                    <w:rPr>
                      <w:rFonts w:eastAsiaTheme="minorEastAsia"/>
                      <w:szCs w:val="21"/>
                    </w:rPr>
                  </w:pPr>
                  <w:r>
                    <w:rPr>
                      <w:rFonts w:eastAsiaTheme="minorEastAsia"/>
                      <w:szCs w:val="21"/>
                    </w:rPr>
                    <w:t>防爆</w:t>
                  </w:r>
                </w:p>
              </w:tc>
              <w:tc>
                <w:tcPr>
                  <w:tcW w:w="530" w:type="dxa"/>
                  <w:shd w:val="clear" w:color="auto" w:fill="auto"/>
                  <w:vAlign w:val="center"/>
                </w:tcPr>
                <w:p w14:paraId="04DA0956">
                  <w:pPr>
                    <w:jc w:val="center"/>
                    <w:rPr>
                      <w:rFonts w:eastAsiaTheme="minorEastAsia"/>
                      <w:szCs w:val="21"/>
                    </w:rPr>
                  </w:pPr>
                  <w:r>
                    <w:rPr>
                      <w:rFonts w:eastAsiaTheme="minorEastAsia"/>
                      <w:szCs w:val="21"/>
                    </w:rPr>
                    <w:t>台</w:t>
                  </w:r>
                </w:p>
              </w:tc>
              <w:tc>
                <w:tcPr>
                  <w:tcW w:w="1259" w:type="dxa"/>
                  <w:shd w:val="clear" w:color="auto" w:fill="auto"/>
                  <w:vAlign w:val="center"/>
                </w:tcPr>
                <w:p w14:paraId="3BA4E47C">
                  <w:pPr>
                    <w:jc w:val="center"/>
                    <w:rPr>
                      <w:rFonts w:eastAsiaTheme="minorEastAsia"/>
                      <w:szCs w:val="21"/>
                    </w:rPr>
                  </w:pPr>
                  <w:r>
                    <w:rPr>
                      <w:rFonts w:eastAsiaTheme="minorEastAsia"/>
                      <w:szCs w:val="21"/>
                    </w:rPr>
                    <w:t>16</w:t>
                  </w:r>
                </w:p>
              </w:tc>
              <w:tc>
                <w:tcPr>
                  <w:tcW w:w="672" w:type="dxa"/>
                  <w:vMerge w:val="continue"/>
                  <w:vAlign w:val="center"/>
                </w:tcPr>
                <w:p w14:paraId="4449F506">
                  <w:pPr>
                    <w:jc w:val="center"/>
                    <w:rPr>
                      <w:rFonts w:eastAsiaTheme="minorEastAsia"/>
                      <w:szCs w:val="21"/>
                    </w:rPr>
                  </w:pPr>
                </w:p>
              </w:tc>
            </w:tr>
            <w:tr w14:paraId="406E03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4CF24D8D">
                  <w:pPr>
                    <w:widowControl/>
                    <w:jc w:val="center"/>
                    <w:rPr>
                      <w:rFonts w:eastAsiaTheme="minorEastAsia"/>
                      <w:kern w:val="0"/>
                      <w:szCs w:val="21"/>
                    </w:rPr>
                  </w:pPr>
                  <w:r>
                    <w:rPr>
                      <w:rFonts w:eastAsiaTheme="minorEastAsia"/>
                      <w:kern w:val="0"/>
                      <w:szCs w:val="21"/>
                    </w:rPr>
                    <w:t>34</w:t>
                  </w:r>
                </w:p>
              </w:tc>
              <w:tc>
                <w:tcPr>
                  <w:tcW w:w="1924" w:type="dxa"/>
                  <w:shd w:val="clear" w:color="auto" w:fill="auto"/>
                  <w:vAlign w:val="center"/>
                </w:tcPr>
                <w:p w14:paraId="0695EDEC">
                  <w:pPr>
                    <w:jc w:val="center"/>
                    <w:rPr>
                      <w:rFonts w:eastAsiaTheme="minorEastAsia"/>
                      <w:szCs w:val="21"/>
                    </w:rPr>
                  </w:pPr>
                  <w:r>
                    <w:rPr>
                      <w:rFonts w:eastAsiaTheme="minorEastAsia"/>
                      <w:szCs w:val="21"/>
                    </w:rPr>
                    <w:t>屋顶轴流风机</w:t>
                  </w:r>
                </w:p>
              </w:tc>
              <w:tc>
                <w:tcPr>
                  <w:tcW w:w="2748" w:type="dxa"/>
                  <w:shd w:val="clear" w:color="auto" w:fill="auto"/>
                  <w:vAlign w:val="center"/>
                </w:tcPr>
                <w:p w14:paraId="40D52617">
                  <w:pPr>
                    <w:jc w:val="center"/>
                    <w:rPr>
                      <w:rFonts w:eastAsiaTheme="minorEastAsia"/>
                      <w:szCs w:val="21"/>
                    </w:rPr>
                  </w:pPr>
                  <w:r>
                    <w:rPr>
                      <w:rFonts w:eastAsiaTheme="minorEastAsia"/>
                      <w:szCs w:val="21"/>
                    </w:rPr>
                    <w:t>/</w:t>
                  </w:r>
                </w:p>
              </w:tc>
              <w:tc>
                <w:tcPr>
                  <w:tcW w:w="530" w:type="dxa"/>
                  <w:shd w:val="clear" w:color="auto" w:fill="auto"/>
                  <w:vAlign w:val="center"/>
                </w:tcPr>
                <w:p w14:paraId="4C231267">
                  <w:pPr>
                    <w:jc w:val="center"/>
                    <w:rPr>
                      <w:rFonts w:eastAsiaTheme="minorEastAsia"/>
                      <w:szCs w:val="21"/>
                    </w:rPr>
                  </w:pPr>
                  <w:r>
                    <w:rPr>
                      <w:rFonts w:eastAsiaTheme="minorEastAsia"/>
                      <w:szCs w:val="21"/>
                    </w:rPr>
                    <w:t>台</w:t>
                  </w:r>
                </w:p>
              </w:tc>
              <w:tc>
                <w:tcPr>
                  <w:tcW w:w="1259" w:type="dxa"/>
                  <w:shd w:val="clear" w:color="auto" w:fill="auto"/>
                  <w:vAlign w:val="center"/>
                </w:tcPr>
                <w:p w14:paraId="7885CF48">
                  <w:pPr>
                    <w:jc w:val="center"/>
                    <w:rPr>
                      <w:rFonts w:eastAsiaTheme="minorEastAsia"/>
                      <w:szCs w:val="21"/>
                    </w:rPr>
                  </w:pPr>
                  <w:r>
                    <w:rPr>
                      <w:rFonts w:eastAsiaTheme="minorEastAsia"/>
                      <w:szCs w:val="21"/>
                    </w:rPr>
                    <w:t>33</w:t>
                  </w:r>
                </w:p>
              </w:tc>
              <w:tc>
                <w:tcPr>
                  <w:tcW w:w="672" w:type="dxa"/>
                  <w:vMerge w:val="continue"/>
                  <w:vAlign w:val="center"/>
                </w:tcPr>
                <w:p w14:paraId="69D4A3F6">
                  <w:pPr>
                    <w:jc w:val="center"/>
                    <w:rPr>
                      <w:rFonts w:eastAsiaTheme="minorEastAsia"/>
                      <w:szCs w:val="21"/>
                    </w:rPr>
                  </w:pPr>
                </w:p>
              </w:tc>
            </w:tr>
            <w:tr w14:paraId="7A4355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57893990">
                  <w:pPr>
                    <w:widowControl/>
                    <w:jc w:val="center"/>
                    <w:rPr>
                      <w:rFonts w:eastAsiaTheme="minorEastAsia"/>
                      <w:kern w:val="0"/>
                      <w:szCs w:val="21"/>
                    </w:rPr>
                  </w:pPr>
                  <w:r>
                    <w:rPr>
                      <w:rFonts w:eastAsiaTheme="minorEastAsia"/>
                      <w:kern w:val="0"/>
                      <w:szCs w:val="21"/>
                    </w:rPr>
                    <w:t>35</w:t>
                  </w:r>
                </w:p>
              </w:tc>
              <w:tc>
                <w:tcPr>
                  <w:tcW w:w="1924" w:type="dxa"/>
                  <w:vAlign w:val="center"/>
                </w:tcPr>
                <w:p w14:paraId="46723103">
                  <w:pPr>
                    <w:widowControl/>
                    <w:jc w:val="center"/>
                    <w:rPr>
                      <w:rFonts w:eastAsiaTheme="minorEastAsia"/>
                      <w:kern w:val="0"/>
                      <w:szCs w:val="21"/>
                    </w:rPr>
                  </w:pPr>
                  <w:r>
                    <w:rPr>
                      <w:rFonts w:eastAsiaTheme="minorEastAsia"/>
                      <w:kern w:val="0"/>
                      <w:szCs w:val="21"/>
                    </w:rPr>
                    <w:t>POY丝车</w:t>
                  </w:r>
                </w:p>
              </w:tc>
              <w:tc>
                <w:tcPr>
                  <w:tcW w:w="2748" w:type="dxa"/>
                  <w:vAlign w:val="center"/>
                </w:tcPr>
                <w:p w14:paraId="25CF28EB">
                  <w:pPr>
                    <w:widowControl/>
                    <w:jc w:val="center"/>
                    <w:rPr>
                      <w:rFonts w:eastAsiaTheme="minorEastAsia"/>
                      <w:kern w:val="0"/>
                      <w:szCs w:val="21"/>
                    </w:rPr>
                  </w:pPr>
                  <w:r>
                    <w:rPr>
                      <w:rFonts w:eastAsiaTheme="minorEastAsia"/>
                      <w:kern w:val="0"/>
                      <w:szCs w:val="21"/>
                    </w:rPr>
                    <w:t>36锭 5°方管</w:t>
                  </w:r>
                </w:p>
              </w:tc>
              <w:tc>
                <w:tcPr>
                  <w:tcW w:w="530" w:type="dxa"/>
                  <w:vAlign w:val="center"/>
                </w:tcPr>
                <w:p w14:paraId="17617745">
                  <w:pPr>
                    <w:widowControl/>
                    <w:jc w:val="center"/>
                    <w:rPr>
                      <w:rFonts w:eastAsiaTheme="minorEastAsia"/>
                      <w:kern w:val="0"/>
                      <w:szCs w:val="21"/>
                    </w:rPr>
                  </w:pPr>
                  <w:r>
                    <w:rPr>
                      <w:rFonts w:eastAsiaTheme="minorEastAsia"/>
                      <w:kern w:val="0"/>
                      <w:szCs w:val="21"/>
                    </w:rPr>
                    <w:t>辆</w:t>
                  </w:r>
                </w:p>
              </w:tc>
              <w:tc>
                <w:tcPr>
                  <w:tcW w:w="1259" w:type="dxa"/>
                  <w:vAlign w:val="center"/>
                </w:tcPr>
                <w:p w14:paraId="112958E0">
                  <w:pPr>
                    <w:widowControl/>
                    <w:jc w:val="center"/>
                    <w:rPr>
                      <w:rFonts w:eastAsiaTheme="minorEastAsia"/>
                      <w:kern w:val="0"/>
                      <w:szCs w:val="21"/>
                    </w:rPr>
                  </w:pPr>
                  <w:r>
                    <w:rPr>
                      <w:rFonts w:eastAsiaTheme="minorEastAsia"/>
                      <w:kern w:val="0"/>
                      <w:szCs w:val="21"/>
                    </w:rPr>
                    <w:t>2450</w:t>
                  </w:r>
                </w:p>
              </w:tc>
              <w:tc>
                <w:tcPr>
                  <w:tcW w:w="672" w:type="dxa"/>
                  <w:vMerge w:val="continue"/>
                  <w:vAlign w:val="center"/>
                </w:tcPr>
                <w:p w14:paraId="0000A97B">
                  <w:pPr>
                    <w:widowControl/>
                    <w:jc w:val="center"/>
                    <w:rPr>
                      <w:rFonts w:eastAsiaTheme="minorEastAsia"/>
                      <w:kern w:val="0"/>
                      <w:szCs w:val="21"/>
                    </w:rPr>
                  </w:pPr>
                </w:p>
              </w:tc>
            </w:tr>
            <w:tr w14:paraId="33B8C4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043F7DCE">
                  <w:pPr>
                    <w:widowControl/>
                    <w:jc w:val="center"/>
                    <w:rPr>
                      <w:rFonts w:eastAsiaTheme="minorEastAsia"/>
                      <w:kern w:val="0"/>
                      <w:szCs w:val="21"/>
                    </w:rPr>
                  </w:pPr>
                  <w:r>
                    <w:rPr>
                      <w:rFonts w:eastAsiaTheme="minorEastAsia"/>
                      <w:kern w:val="0"/>
                      <w:szCs w:val="21"/>
                    </w:rPr>
                    <w:t>36</w:t>
                  </w:r>
                </w:p>
              </w:tc>
              <w:tc>
                <w:tcPr>
                  <w:tcW w:w="1924" w:type="dxa"/>
                  <w:vAlign w:val="center"/>
                </w:tcPr>
                <w:p w14:paraId="12CA03B5">
                  <w:pPr>
                    <w:widowControl/>
                    <w:jc w:val="center"/>
                    <w:rPr>
                      <w:rFonts w:eastAsiaTheme="minorEastAsia"/>
                      <w:kern w:val="0"/>
                      <w:szCs w:val="21"/>
                    </w:rPr>
                  </w:pPr>
                  <w:r>
                    <w:rPr>
                      <w:rFonts w:eastAsiaTheme="minorEastAsia"/>
                      <w:kern w:val="0"/>
                      <w:szCs w:val="21"/>
                    </w:rPr>
                    <w:t>FDY丝车</w:t>
                  </w:r>
                </w:p>
              </w:tc>
              <w:tc>
                <w:tcPr>
                  <w:tcW w:w="2748" w:type="dxa"/>
                  <w:vAlign w:val="center"/>
                </w:tcPr>
                <w:p w14:paraId="6AFCEF3F">
                  <w:pPr>
                    <w:widowControl/>
                    <w:jc w:val="center"/>
                    <w:rPr>
                      <w:rFonts w:eastAsiaTheme="minorEastAsia"/>
                      <w:kern w:val="0"/>
                      <w:szCs w:val="21"/>
                    </w:rPr>
                  </w:pPr>
                  <w:r>
                    <w:rPr>
                      <w:rFonts w:eastAsiaTheme="minorEastAsia"/>
                      <w:kern w:val="0"/>
                      <w:szCs w:val="21"/>
                    </w:rPr>
                    <w:t>32头</w:t>
                  </w:r>
                </w:p>
              </w:tc>
              <w:tc>
                <w:tcPr>
                  <w:tcW w:w="530" w:type="dxa"/>
                  <w:vAlign w:val="center"/>
                </w:tcPr>
                <w:p w14:paraId="04734272">
                  <w:pPr>
                    <w:widowControl/>
                    <w:jc w:val="center"/>
                    <w:rPr>
                      <w:rFonts w:eastAsiaTheme="minorEastAsia"/>
                      <w:kern w:val="0"/>
                      <w:szCs w:val="21"/>
                    </w:rPr>
                  </w:pPr>
                  <w:r>
                    <w:rPr>
                      <w:rFonts w:eastAsiaTheme="minorEastAsia"/>
                      <w:kern w:val="0"/>
                      <w:szCs w:val="21"/>
                    </w:rPr>
                    <w:t>辆</w:t>
                  </w:r>
                </w:p>
              </w:tc>
              <w:tc>
                <w:tcPr>
                  <w:tcW w:w="1259" w:type="dxa"/>
                  <w:vAlign w:val="center"/>
                </w:tcPr>
                <w:p w14:paraId="54C8BAF2">
                  <w:pPr>
                    <w:widowControl/>
                    <w:jc w:val="center"/>
                    <w:rPr>
                      <w:rFonts w:eastAsiaTheme="minorEastAsia"/>
                      <w:kern w:val="0"/>
                      <w:szCs w:val="21"/>
                    </w:rPr>
                  </w:pPr>
                  <w:r>
                    <w:rPr>
                      <w:rFonts w:eastAsiaTheme="minorEastAsia"/>
                      <w:kern w:val="0"/>
                      <w:szCs w:val="21"/>
                    </w:rPr>
                    <w:t>2500</w:t>
                  </w:r>
                </w:p>
              </w:tc>
              <w:tc>
                <w:tcPr>
                  <w:tcW w:w="672" w:type="dxa"/>
                  <w:vMerge w:val="continue"/>
                  <w:vAlign w:val="center"/>
                </w:tcPr>
                <w:p w14:paraId="64860431">
                  <w:pPr>
                    <w:widowControl/>
                    <w:jc w:val="center"/>
                    <w:rPr>
                      <w:rFonts w:eastAsiaTheme="minorEastAsia"/>
                      <w:kern w:val="0"/>
                      <w:szCs w:val="21"/>
                    </w:rPr>
                  </w:pPr>
                </w:p>
              </w:tc>
            </w:tr>
            <w:tr w14:paraId="240EEC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524C0D7A">
                  <w:pPr>
                    <w:widowControl/>
                    <w:jc w:val="center"/>
                    <w:rPr>
                      <w:rFonts w:eastAsiaTheme="minorEastAsia"/>
                      <w:kern w:val="0"/>
                      <w:szCs w:val="21"/>
                    </w:rPr>
                  </w:pPr>
                  <w:r>
                    <w:rPr>
                      <w:rFonts w:eastAsiaTheme="minorEastAsia"/>
                      <w:kern w:val="0"/>
                      <w:szCs w:val="21"/>
                    </w:rPr>
                    <w:t>37</w:t>
                  </w:r>
                </w:p>
              </w:tc>
              <w:tc>
                <w:tcPr>
                  <w:tcW w:w="1924" w:type="dxa"/>
                  <w:vAlign w:val="center"/>
                </w:tcPr>
                <w:p w14:paraId="4AADF48F">
                  <w:pPr>
                    <w:widowControl/>
                    <w:jc w:val="center"/>
                    <w:rPr>
                      <w:rFonts w:eastAsiaTheme="minorEastAsia"/>
                      <w:kern w:val="0"/>
                      <w:szCs w:val="21"/>
                    </w:rPr>
                  </w:pPr>
                  <w:r>
                    <w:rPr>
                      <w:rFonts w:eastAsiaTheme="minorEastAsia"/>
                      <w:kern w:val="0"/>
                      <w:szCs w:val="21"/>
                    </w:rPr>
                    <w:t>丝车轮（万向）</w:t>
                  </w:r>
                </w:p>
              </w:tc>
              <w:tc>
                <w:tcPr>
                  <w:tcW w:w="2748" w:type="dxa"/>
                  <w:vAlign w:val="center"/>
                </w:tcPr>
                <w:p w14:paraId="0E8BF9BA">
                  <w:pPr>
                    <w:widowControl/>
                    <w:jc w:val="center"/>
                    <w:rPr>
                      <w:rFonts w:eastAsiaTheme="minorEastAsia"/>
                      <w:kern w:val="0"/>
                      <w:szCs w:val="21"/>
                    </w:rPr>
                  </w:pPr>
                  <w:r>
                    <w:rPr>
                      <w:rFonts w:eastAsiaTheme="minorEastAsia"/>
                      <w:kern w:val="0"/>
                      <w:szCs w:val="21"/>
                    </w:rPr>
                    <w:t>6寸</w:t>
                  </w:r>
                </w:p>
              </w:tc>
              <w:tc>
                <w:tcPr>
                  <w:tcW w:w="530" w:type="dxa"/>
                  <w:vAlign w:val="center"/>
                </w:tcPr>
                <w:p w14:paraId="2AF81E00">
                  <w:pPr>
                    <w:widowControl/>
                    <w:jc w:val="center"/>
                    <w:rPr>
                      <w:rFonts w:eastAsiaTheme="minorEastAsia"/>
                      <w:kern w:val="0"/>
                      <w:szCs w:val="21"/>
                    </w:rPr>
                  </w:pPr>
                  <w:r>
                    <w:rPr>
                      <w:rFonts w:eastAsiaTheme="minorEastAsia"/>
                      <w:kern w:val="0"/>
                      <w:szCs w:val="21"/>
                    </w:rPr>
                    <w:t>个</w:t>
                  </w:r>
                </w:p>
              </w:tc>
              <w:tc>
                <w:tcPr>
                  <w:tcW w:w="1259" w:type="dxa"/>
                  <w:vAlign w:val="center"/>
                </w:tcPr>
                <w:p w14:paraId="0BA3C024">
                  <w:pPr>
                    <w:widowControl/>
                    <w:jc w:val="center"/>
                    <w:rPr>
                      <w:rFonts w:eastAsiaTheme="minorEastAsia"/>
                      <w:kern w:val="0"/>
                      <w:szCs w:val="21"/>
                    </w:rPr>
                  </w:pPr>
                  <w:r>
                    <w:rPr>
                      <w:rFonts w:eastAsiaTheme="minorEastAsia"/>
                      <w:kern w:val="0"/>
                      <w:szCs w:val="21"/>
                    </w:rPr>
                    <w:t>9900</w:t>
                  </w:r>
                </w:p>
              </w:tc>
              <w:tc>
                <w:tcPr>
                  <w:tcW w:w="672" w:type="dxa"/>
                  <w:vMerge w:val="continue"/>
                  <w:vAlign w:val="center"/>
                </w:tcPr>
                <w:p w14:paraId="4866674A">
                  <w:pPr>
                    <w:widowControl/>
                    <w:jc w:val="center"/>
                    <w:rPr>
                      <w:rFonts w:eastAsiaTheme="minorEastAsia"/>
                      <w:kern w:val="0"/>
                      <w:szCs w:val="21"/>
                    </w:rPr>
                  </w:pPr>
                </w:p>
              </w:tc>
            </w:tr>
            <w:tr w14:paraId="5D50F6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6B8A8F3E">
                  <w:pPr>
                    <w:widowControl/>
                    <w:jc w:val="center"/>
                    <w:rPr>
                      <w:rFonts w:eastAsiaTheme="minorEastAsia"/>
                      <w:kern w:val="0"/>
                      <w:szCs w:val="21"/>
                    </w:rPr>
                  </w:pPr>
                  <w:r>
                    <w:rPr>
                      <w:rFonts w:eastAsiaTheme="minorEastAsia"/>
                      <w:kern w:val="0"/>
                      <w:szCs w:val="21"/>
                    </w:rPr>
                    <w:t>38</w:t>
                  </w:r>
                </w:p>
              </w:tc>
              <w:tc>
                <w:tcPr>
                  <w:tcW w:w="1924" w:type="dxa"/>
                  <w:vAlign w:val="center"/>
                </w:tcPr>
                <w:p w14:paraId="3DA6339C">
                  <w:pPr>
                    <w:widowControl/>
                    <w:jc w:val="center"/>
                    <w:rPr>
                      <w:rFonts w:eastAsiaTheme="minorEastAsia"/>
                      <w:kern w:val="0"/>
                      <w:szCs w:val="21"/>
                    </w:rPr>
                  </w:pPr>
                  <w:r>
                    <w:rPr>
                      <w:rFonts w:eastAsiaTheme="minorEastAsia"/>
                      <w:kern w:val="0"/>
                      <w:szCs w:val="21"/>
                    </w:rPr>
                    <w:t>丝车轮（定向）</w:t>
                  </w:r>
                </w:p>
              </w:tc>
              <w:tc>
                <w:tcPr>
                  <w:tcW w:w="2748" w:type="dxa"/>
                  <w:vAlign w:val="center"/>
                </w:tcPr>
                <w:p w14:paraId="2C16CBB4">
                  <w:pPr>
                    <w:widowControl/>
                    <w:jc w:val="center"/>
                    <w:rPr>
                      <w:rFonts w:eastAsiaTheme="minorEastAsia"/>
                      <w:kern w:val="0"/>
                      <w:szCs w:val="21"/>
                    </w:rPr>
                  </w:pPr>
                  <w:r>
                    <w:rPr>
                      <w:rFonts w:eastAsiaTheme="minorEastAsia"/>
                      <w:kern w:val="0"/>
                      <w:szCs w:val="21"/>
                    </w:rPr>
                    <w:t>8寸</w:t>
                  </w:r>
                </w:p>
              </w:tc>
              <w:tc>
                <w:tcPr>
                  <w:tcW w:w="530" w:type="dxa"/>
                  <w:vAlign w:val="center"/>
                </w:tcPr>
                <w:p w14:paraId="01917EAD">
                  <w:pPr>
                    <w:widowControl/>
                    <w:jc w:val="center"/>
                    <w:rPr>
                      <w:rFonts w:eastAsiaTheme="minorEastAsia"/>
                      <w:kern w:val="0"/>
                      <w:szCs w:val="21"/>
                    </w:rPr>
                  </w:pPr>
                  <w:r>
                    <w:rPr>
                      <w:rFonts w:eastAsiaTheme="minorEastAsia"/>
                      <w:kern w:val="0"/>
                      <w:szCs w:val="21"/>
                    </w:rPr>
                    <w:t>个</w:t>
                  </w:r>
                </w:p>
              </w:tc>
              <w:tc>
                <w:tcPr>
                  <w:tcW w:w="1259" w:type="dxa"/>
                  <w:vAlign w:val="center"/>
                </w:tcPr>
                <w:p w14:paraId="45B574DC">
                  <w:pPr>
                    <w:widowControl/>
                    <w:jc w:val="center"/>
                    <w:rPr>
                      <w:rFonts w:eastAsiaTheme="minorEastAsia"/>
                      <w:kern w:val="0"/>
                      <w:szCs w:val="21"/>
                    </w:rPr>
                  </w:pPr>
                  <w:r>
                    <w:rPr>
                      <w:rFonts w:eastAsiaTheme="minorEastAsia"/>
                      <w:kern w:val="0"/>
                      <w:szCs w:val="21"/>
                    </w:rPr>
                    <w:t>9900</w:t>
                  </w:r>
                </w:p>
              </w:tc>
              <w:tc>
                <w:tcPr>
                  <w:tcW w:w="672" w:type="dxa"/>
                  <w:vMerge w:val="continue"/>
                  <w:vAlign w:val="center"/>
                </w:tcPr>
                <w:p w14:paraId="039329B8">
                  <w:pPr>
                    <w:widowControl/>
                    <w:jc w:val="center"/>
                    <w:rPr>
                      <w:rFonts w:eastAsiaTheme="minorEastAsia"/>
                      <w:kern w:val="0"/>
                      <w:szCs w:val="21"/>
                    </w:rPr>
                  </w:pPr>
                </w:p>
              </w:tc>
            </w:tr>
            <w:tr w14:paraId="27E436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0616754C">
                  <w:pPr>
                    <w:widowControl/>
                    <w:jc w:val="center"/>
                    <w:rPr>
                      <w:rFonts w:eastAsiaTheme="minorEastAsia"/>
                      <w:kern w:val="0"/>
                      <w:szCs w:val="21"/>
                    </w:rPr>
                  </w:pPr>
                  <w:r>
                    <w:rPr>
                      <w:rFonts w:eastAsiaTheme="minorEastAsia"/>
                      <w:kern w:val="0"/>
                      <w:szCs w:val="21"/>
                    </w:rPr>
                    <w:t>39</w:t>
                  </w:r>
                </w:p>
              </w:tc>
              <w:tc>
                <w:tcPr>
                  <w:tcW w:w="1924" w:type="dxa"/>
                  <w:vAlign w:val="center"/>
                </w:tcPr>
                <w:p w14:paraId="269EA6C6">
                  <w:pPr>
                    <w:widowControl/>
                    <w:jc w:val="center"/>
                    <w:rPr>
                      <w:rFonts w:eastAsiaTheme="minorEastAsia"/>
                      <w:kern w:val="0"/>
                      <w:szCs w:val="21"/>
                    </w:rPr>
                  </w:pPr>
                  <w:r>
                    <w:rPr>
                      <w:rFonts w:eastAsiaTheme="minorEastAsia"/>
                      <w:kern w:val="0"/>
                      <w:szCs w:val="21"/>
                    </w:rPr>
                    <w:t>组件组装压力机</w:t>
                  </w:r>
                </w:p>
              </w:tc>
              <w:tc>
                <w:tcPr>
                  <w:tcW w:w="2748" w:type="dxa"/>
                  <w:vAlign w:val="center"/>
                </w:tcPr>
                <w:p w14:paraId="2F70BC51">
                  <w:pPr>
                    <w:widowControl/>
                    <w:jc w:val="center"/>
                    <w:rPr>
                      <w:rFonts w:eastAsiaTheme="minorEastAsia"/>
                      <w:kern w:val="0"/>
                      <w:szCs w:val="21"/>
                    </w:rPr>
                  </w:pPr>
                  <w:r>
                    <w:rPr>
                      <w:rFonts w:eastAsiaTheme="minorEastAsia"/>
                      <w:kern w:val="0"/>
                      <w:szCs w:val="21"/>
                    </w:rPr>
                    <w:t>40吨压力机</w:t>
                  </w:r>
                </w:p>
              </w:tc>
              <w:tc>
                <w:tcPr>
                  <w:tcW w:w="530" w:type="dxa"/>
                  <w:vAlign w:val="center"/>
                </w:tcPr>
                <w:p w14:paraId="12F546B8">
                  <w:pPr>
                    <w:widowControl/>
                    <w:jc w:val="center"/>
                    <w:rPr>
                      <w:rFonts w:eastAsiaTheme="minorEastAsia"/>
                      <w:kern w:val="0"/>
                      <w:szCs w:val="21"/>
                    </w:rPr>
                  </w:pPr>
                  <w:r>
                    <w:rPr>
                      <w:rFonts w:eastAsiaTheme="minorEastAsia"/>
                      <w:kern w:val="0"/>
                      <w:szCs w:val="21"/>
                    </w:rPr>
                    <w:t>个</w:t>
                  </w:r>
                </w:p>
              </w:tc>
              <w:tc>
                <w:tcPr>
                  <w:tcW w:w="1259" w:type="dxa"/>
                  <w:vAlign w:val="center"/>
                </w:tcPr>
                <w:p w14:paraId="66A6CBC5">
                  <w:pPr>
                    <w:widowControl/>
                    <w:jc w:val="center"/>
                    <w:rPr>
                      <w:rFonts w:eastAsiaTheme="minorEastAsia"/>
                      <w:kern w:val="0"/>
                      <w:szCs w:val="21"/>
                    </w:rPr>
                  </w:pPr>
                  <w:r>
                    <w:rPr>
                      <w:rFonts w:eastAsiaTheme="minorEastAsia"/>
                      <w:kern w:val="0"/>
                      <w:szCs w:val="21"/>
                    </w:rPr>
                    <w:t>2</w:t>
                  </w:r>
                </w:p>
              </w:tc>
              <w:tc>
                <w:tcPr>
                  <w:tcW w:w="672" w:type="dxa"/>
                  <w:vMerge w:val="continue"/>
                  <w:vAlign w:val="center"/>
                </w:tcPr>
                <w:p w14:paraId="6AF9347F">
                  <w:pPr>
                    <w:widowControl/>
                    <w:jc w:val="center"/>
                    <w:rPr>
                      <w:rFonts w:eastAsiaTheme="minorEastAsia"/>
                      <w:kern w:val="0"/>
                      <w:szCs w:val="21"/>
                    </w:rPr>
                  </w:pPr>
                </w:p>
              </w:tc>
            </w:tr>
            <w:tr w14:paraId="4BB903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791E2308">
                  <w:pPr>
                    <w:widowControl/>
                    <w:jc w:val="center"/>
                    <w:rPr>
                      <w:rFonts w:eastAsiaTheme="minorEastAsia"/>
                      <w:kern w:val="0"/>
                      <w:szCs w:val="21"/>
                    </w:rPr>
                  </w:pPr>
                  <w:r>
                    <w:rPr>
                      <w:rFonts w:eastAsiaTheme="minorEastAsia"/>
                      <w:kern w:val="0"/>
                      <w:szCs w:val="21"/>
                    </w:rPr>
                    <w:t>40</w:t>
                  </w:r>
                </w:p>
              </w:tc>
              <w:tc>
                <w:tcPr>
                  <w:tcW w:w="1924" w:type="dxa"/>
                  <w:vAlign w:val="center"/>
                </w:tcPr>
                <w:p w14:paraId="1432E0AC">
                  <w:pPr>
                    <w:widowControl/>
                    <w:jc w:val="center"/>
                    <w:rPr>
                      <w:rFonts w:eastAsiaTheme="minorEastAsia"/>
                      <w:kern w:val="0"/>
                      <w:szCs w:val="21"/>
                    </w:rPr>
                  </w:pPr>
                  <w:r>
                    <w:rPr>
                      <w:rFonts w:eastAsiaTheme="minorEastAsia"/>
                      <w:kern w:val="0"/>
                      <w:szCs w:val="21"/>
                    </w:rPr>
                    <w:t>组件组装压力机</w:t>
                  </w:r>
                </w:p>
              </w:tc>
              <w:tc>
                <w:tcPr>
                  <w:tcW w:w="2748" w:type="dxa"/>
                  <w:vAlign w:val="center"/>
                </w:tcPr>
                <w:p w14:paraId="7EE1D636">
                  <w:pPr>
                    <w:widowControl/>
                    <w:jc w:val="center"/>
                    <w:rPr>
                      <w:rFonts w:eastAsiaTheme="minorEastAsia"/>
                      <w:kern w:val="0"/>
                      <w:szCs w:val="21"/>
                    </w:rPr>
                  </w:pPr>
                  <w:r>
                    <w:rPr>
                      <w:rFonts w:eastAsiaTheme="minorEastAsia"/>
                      <w:kern w:val="0"/>
                      <w:szCs w:val="21"/>
                    </w:rPr>
                    <w:t>16吨压力机</w:t>
                  </w:r>
                </w:p>
              </w:tc>
              <w:tc>
                <w:tcPr>
                  <w:tcW w:w="530" w:type="dxa"/>
                  <w:vAlign w:val="center"/>
                </w:tcPr>
                <w:p w14:paraId="38E3CA82">
                  <w:pPr>
                    <w:widowControl/>
                    <w:jc w:val="center"/>
                    <w:rPr>
                      <w:rFonts w:eastAsiaTheme="minorEastAsia"/>
                      <w:kern w:val="0"/>
                      <w:szCs w:val="21"/>
                    </w:rPr>
                  </w:pPr>
                  <w:r>
                    <w:rPr>
                      <w:rFonts w:eastAsiaTheme="minorEastAsia"/>
                      <w:kern w:val="0"/>
                      <w:szCs w:val="21"/>
                    </w:rPr>
                    <w:t>个</w:t>
                  </w:r>
                </w:p>
              </w:tc>
              <w:tc>
                <w:tcPr>
                  <w:tcW w:w="1259" w:type="dxa"/>
                  <w:vAlign w:val="center"/>
                </w:tcPr>
                <w:p w14:paraId="15DC9E7E">
                  <w:pPr>
                    <w:widowControl/>
                    <w:jc w:val="center"/>
                    <w:rPr>
                      <w:rFonts w:eastAsiaTheme="minorEastAsia"/>
                      <w:kern w:val="0"/>
                      <w:szCs w:val="21"/>
                    </w:rPr>
                  </w:pPr>
                  <w:r>
                    <w:rPr>
                      <w:rFonts w:eastAsiaTheme="minorEastAsia"/>
                      <w:kern w:val="0"/>
                      <w:szCs w:val="21"/>
                    </w:rPr>
                    <w:t>1</w:t>
                  </w:r>
                </w:p>
              </w:tc>
              <w:tc>
                <w:tcPr>
                  <w:tcW w:w="672" w:type="dxa"/>
                  <w:vMerge w:val="continue"/>
                  <w:vAlign w:val="center"/>
                </w:tcPr>
                <w:p w14:paraId="739FCA4B">
                  <w:pPr>
                    <w:widowControl/>
                    <w:jc w:val="center"/>
                    <w:rPr>
                      <w:rFonts w:eastAsiaTheme="minorEastAsia"/>
                      <w:kern w:val="0"/>
                      <w:szCs w:val="21"/>
                    </w:rPr>
                  </w:pPr>
                </w:p>
              </w:tc>
            </w:tr>
            <w:tr w14:paraId="56F3E2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13BF2A16">
                  <w:pPr>
                    <w:widowControl/>
                    <w:jc w:val="center"/>
                    <w:rPr>
                      <w:rFonts w:eastAsiaTheme="minorEastAsia"/>
                      <w:kern w:val="0"/>
                      <w:szCs w:val="21"/>
                    </w:rPr>
                  </w:pPr>
                  <w:r>
                    <w:rPr>
                      <w:rFonts w:eastAsiaTheme="minorEastAsia"/>
                      <w:kern w:val="0"/>
                      <w:szCs w:val="21"/>
                    </w:rPr>
                    <w:t>41</w:t>
                  </w:r>
                </w:p>
              </w:tc>
              <w:tc>
                <w:tcPr>
                  <w:tcW w:w="1924" w:type="dxa"/>
                  <w:vAlign w:val="center"/>
                </w:tcPr>
                <w:p w14:paraId="27BE546D">
                  <w:pPr>
                    <w:widowControl/>
                    <w:jc w:val="center"/>
                    <w:rPr>
                      <w:rFonts w:eastAsiaTheme="minorEastAsia"/>
                      <w:kern w:val="0"/>
                      <w:szCs w:val="21"/>
                    </w:rPr>
                  </w:pPr>
                  <w:r>
                    <w:rPr>
                      <w:rFonts w:eastAsiaTheme="minorEastAsia"/>
                      <w:kern w:val="0"/>
                      <w:szCs w:val="21"/>
                    </w:rPr>
                    <w:t>空调风管</w:t>
                  </w:r>
                </w:p>
              </w:tc>
              <w:tc>
                <w:tcPr>
                  <w:tcW w:w="2748" w:type="dxa"/>
                  <w:vAlign w:val="center"/>
                </w:tcPr>
                <w:p w14:paraId="4BB9A98C">
                  <w:pPr>
                    <w:widowControl/>
                    <w:jc w:val="center"/>
                    <w:rPr>
                      <w:rFonts w:eastAsiaTheme="minorEastAsia"/>
                      <w:kern w:val="0"/>
                      <w:szCs w:val="21"/>
                    </w:rPr>
                  </w:pPr>
                  <w:r>
                    <w:rPr>
                      <w:rFonts w:eastAsiaTheme="minorEastAsia"/>
                      <w:kern w:val="0"/>
                      <w:szCs w:val="21"/>
                    </w:rPr>
                    <w:t>10跨风管</w:t>
                  </w:r>
                </w:p>
              </w:tc>
              <w:tc>
                <w:tcPr>
                  <w:tcW w:w="530" w:type="dxa"/>
                  <w:vAlign w:val="center"/>
                </w:tcPr>
                <w:p w14:paraId="2CAA326F">
                  <w:pPr>
                    <w:widowControl/>
                    <w:jc w:val="center"/>
                    <w:rPr>
                      <w:rFonts w:eastAsiaTheme="minorEastAsia"/>
                      <w:kern w:val="0"/>
                      <w:szCs w:val="21"/>
                    </w:rPr>
                  </w:pPr>
                  <w:r>
                    <w:rPr>
                      <w:rFonts w:eastAsiaTheme="minorEastAsia"/>
                      <w:kern w:val="0"/>
                      <w:szCs w:val="21"/>
                    </w:rPr>
                    <w:t>套</w:t>
                  </w:r>
                </w:p>
              </w:tc>
              <w:tc>
                <w:tcPr>
                  <w:tcW w:w="1259" w:type="dxa"/>
                  <w:vAlign w:val="center"/>
                </w:tcPr>
                <w:p w14:paraId="185D863F">
                  <w:pPr>
                    <w:widowControl/>
                    <w:jc w:val="center"/>
                    <w:rPr>
                      <w:rFonts w:eastAsiaTheme="minorEastAsia"/>
                      <w:kern w:val="0"/>
                      <w:szCs w:val="21"/>
                    </w:rPr>
                  </w:pPr>
                  <w:r>
                    <w:rPr>
                      <w:rFonts w:eastAsiaTheme="minorEastAsia"/>
                      <w:kern w:val="0"/>
                      <w:szCs w:val="21"/>
                    </w:rPr>
                    <w:t>12</w:t>
                  </w:r>
                </w:p>
              </w:tc>
              <w:tc>
                <w:tcPr>
                  <w:tcW w:w="672" w:type="dxa"/>
                  <w:vMerge w:val="continue"/>
                  <w:vAlign w:val="center"/>
                </w:tcPr>
                <w:p w14:paraId="65394970">
                  <w:pPr>
                    <w:widowControl/>
                    <w:jc w:val="center"/>
                    <w:rPr>
                      <w:rFonts w:eastAsiaTheme="minorEastAsia"/>
                      <w:kern w:val="0"/>
                      <w:szCs w:val="21"/>
                    </w:rPr>
                  </w:pPr>
                </w:p>
              </w:tc>
            </w:tr>
            <w:tr w14:paraId="26D003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6532D06D">
                  <w:pPr>
                    <w:widowControl/>
                    <w:jc w:val="center"/>
                    <w:rPr>
                      <w:rFonts w:eastAsiaTheme="minorEastAsia"/>
                      <w:kern w:val="0"/>
                      <w:szCs w:val="21"/>
                    </w:rPr>
                  </w:pPr>
                  <w:r>
                    <w:rPr>
                      <w:rFonts w:eastAsiaTheme="minorEastAsia"/>
                      <w:kern w:val="0"/>
                      <w:szCs w:val="21"/>
                    </w:rPr>
                    <w:t>42</w:t>
                  </w:r>
                </w:p>
              </w:tc>
              <w:tc>
                <w:tcPr>
                  <w:tcW w:w="1924" w:type="dxa"/>
                  <w:vAlign w:val="center"/>
                </w:tcPr>
                <w:p w14:paraId="6972D40A">
                  <w:pPr>
                    <w:widowControl/>
                    <w:jc w:val="center"/>
                    <w:rPr>
                      <w:rFonts w:eastAsiaTheme="minorEastAsia"/>
                      <w:kern w:val="0"/>
                      <w:szCs w:val="21"/>
                    </w:rPr>
                  </w:pPr>
                  <w:r>
                    <w:rPr>
                      <w:rFonts w:eastAsiaTheme="minorEastAsia"/>
                      <w:kern w:val="0"/>
                      <w:szCs w:val="21"/>
                    </w:rPr>
                    <w:t>自动化纸管库</w:t>
                  </w:r>
                </w:p>
              </w:tc>
              <w:tc>
                <w:tcPr>
                  <w:tcW w:w="2748" w:type="dxa"/>
                  <w:vAlign w:val="center"/>
                </w:tcPr>
                <w:p w14:paraId="753D79CB">
                  <w:pPr>
                    <w:widowControl/>
                    <w:jc w:val="center"/>
                    <w:rPr>
                      <w:rFonts w:eastAsiaTheme="minorEastAsia"/>
                      <w:kern w:val="0"/>
                      <w:szCs w:val="21"/>
                    </w:rPr>
                  </w:pPr>
                  <w:r>
                    <w:rPr>
                      <w:rFonts w:eastAsiaTheme="minorEastAsia"/>
                      <w:kern w:val="0"/>
                      <w:szCs w:val="21"/>
                    </w:rPr>
                    <w:t>/</w:t>
                  </w:r>
                </w:p>
              </w:tc>
              <w:tc>
                <w:tcPr>
                  <w:tcW w:w="530" w:type="dxa"/>
                  <w:vAlign w:val="center"/>
                </w:tcPr>
                <w:p w14:paraId="52764BBE">
                  <w:pPr>
                    <w:widowControl/>
                    <w:jc w:val="center"/>
                    <w:rPr>
                      <w:rFonts w:eastAsiaTheme="minorEastAsia"/>
                      <w:kern w:val="0"/>
                      <w:szCs w:val="21"/>
                    </w:rPr>
                  </w:pPr>
                  <w:r>
                    <w:rPr>
                      <w:rFonts w:eastAsiaTheme="minorEastAsia"/>
                      <w:kern w:val="0"/>
                      <w:szCs w:val="21"/>
                    </w:rPr>
                    <w:t>套</w:t>
                  </w:r>
                </w:p>
              </w:tc>
              <w:tc>
                <w:tcPr>
                  <w:tcW w:w="1259" w:type="dxa"/>
                  <w:vAlign w:val="center"/>
                </w:tcPr>
                <w:p w14:paraId="1F44A08D">
                  <w:pPr>
                    <w:widowControl/>
                    <w:jc w:val="center"/>
                    <w:rPr>
                      <w:rFonts w:eastAsiaTheme="minorEastAsia"/>
                      <w:kern w:val="0"/>
                      <w:szCs w:val="21"/>
                    </w:rPr>
                  </w:pPr>
                  <w:r>
                    <w:rPr>
                      <w:rFonts w:eastAsiaTheme="minorEastAsia"/>
                      <w:kern w:val="0"/>
                      <w:szCs w:val="21"/>
                    </w:rPr>
                    <w:t>1</w:t>
                  </w:r>
                </w:p>
              </w:tc>
              <w:tc>
                <w:tcPr>
                  <w:tcW w:w="672" w:type="dxa"/>
                  <w:vMerge w:val="continue"/>
                  <w:vAlign w:val="center"/>
                </w:tcPr>
                <w:p w14:paraId="74F8D5A9">
                  <w:pPr>
                    <w:widowControl/>
                    <w:jc w:val="center"/>
                    <w:rPr>
                      <w:rFonts w:eastAsiaTheme="minorEastAsia"/>
                      <w:kern w:val="0"/>
                      <w:szCs w:val="21"/>
                    </w:rPr>
                  </w:pPr>
                </w:p>
              </w:tc>
            </w:tr>
            <w:tr w14:paraId="5F13BC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15274EF7">
                  <w:pPr>
                    <w:widowControl/>
                    <w:jc w:val="center"/>
                    <w:rPr>
                      <w:rFonts w:eastAsiaTheme="minorEastAsia"/>
                      <w:kern w:val="0"/>
                      <w:szCs w:val="21"/>
                    </w:rPr>
                  </w:pPr>
                  <w:r>
                    <w:rPr>
                      <w:rFonts w:eastAsiaTheme="minorEastAsia"/>
                      <w:kern w:val="0"/>
                      <w:szCs w:val="21"/>
                    </w:rPr>
                    <w:t>43</w:t>
                  </w:r>
                </w:p>
              </w:tc>
              <w:tc>
                <w:tcPr>
                  <w:tcW w:w="1924" w:type="dxa"/>
                  <w:shd w:val="clear" w:color="auto" w:fill="auto"/>
                  <w:vAlign w:val="center"/>
                </w:tcPr>
                <w:p w14:paraId="200D24A9">
                  <w:pPr>
                    <w:jc w:val="center"/>
                    <w:rPr>
                      <w:rFonts w:eastAsiaTheme="minorEastAsia"/>
                      <w:szCs w:val="21"/>
                    </w:rPr>
                  </w:pPr>
                  <w:r>
                    <w:rPr>
                      <w:rFonts w:eastAsiaTheme="minorEastAsia"/>
                      <w:szCs w:val="21"/>
                    </w:rPr>
                    <w:t>电动葫芦</w:t>
                  </w:r>
                </w:p>
              </w:tc>
              <w:tc>
                <w:tcPr>
                  <w:tcW w:w="2748" w:type="dxa"/>
                  <w:shd w:val="clear" w:color="auto" w:fill="auto"/>
                  <w:vAlign w:val="center"/>
                </w:tcPr>
                <w:p w14:paraId="33443373">
                  <w:pPr>
                    <w:jc w:val="center"/>
                    <w:rPr>
                      <w:rFonts w:eastAsiaTheme="minorEastAsia"/>
                      <w:szCs w:val="21"/>
                    </w:rPr>
                  </w:pPr>
                  <w:r>
                    <w:rPr>
                      <w:rFonts w:eastAsiaTheme="minorEastAsia"/>
                      <w:szCs w:val="21"/>
                    </w:rPr>
                    <w:t>1t</w:t>
                  </w:r>
                </w:p>
              </w:tc>
              <w:tc>
                <w:tcPr>
                  <w:tcW w:w="530" w:type="dxa"/>
                  <w:shd w:val="clear" w:color="auto" w:fill="auto"/>
                  <w:vAlign w:val="center"/>
                </w:tcPr>
                <w:p w14:paraId="5A768443">
                  <w:pPr>
                    <w:jc w:val="center"/>
                    <w:rPr>
                      <w:rFonts w:eastAsiaTheme="minorEastAsia"/>
                      <w:szCs w:val="21"/>
                    </w:rPr>
                  </w:pPr>
                  <w:r>
                    <w:rPr>
                      <w:rFonts w:eastAsiaTheme="minorEastAsia"/>
                      <w:szCs w:val="21"/>
                    </w:rPr>
                    <w:t>套</w:t>
                  </w:r>
                </w:p>
              </w:tc>
              <w:tc>
                <w:tcPr>
                  <w:tcW w:w="1259" w:type="dxa"/>
                  <w:shd w:val="clear" w:color="auto" w:fill="auto"/>
                  <w:vAlign w:val="center"/>
                </w:tcPr>
                <w:p w14:paraId="0FBCF51B">
                  <w:pPr>
                    <w:jc w:val="center"/>
                    <w:rPr>
                      <w:rFonts w:eastAsiaTheme="minorEastAsia"/>
                      <w:szCs w:val="21"/>
                    </w:rPr>
                  </w:pPr>
                  <w:r>
                    <w:rPr>
                      <w:rFonts w:eastAsiaTheme="minorEastAsia"/>
                      <w:szCs w:val="21"/>
                    </w:rPr>
                    <w:t>1</w:t>
                  </w:r>
                </w:p>
              </w:tc>
              <w:tc>
                <w:tcPr>
                  <w:tcW w:w="672" w:type="dxa"/>
                  <w:vMerge w:val="continue"/>
                  <w:vAlign w:val="center"/>
                </w:tcPr>
                <w:p w14:paraId="492AC975">
                  <w:pPr>
                    <w:jc w:val="center"/>
                    <w:rPr>
                      <w:rFonts w:eastAsiaTheme="minorEastAsia"/>
                      <w:szCs w:val="21"/>
                    </w:rPr>
                  </w:pPr>
                </w:p>
              </w:tc>
            </w:tr>
            <w:tr w14:paraId="7C0D41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1331E8CA">
                  <w:pPr>
                    <w:widowControl/>
                    <w:jc w:val="center"/>
                    <w:rPr>
                      <w:rFonts w:eastAsiaTheme="minorEastAsia"/>
                      <w:kern w:val="0"/>
                      <w:szCs w:val="21"/>
                    </w:rPr>
                  </w:pPr>
                  <w:r>
                    <w:rPr>
                      <w:rFonts w:eastAsiaTheme="minorEastAsia"/>
                      <w:kern w:val="0"/>
                      <w:szCs w:val="21"/>
                    </w:rPr>
                    <w:t>44</w:t>
                  </w:r>
                </w:p>
              </w:tc>
              <w:tc>
                <w:tcPr>
                  <w:tcW w:w="1924" w:type="dxa"/>
                  <w:shd w:val="clear" w:color="auto" w:fill="auto"/>
                  <w:vAlign w:val="center"/>
                </w:tcPr>
                <w:p w14:paraId="7CBC52C3">
                  <w:pPr>
                    <w:jc w:val="center"/>
                    <w:rPr>
                      <w:rFonts w:eastAsiaTheme="minorEastAsia"/>
                      <w:szCs w:val="21"/>
                    </w:rPr>
                  </w:pPr>
                  <w:r>
                    <w:rPr>
                      <w:rFonts w:eastAsiaTheme="minorEastAsia"/>
                      <w:szCs w:val="21"/>
                    </w:rPr>
                    <w:t>电动葫芦</w:t>
                  </w:r>
                </w:p>
              </w:tc>
              <w:tc>
                <w:tcPr>
                  <w:tcW w:w="2748" w:type="dxa"/>
                  <w:shd w:val="clear" w:color="auto" w:fill="auto"/>
                  <w:vAlign w:val="center"/>
                </w:tcPr>
                <w:p w14:paraId="5FC00AAF">
                  <w:pPr>
                    <w:jc w:val="center"/>
                    <w:rPr>
                      <w:rFonts w:eastAsiaTheme="minorEastAsia"/>
                      <w:szCs w:val="21"/>
                    </w:rPr>
                  </w:pPr>
                  <w:r>
                    <w:rPr>
                      <w:rFonts w:eastAsiaTheme="minorEastAsia"/>
                      <w:szCs w:val="21"/>
                    </w:rPr>
                    <w:t>2t</w:t>
                  </w:r>
                </w:p>
              </w:tc>
              <w:tc>
                <w:tcPr>
                  <w:tcW w:w="530" w:type="dxa"/>
                  <w:shd w:val="clear" w:color="auto" w:fill="auto"/>
                  <w:vAlign w:val="center"/>
                </w:tcPr>
                <w:p w14:paraId="6566C18D">
                  <w:pPr>
                    <w:jc w:val="center"/>
                    <w:rPr>
                      <w:rFonts w:eastAsiaTheme="minorEastAsia"/>
                      <w:szCs w:val="21"/>
                    </w:rPr>
                  </w:pPr>
                  <w:r>
                    <w:rPr>
                      <w:rFonts w:eastAsiaTheme="minorEastAsia"/>
                      <w:szCs w:val="21"/>
                    </w:rPr>
                    <w:t>套</w:t>
                  </w:r>
                </w:p>
              </w:tc>
              <w:tc>
                <w:tcPr>
                  <w:tcW w:w="1259" w:type="dxa"/>
                  <w:shd w:val="clear" w:color="auto" w:fill="auto"/>
                  <w:vAlign w:val="center"/>
                </w:tcPr>
                <w:p w14:paraId="321C203B">
                  <w:pPr>
                    <w:jc w:val="center"/>
                    <w:rPr>
                      <w:rFonts w:eastAsiaTheme="minorEastAsia"/>
                      <w:szCs w:val="21"/>
                    </w:rPr>
                  </w:pPr>
                  <w:r>
                    <w:rPr>
                      <w:rFonts w:eastAsiaTheme="minorEastAsia"/>
                      <w:szCs w:val="21"/>
                    </w:rPr>
                    <w:t>6</w:t>
                  </w:r>
                </w:p>
              </w:tc>
              <w:tc>
                <w:tcPr>
                  <w:tcW w:w="672" w:type="dxa"/>
                  <w:vMerge w:val="continue"/>
                  <w:vAlign w:val="center"/>
                </w:tcPr>
                <w:p w14:paraId="45040790">
                  <w:pPr>
                    <w:jc w:val="center"/>
                    <w:rPr>
                      <w:rFonts w:eastAsiaTheme="minorEastAsia"/>
                      <w:szCs w:val="21"/>
                    </w:rPr>
                  </w:pPr>
                </w:p>
              </w:tc>
            </w:tr>
            <w:tr w14:paraId="3C9966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23925785">
                  <w:pPr>
                    <w:widowControl/>
                    <w:jc w:val="center"/>
                    <w:rPr>
                      <w:rFonts w:eastAsiaTheme="minorEastAsia"/>
                      <w:kern w:val="0"/>
                      <w:szCs w:val="21"/>
                    </w:rPr>
                  </w:pPr>
                  <w:r>
                    <w:rPr>
                      <w:rFonts w:eastAsiaTheme="minorEastAsia"/>
                      <w:kern w:val="0"/>
                      <w:szCs w:val="21"/>
                    </w:rPr>
                    <w:t>45</w:t>
                  </w:r>
                </w:p>
              </w:tc>
              <w:tc>
                <w:tcPr>
                  <w:tcW w:w="1924" w:type="dxa"/>
                  <w:shd w:val="clear" w:color="auto" w:fill="auto"/>
                  <w:vAlign w:val="center"/>
                </w:tcPr>
                <w:p w14:paraId="40345A2A">
                  <w:pPr>
                    <w:jc w:val="center"/>
                    <w:rPr>
                      <w:rFonts w:eastAsiaTheme="minorEastAsia"/>
                      <w:szCs w:val="21"/>
                    </w:rPr>
                  </w:pPr>
                  <w:r>
                    <w:rPr>
                      <w:rFonts w:eastAsiaTheme="minorEastAsia"/>
                      <w:szCs w:val="21"/>
                    </w:rPr>
                    <w:t>动平衡机</w:t>
                  </w:r>
                </w:p>
              </w:tc>
              <w:tc>
                <w:tcPr>
                  <w:tcW w:w="2748" w:type="dxa"/>
                  <w:shd w:val="clear" w:color="auto" w:fill="auto"/>
                  <w:vAlign w:val="center"/>
                </w:tcPr>
                <w:p w14:paraId="3373D6B9">
                  <w:pPr>
                    <w:jc w:val="center"/>
                    <w:rPr>
                      <w:rFonts w:eastAsiaTheme="minorEastAsia"/>
                      <w:szCs w:val="21"/>
                    </w:rPr>
                  </w:pPr>
                  <w:r>
                    <w:rPr>
                      <w:rFonts w:eastAsiaTheme="minorEastAsia"/>
                      <w:szCs w:val="21"/>
                    </w:rPr>
                    <w:t>/</w:t>
                  </w:r>
                </w:p>
              </w:tc>
              <w:tc>
                <w:tcPr>
                  <w:tcW w:w="530" w:type="dxa"/>
                  <w:shd w:val="clear" w:color="auto" w:fill="auto"/>
                  <w:vAlign w:val="center"/>
                </w:tcPr>
                <w:p w14:paraId="7E014C66">
                  <w:pPr>
                    <w:jc w:val="center"/>
                    <w:rPr>
                      <w:rFonts w:eastAsiaTheme="minorEastAsia"/>
                      <w:szCs w:val="21"/>
                    </w:rPr>
                  </w:pPr>
                  <w:r>
                    <w:rPr>
                      <w:rFonts w:eastAsiaTheme="minorEastAsia"/>
                      <w:szCs w:val="21"/>
                    </w:rPr>
                    <w:t>套</w:t>
                  </w:r>
                </w:p>
              </w:tc>
              <w:tc>
                <w:tcPr>
                  <w:tcW w:w="1259" w:type="dxa"/>
                  <w:shd w:val="clear" w:color="auto" w:fill="auto"/>
                  <w:vAlign w:val="center"/>
                </w:tcPr>
                <w:p w14:paraId="12DCD30D">
                  <w:pPr>
                    <w:jc w:val="center"/>
                    <w:rPr>
                      <w:rFonts w:eastAsiaTheme="minorEastAsia"/>
                      <w:szCs w:val="21"/>
                    </w:rPr>
                  </w:pPr>
                  <w:r>
                    <w:rPr>
                      <w:rFonts w:eastAsiaTheme="minorEastAsia"/>
                      <w:szCs w:val="21"/>
                    </w:rPr>
                    <w:t>1</w:t>
                  </w:r>
                </w:p>
              </w:tc>
              <w:tc>
                <w:tcPr>
                  <w:tcW w:w="672" w:type="dxa"/>
                  <w:vMerge w:val="continue"/>
                  <w:vAlign w:val="center"/>
                </w:tcPr>
                <w:p w14:paraId="46F90A15">
                  <w:pPr>
                    <w:jc w:val="center"/>
                    <w:rPr>
                      <w:rFonts w:eastAsiaTheme="minorEastAsia"/>
                      <w:szCs w:val="21"/>
                    </w:rPr>
                  </w:pPr>
                </w:p>
              </w:tc>
            </w:tr>
            <w:tr w14:paraId="03ED35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63EDC443">
                  <w:pPr>
                    <w:widowControl/>
                    <w:jc w:val="center"/>
                    <w:rPr>
                      <w:rFonts w:eastAsiaTheme="minorEastAsia"/>
                      <w:kern w:val="0"/>
                      <w:szCs w:val="21"/>
                    </w:rPr>
                  </w:pPr>
                  <w:r>
                    <w:rPr>
                      <w:rFonts w:eastAsiaTheme="minorEastAsia"/>
                      <w:kern w:val="0"/>
                      <w:szCs w:val="21"/>
                    </w:rPr>
                    <w:t>46</w:t>
                  </w:r>
                </w:p>
              </w:tc>
              <w:tc>
                <w:tcPr>
                  <w:tcW w:w="1924" w:type="dxa"/>
                  <w:shd w:val="clear" w:color="auto" w:fill="auto"/>
                  <w:vAlign w:val="center"/>
                </w:tcPr>
                <w:p w14:paraId="338F249E">
                  <w:pPr>
                    <w:jc w:val="center"/>
                    <w:rPr>
                      <w:rFonts w:eastAsiaTheme="minorEastAsia"/>
                      <w:szCs w:val="21"/>
                    </w:rPr>
                  </w:pPr>
                  <w:r>
                    <w:rPr>
                      <w:rFonts w:eastAsiaTheme="minorEastAsia"/>
                      <w:szCs w:val="21"/>
                    </w:rPr>
                    <w:t>闪光测速仪</w:t>
                  </w:r>
                </w:p>
              </w:tc>
              <w:tc>
                <w:tcPr>
                  <w:tcW w:w="2748" w:type="dxa"/>
                  <w:shd w:val="clear" w:color="auto" w:fill="auto"/>
                  <w:vAlign w:val="center"/>
                </w:tcPr>
                <w:p w14:paraId="157C98EB">
                  <w:pPr>
                    <w:jc w:val="center"/>
                    <w:rPr>
                      <w:rFonts w:eastAsiaTheme="minorEastAsia"/>
                      <w:szCs w:val="21"/>
                    </w:rPr>
                  </w:pPr>
                  <w:r>
                    <w:rPr>
                      <w:rFonts w:eastAsiaTheme="minorEastAsia"/>
                      <w:szCs w:val="21"/>
                    </w:rPr>
                    <w:t>TYPE,DT-315</w:t>
                  </w:r>
                </w:p>
              </w:tc>
              <w:tc>
                <w:tcPr>
                  <w:tcW w:w="530" w:type="dxa"/>
                  <w:shd w:val="clear" w:color="auto" w:fill="auto"/>
                  <w:vAlign w:val="center"/>
                </w:tcPr>
                <w:p w14:paraId="680328D7">
                  <w:pPr>
                    <w:jc w:val="center"/>
                    <w:rPr>
                      <w:rFonts w:eastAsiaTheme="minorEastAsia"/>
                      <w:szCs w:val="21"/>
                    </w:rPr>
                  </w:pPr>
                  <w:r>
                    <w:rPr>
                      <w:rFonts w:eastAsiaTheme="minorEastAsia"/>
                      <w:szCs w:val="21"/>
                    </w:rPr>
                    <w:t>台</w:t>
                  </w:r>
                </w:p>
              </w:tc>
              <w:tc>
                <w:tcPr>
                  <w:tcW w:w="1259" w:type="dxa"/>
                  <w:shd w:val="clear" w:color="auto" w:fill="auto"/>
                  <w:vAlign w:val="center"/>
                </w:tcPr>
                <w:p w14:paraId="5C42A628">
                  <w:pPr>
                    <w:jc w:val="center"/>
                    <w:rPr>
                      <w:rFonts w:eastAsiaTheme="minorEastAsia"/>
                      <w:szCs w:val="21"/>
                    </w:rPr>
                  </w:pPr>
                  <w:r>
                    <w:rPr>
                      <w:rFonts w:eastAsiaTheme="minorEastAsia"/>
                      <w:szCs w:val="21"/>
                    </w:rPr>
                    <w:t>2</w:t>
                  </w:r>
                </w:p>
              </w:tc>
              <w:tc>
                <w:tcPr>
                  <w:tcW w:w="672" w:type="dxa"/>
                  <w:vMerge w:val="continue"/>
                  <w:vAlign w:val="center"/>
                </w:tcPr>
                <w:p w14:paraId="5E53B24C">
                  <w:pPr>
                    <w:jc w:val="center"/>
                    <w:rPr>
                      <w:rFonts w:eastAsiaTheme="minorEastAsia"/>
                      <w:szCs w:val="21"/>
                    </w:rPr>
                  </w:pPr>
                </w:p>
              </w:tc>
            </w:tr>
            <w:tr w14:paraId="5B706A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3E2A820F">
                  <w:pPr>
                    <w:widowControl/>
                    <w:jc w:val="center"/>
                    <w:rPr>
                      <w:rFonts w:eastAsiaTheme="minorEastAsia"/>
                      <w:kern w:val="0"/>
                      <w:szCs w:val="21"/>
                    </w:rPr>
                  </w:pPr>
                  <w:r>
                    <w:rPr>
                      <w:rFonts w:eastAsiaTheme="minorEastAsia"/>
                      <w:kern w:val="0"/>
                      <w:szCs w:val="21"/>
                    </w:rPr>
                    <w:t>47</w:t>
                  </w:r>
                </w:p>
              </w:tc>
              <w:tc>
                <w:tcPr>
                  <w:tcW w:w="1924" w:type="dxa"/>
                  <w:shd w:val="clear" w:color="auto" w:fill="auto"/>
                  <w:vAlign w:val="center"/>
                </w:tcPr>
                <w:p w14:paraId="7FCC5E60">
                  <w:pPr>
                    <w:jc w:val="center"/>
                    <w:rPr>
                      <w:rFonts w:eastAsiaTheme="minorEastAsia"/>
                      <w:szCs w:val="21"/>
                    </w:rPr>
                  </w:pPr>
                  <w:r>
                    <w:rPr>
                      <w:rFonts w:eastAsiaTheme="minorEastAsia"/>
                      <w:szCs w:val="21"/>
                    </w:rPr>
                    <w:t>电导率仪</w:t>
                  </w:r>
                </w:p>
              </w:tc>
              <w:tc>
                <w:tcPr>
                  <w:tcW w:w="2748" w:type="dxa"/>
                  <w:shd w:val="clear" w:color="auto" w:fill="auto"/>
                  <w:vAlign w:val="center"/>
                </w:tcPr>
                <w:p w14:paraId="5E4D7C6A">
                  <w:pPr>
                    <w:jc w:val="center"/>
                    <w:rPr>
                      <w:rFonts w:eastAsiaTheme="minorEastAsia"/>
                      <w:szCs w:val="21"/>
                    </w:rPr>
                  </w:pPr>
                  <w:r>
                    <w:rPr>
                      <w:rFonts w:eastAsiaTheme="minorEastAsia"/>
                      <w:szCs w:val="21"/>
                    </w:rPr>
                    <w:t>HACH,HQ30D</w:t>
                  </w:r>
                </w:p>
              </w:tc>
              <w:tc>
                <w:tcPr>
                  <w:tcW w:w="530" w:type="dxa"/>
                  <w:shd w:val="clear" w:color="auto" w:fill="auto"/>
                  <w:vAlign w:val="center"/>
                </w:tcPr>
                <w:p w14:paraId="5DAACBF1">
                  <w:pPr>
                    <w:jc w:val="center"/>
                    <w:rPr>
                      <w:rFonts w:eastAsiaTheme="minorEastAsia"/>
                      <w:szCs w:val="21"/>
                    </w:rPr>
                  </w:pPr>
                  <w:r>
                    <w:rPr>
                      <w:rFonts w:eastAsiaTheme="minorEastAsia"/>
                      <w:szCs w:val="21"/>
                    </w:rPr>
                    <w:t>台</w:t>
                  </w:r>
                </w:p>
              </w:tc>
              <w:tc>
                <w:tcPr>
                  <w:tcW w:w="1259" w:type="dxa"/>
                  <w:shd w:val="clear" w:color="auto" w:fill="auto"/>
                  <w:vAlign w:val="center"/>
                </w:tcPr>
                <w:p w14:paraId="7C5EC9CB">
                  <w:pPr>
                    <w:jc w:val="center"/>
                    <w:rPr>
                      <w:rFonts w:eastAsiaTheme="minorEastAsia"/>
                      <w:szCs w:val="21"/>
                    </w:rPr>
                  </w:pPr>
                  <w:r>
                    <w:rPr>
                      <w:rFonts w:eastAsiaTheme="minorEastAsia"/>
                      <w:szCs w:val="21"/>
                    </w:rPr>
                    <w:t>1</w:t>
                  </w:r>
                </w:p>
              </w:tc>
              <w:tc>
                <w:tcPr>
                  <w:tcW w:w="672" w:type="dxa"/>
                  <w:vMerge w:val="continue"/>
                  <w:vAlign w:val="center"/>
                </w:tcPr>
                <w:p w14:paraId="7E49B3A0">
                  <w:pPr>
                    <w:jc w:val="center"/>
                    <w:rPr>
                      <w:rFonts w:eastAsiaTheme="minorEastAsia"/>
                      <w:szCs w:val="21"/>
                    </w:rPr>
                  </w:pPr>
                </w:p>
              </w:tc>
            </w:tr>
            <w:tr w14:paraId="75B132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02B2B726">
                  <w:pPr>
                    <w:widowControl/>
                    <w:jc w:val="center"/>
                    <w:rPr>
                      <w:rFonts w:eastAsiaTheme="minorEastAsia"/>
                      <w:kern w:val="0"/>
                      <w:szCs w:val="21"/>
                    </w:rPr>
                  </w:pPr>
                  <w:r>
                    <w:rPr>
                      <w:rFonts w:eastAsiaTheme="minorEastAsia"/>
                      <w:kern w:val="0"/>
                      <w:szCs w:val="21"/>
                    </w:rPr>
                    <w:t>48</w:t>
                  </w:r>
                </w:p>
              </w:tc>
              <w:tc>
                <w:tcPr>
                  <w:tcW w:w="1924" w:type="dxa"/>
                  <w:shd w:val="clear" w:color="auto" w:fill="auto"/>
                  <w:vAlign w:val="center"/>
                </w:tcPr>
                <w:p w14:paraId="1D28EFF1">
                  <w:pPr>
                    <w:jc w:val="center"/>
                    <w:rPr>
                      <w:rFonts w:eastAsiaTheme="minorEastAsia"/>
                      <w:szCs w:val="21"/>
                    </w:rPr>
                  </w:pPr>
                  <w:r>
                    <w:rPr>
                      <w:rFonts w:eastAsiaTheme="minorEastAsia"/>
                      <w:szCs w:val="21"/>
                    </w:rPr>
                    <w:t>离心泵</w:t>
                  </w:r>
                </w:p>
              </w:tc>
              <w:tc>
                <w:tcPr>
                  <w:tcW w:w="2748" w:type="dxa"/>
                  <w:shd w:val="clear" w:color="auto" w:fill="auto"/>
                  <w:vAlign w:val="center"/>
                </w:tcPr>
                <w:p w14:paraId="4689C0CD">
                  <w:pPr>
                    <w:jc w:val="center"/>
                    <w:rPr>
                      <w:rFonts w:eastAsiaTheme="minorEastAsia"/>
                      <w:szCs w:val="21"/>
                    </w:rPr>
                  </w:pPr>
                  <w:r>
                    <w:rPr>
                      <w:rFonts w:eastAsiaTheme="minorEastAsia"/>
                      <w:szCs w:val="21"/>
                    </w:rPr>
                    <w:t>2.2KW</w:t>
                  </w:r>
                </w:p>
              </w:tc>
              <w:tc>
                <w:tcPr>
                  <w:tcW w:w="530" w:type="dxa"/>
                  <w:shd w:val="clear" w:color="auto" w:fill="auto"/>
                  <w:vAlign w:val="center"/>
                </w:tcPr>
                <w:p w14:paraId="2DB6578F">
                  <w:pPr>
                    <w:jc w:val="center"/>
                    <w:rPr>
                      <w:rFonts w:eastAsiaTheme="minorEastAsia"/>
                      <w:szCs w:val="21"/>
                    </w:rPr>
                  </w:pPr>
                  <w:r>
                    <w:rPr>
                      <w:rFonts w:eastAsiaTheme="minorEastAsia"/>
                      <w:szCs w:val="21"/>
                    </w:rPr>
                    <w:t>台</w:t>
                  </w:r>
                </w:p>
              </w:tc>
              <w:tc>
                <w:tcPr>
                  <w:tcW w:w="1259" w:type="dxa"/>
                  <w:shd w:val="clear" w:color="auto" w:fill="auto"/>
                  <w:vAlign w:val="center"/>
                </w:tcPr>
                <w:p w14:paraId="4749CFAE">
                  <w:pPr>
                    <w:jc w:val="center"/>
                    <w:rPr>
                      <w:rFonts w:eastAsiaTheme="minorEastAsia"/>
                      <w:szCs w:val="21"/>
                    </w:rPr>
                  </w:pPr>
                  <w:r>
                    <w:rPr>
                      <w:rFonts w:eastAsiaTheme="minorEastAsia"/>
                      <w:szCs w:val="21"/>
                    </w:rPr>
                    <w:t>19</w:t>
                  </w:r>
                </w:p>
              </w:tc>
              <w:tc>
                <w:tcPr>
                  <w:tcW w:w="672" w:type="dxa"/>
                  <w:vMerge w:val="continue"/>
                  <w:vAlign w:val="center"/>
                </w:tcPr>
                <w:p w14:paraId="54B7C794">
                  <w:pPr>
                    <w:jc w:val="center"/>
                    <w:rPr>
                      <w:rFonts w:eastAsiaTheme="minorEastAsia"/>
                      <w:szCs w:val="21"/>
                    </w:rPr>
                  </w:pPr>
                </w:p>
              </w:tc>
            </w:tr>
            <w:tr w14:paraId="07A08D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29D9455C">
                  <w:pPr>
                    <w:widowControl/>
                    <w:jc w:val="center"/>
                    <w:rPr>
                      <w:rFonts w:eastAsiaTheme="minorEastAsia"/>
                      <w:kern w:val="0"/>
                      <w:szCs w:val="21"/>
                    </w:rPr>
                  </w:pPr>
                  <w:r>
                    <w:rPr>
                      <w:rFonts w:eastAsiaTheme="minorEastAsia"/>
                      <w:kern w:val="0"/>
                      <w:szCs w:val="21"/>
                    </w:rPr>
                    <w:t>49</w:t>
                  </w:r>
                </w:p>
              </w:tc>
              <w:tc>
                <w:tcPr>
                  <w:tcW w:w="1924" w:type="dxa"/>
                  <w:shd w:val="clear" w:color="auto" w:fill="auto"/>
                  <w:vAlign w:val="center"/>
                </w:tcPr>
                <w:p w14:paraId="0F4695FE">
                  <w:pPr>
                    <w:jc w:val="center"/>
                    <w:rPr>
                      <w:rFonts w:eastAsiaTheme="minorEastAsia"/>
                      <w:szCs w:val="21"/>
                    </w:rPr>
                  </w:pPr>
                  <w:r>
                    <w:rPr>
                      <w:rFonts w:eastAsiaTheme="minorEastAsia"/>
                      <w:szCs w:val="21"/>
                    </w:rPr>
                    <w:t>屏蔽泵</w:t>
                  </w:r>
                </w:p>
              </w:tc>
              <w:tc>
                <w:tcPr>
                  <w:tcW w:w="2748" w:type="dxa"/>
                  <w:shd w:val="clear" w:color="auto" w:fill="auto"/>
                  <w:vAlign w:val="center"/>
                </w:tcPr>
                <w:p w14:paraId="21F4F443">
                  <w:pPr>
                    <w:jc w:val="center"/>
                    <w:rPr>
                      <w:rFonts w:eastAsiaTheme="minorEastAsia"/>
                      <w:szCs w:val="21"/>
                    </w:rPr>
                  </w:pPr>
                  <w:r>
                    <w:rPr>
                      <w:rFonts w:eastAsiaTheme="minorEastAsia"/>
                      <w:szCs w:val="21"/>
                    </w:rPr>
                    <w:t>屏蔽泵\1～5m</w:t>
                  </w:r>
                  <w:r>
                    <w:rPr>
                      <w:rFonts w:eastAsiaTheme="minorEastAsia"/>
                      <w:szCs w:val="21"/>
                      <w:vertAlign w:val="superscript"/>
                    </w:rPr>
                    <w:t>3</w:t>
                  </w:r>
                  <w:r>
                    <w:rPr>
                      <w:rFonts w:eastAsiaTheme="minorEastAsia"/>
                      <w:szCs w:val="21"/>
                    </w:rPr>
                    <w:t>/h 27～40m 热媒 230～370℃/4Kw</w:t>
                  </w:r>
                </w:p>
              </w:tc>
              <w:tc>
                <w:tcPr>
                  <w:tcW w:w="530" w:type="dxa"/>
                  <w:shd w:val="clear" w:color="auto" w:fill="auto"/>
                  <w:vAlign w:val="center"/>
                </w:tcPr>
                <w:p w14:paraId="4D4B70A7">
                  <w:pPr>
                    <w:jc w:val="center"/>
                    <w:rPr>
                      <w:rFonts w:eastAsiaTheme="minorEastAsia"/>
                      <w:szCs w:val="21"/>
                    </w:rPr>
                  </w:pPr>
                  <w:r>
                    <w:rPr>
                      <w:rFonts w:eastAsiaTheme="minorEastAsia"/>
                      <w:szCs w:val="21"/>
                    </w:rPr>
                    <w:t>台</w:t>
                  </w:r>
                </w:p>
              </w:tc>
              <w:tc>
                <w:tcPr>
                  <w:tcW w:w="1259" w:type="dxa"/>
                  <w:shd w:val="clear" w:color="auto" w:fill="auto"/>
                  <w:vAlign w:val="center"/>
                </w:tcPr>
                <w:p w14:paraId="622D86FD">
                  <w:pPr>
                    <w:jc w:val="center"/>
                    <w:rPr>
                      <w:rFonts w:eastAsiaTheme="minorEastAsia"/>
                      <w:szCs w:val="21"/>
                    </w:rPr>
                  </w:pPr>
                  <w:r>
                    <w:rPr>
                      <w:rFonts w:eastAsiaTheme="minorEastAsia"/>
                      <w:szCs w:val="21"/>
                    </w:rPr>
                    <w:t>2</w:t>
                  </w:r>
                </w:p>
              </w:tc>
              <w:tc>
                <w:tcPr>
                  <w:tcW w:w="672" w:type="dxa"/>
                  <w:vMerge w:val="continue"/>
                  <w:vAlign w:val="center"/>
                </w:tcPr>
                <w:p w14:paraId="156915E7">
                  <w:pPr>
                    <w:jc w:val="center"/>
                    <w:rPr>
                      <w:rFonts w:eastAsiaTheme="minorEastAsia"/>
                      <w:szCs w:val="21"/>
                    </w:rPr>
                  </w:pPr>
                </w:p>
              </w:tc>
            </w:tr>
            <w:tr w14:paraId="4D7E5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355A74D5">
                  <w:pPr>
                    <w:widowControl/>
                    <w:jc w:val="center"/>
                    <w:rPr>
                      <w:rFonts w:eastAsiaTheme="minorEastAsia"/>
                      <w:kern w:val="0"/>
                      <w:szCs w:val="21"/>
                    </w:rPr>
                  </w:pPr>
                  <w:r>
                    <w:rPr>
                      <w:rFonts w:eastAsiaTheme="minorEastAsia"/>
                      <w:kern w:val="0"/>
                      <w:szCs w:val="21"/>
                    </w:rPr>
                    <w:t>50</w:t>
                  </w:r>
                </w:p>
              </w:tc>
              <w:tc>
                <w:tcPr>
                  <w:tcW w:w="1924" w:type="dxa"/>
                  <w:shd w:val="clear" w:color="auto" w:fill="auto"/>
                  <w:vAlign w:val="center"/>
                </w:tcPr>
                <w:p w14:paraId="6A40D463">
                  <w:pPr>
                    <w:jc w:val="center"/>
                    <w:rPr>
                      <w:rFonts w:eastAsiaTheme="minorEastAsia"/>
                      <w:szCs w:val="21"/>
                    </w:rPr>
                  </w:pPr>
                  <w:r>
                    <w:rPr>
                      <w:rFonts w:eastAsiaTheme="minorEastAsia"/>
                      <w:szCs w:val="21"/>
                    </w:rPr>
                    <w:t>手动液压车</w:t>
                  </w:r>
                </w:p>
              </w:tc>
              <w:tc>
                <w:tcPr>
                  <w:tcW w:w="2748" w:type="dxa"/>
                  <w:shd w:val="clear" w:color="auto" w:fill="auto"/>
                  <w:vAlign w:val="center"/>
                </w:tcPr>
                <w:p w14:paraId="5420BEF8">
                  <w:pPr>
                    <w:jc w:val="center"/>
                    <w:rPr>
                      <w:rFonts w:eastAsiaTheme="minorEastAsia"/>
                      <w:szCs w:val="21"/>
                    </w:rPr>
                  </w:pPr>
                  <w:r>
                    <w:rPr>
                      <w:rFonts w:eastAsiaTheme="minorEastAsia"/>
                      <w:szCs w:val="21"/>
                    </w:rPr>
                    <w:t>手推式液压叉车\1220×550 2t</w:t>
                  </w:r>
                </w:p>
              </w:tc>
              <w:tc>
                <w:tcPr>
                  <w:tcW w:w="530" w:type="dxa"/>
                  <w:shd w:val="clear" w:color="auto" w:fill="auto"/>
                  <w:vAlign w:val="center"/>
                </w:tcPr>
                <w:p w14:paraId="074B043E">
                  <w:pPr>
                    <w:jc w:val="center"/>
                    <w:rPr>
                      <w:rFonts w:eastAsiaTheme="minorEastAsia"/>
                      <w:szCs w:val="21"/>
                    </w:rPr>
                  </w:pPr>
                  <w:r>
                    <w:rPr>
                      <w:rFonts w:eastAsiaTheme="minorEastAsia"/>
                      <w:szCs w:val="21"/>
                    </w:rPr>
                    <w:t>台</w:t>
                  </w:r>
                </w:p>
              </w:tc>
              <w:tc>
                <w:tcPr>
                  <w:tcW w:w="1259" w:type="dxa"/>
                  <w:shd w:val="clear" w:color="auto" w:fill="auto"/>
                  <w:vAlign w:val="center"/>
                </w:tcPr>
                <w:p w14:paraId="63EE7153">
                  <w:pPr>
                    <w:jc w:val="center"/>
                    <w:rPr>
                      <w:rFonts w:eastAsiaTheme="minorEastAsia"/>
                      <w:szCs w:val="21"/>
                    </w:rPr>
                  </w:pPr>
                  <w:r>
                    <w:rPr>
                      <w:rFonts w:eastAsiaTheme="minorEastAsia"/>
                      <w:szCs w:val="21"/>
                    </w:rPr>
                    <w:t>10</w:t>
                  </w:r>
                </w:p>
              </w:tc>
              <w:tc>
                <w:tcPr>
                  <w:tcW w:w="672" w:type="dxa"/>
                  <w:vMerge w:val="continue"/>
                  <w:vAlign w:val="center"/>
                </w:tcPr>
                <w:p w14:paraId="29BC5920">
                  <w:pPr>
                    <w:jc w:val="center"/>
                    <w:rPr>
                      <w:rFonts w:eastAsiaTheme="minorEastAsia"/>
                      <w:szCs w:val="21"/>
                    </w:rPr>
                  </w:pPr>
                </w:p>
              </w:tc>
            </w:tr>
            <w:tr w14:paraId="5AAD47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03BC55DD">
                  <w:pPr>
                    <w:widowControl/>
                    <w:jc w:val="center"/>
                    <w:rPr>
                      <w:rFonts w:eastAsiaTheme="minorEastAsia"/>
                      <w:kern w:val="0"/>
                      <w:szCs w:val="21"/>
                    </w:rPr>
                  </w:pPr>
                  <w:r>
                    <w:rPr>
                      <w:rFonts w:eastAsiaTheme="minorEastAsia"/>
                      <w:kern w:val="0"/>
                      <w:szCs w:val="21"/>
                    </w:rPr>
                    <w:t>51</w:t>
                  </w:r>
                </w:p>
              </w:tc>
              <w:tc>
                <w:tcPr>
                  <w:tcW w:w="1924" w:type="dxa"/>
                  <w:shd w:val="clear" w:color="auto" w:fill="auto"/>
                  <w:vAlign w:val="center"/>
                </w:tcPr>
                <w:p w14:paraId="6B36A3C6">
                  <w:pPr>
                    <w:jc w:val="center"/>
                    <w:rPr>
                      <w:rFonts w:eastAsiaTheme="minorEastAsia"/>
                      <w:szCs w:val="21"/>
                    </w:rPr>
                  </w:pPr>
                  <w:r>
                    <w:rPr>
                      <w:rFonts w:eastAsiaTheme="minorEastAsia"/>
                      <w:szCs w:val="21"/>
                    </w:rPr>
                    <w:t>洛氏硬度计</w:t>
                  </w:r>
                </w:p>
              </w:tc>
              <w:tc>
                <w:tcPr>
                  <w:tcW w:w="2748" w:type="dxa"/>
                  <w:shd w:val="clear" w:color="auto" w:fill="auto"/>
                  <w:vAlign w:val="center"/>
                </w:tcPr>
                <w:p w14:paraId="2A35CE61">
                  <w:pPr>
                    <w:jc w:val="center"/>
                    <w:rPr>
                      <w:rFonts w:eastAsiaTheme="minorEastAsia"/>
                      <w:szCs w:val="21"/>
                    </w:rPr>
                  </w:pPr>
                  <w:r>
                    <w:rPr>
                      <w:rFonts w:eastAsiaTheme="minorEastAsia"/>
                      <w:szCs w:val="21"/>
                    </w:rPr>
                    <w:t>韦度 HRS-150</w:t>
                  </w:r>
                </w:p>
              </w:tc>
              <w:tc>
                <w:tcPr>
                  <w:tcW w:w="530" w:type="dxa"/>
                  <w:shd w:val="clear" w:color="auto" w:fill="auto"/>
                  <w:vAlign w:val="center"/>
                </w:tcPr>
                <w:p w14:paraId="6D3B24FE">
                  <w:pPr>
                    <w:jc w:val="center"/>
                    <w:rPr>
                      <w:rFonts w:eastAsiaTheme="minorEastAsia"/>
                      <w:szCs w:val="21"/>
                    </w:rPr>
                  </w:pPr>
                  <w:r>
                    <w:rPr>
                      <w:rFonts w:eastAsiaTheme="minorEastAsia"/>
                      <w:szCs w:val="21"/>
                    </w:rPr>
                    <w:t>台</w:t>
                  </w:r>
                </w:p>
              </w:tc>
              <w:tc>
                <w:tcPr>
                  <w:tcW w:w="1259" w:type="dxa"/>
                  <w:shd w:val="clear" w:color="auto" w:fill="auto"/>
                  <w:vAlign w:val="center"/>
                </w:tcPr>
                <w:p w14:paraId="1107289A">
                  <w:pPr>
                    <w:jc w:val="center"/>
                    <w:rPr>
                      <w:rFonts w:eastAsiaTheme="minorEastAsia"/>
                      <w:szCs w:val="21"/>
                    </w:rPr>
                  </w:pPr>
                  <w:r>
                    <w:rPr>
                      <w:rFonts w:eastAsiaTheme="minorEastAsia"/>
                      <w:szCs w:val="21"/>
                    </w:rPr>
                    <w:t>2</w:t>
                  </w:r>
                </w:p>
              </w:tc>
              <w:tc>
                <w:tcPr>
                  <w:tcW w:w="672" w:type="dxa"/>
                  <w:vMerge w:val="continue"/>
                  <w:vAlign w:val="center"/>
                </w:tcPr>
                <w:p w14:paraId="6DF55700">
                  <w:pPr>
                    <w:jc w:val="center"/>
                    <w:rPr>
                      <w:rFonts w:eastAsiaTheme="minorEastAsia"/>
                      <w:szCs w:val="21"/>
                    </w:rPr>
                  </w:pPr>
                </w:p>
              </w:tc>
            </w:tr>
            <w:tr w14:paraId="514F78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448AC264">
                  <w:pPr>
                    <w:widowControl/>
                    <w:jc w:val="center"/>
                    <w:rPr>
                      <w:rFonts w:eastAsiaTheme="minorEastAsia"/>
                      <w:kern w:val="0"/>
                      <w:szCs w:val="21"/>
                    </w:rPr>
                  </w:pPr>
                  <w:r>
                    <w:rPr>
                      <w:rFonts w:eastAsiaTheme="minorEastAsia"/>
                      <w:kern w:val="0"/>
                      <w:szCs w:val="21"/>
                    </w:rPr>
                    <w:t>52</w:t>
                  </w:r>
                </w:p>
              </w:tc>
              <w:tc>
                <w:tcPr>
                  <w:tcW w:w="1924" w:type="dxa"/>
                  <w:shd w:val="clear" w:color="auto" w:fill="auto"/>
                  <w:vAlign w:val="center"/>
                </w:tcPr>
                <w:p w14:paraId="1A5050EB">
                  <w:pPr>
                    <w:jc w:val="center"/>
                    <w:rPr>
                      <w:rFonts w:eastAsiaTheme="minorEastAsia"/>
                      <w:szCs w:val="21"/>
                    </w:rPr>
                  </w:pPr>
                  <w:r>
                    <w:rPr>
                      <w:rFonts w:eastAsiaTheme="minorEastAsia"/>
                      <w:szCs w:val="21"/>
                    </w:rPr>
                    <w:t>手拉葫芦</w:t>
                  </w:r>
                </w:p>
              </w:tc>
              <w:tc>
                <w:tcPr>
                  <w:tcW w:w="2748" w:type="dxa"/>
                  <w:shd w:val="clear" w:color="auto" w:fill="auto"/>
                  <w:vAlign w:val="center"/>
                </w:tcPr>
                <w:p w14:paraId="163D1201">
                  <w:pPr>
                    <w:jc w:val="center"/>
                    <w:rPr>
                      <w:rFonts w:eastAsiaTheme="minorEastAsia"/>
                      <w:szCs w:val="21"/>
                    </w:rPr>
                  </w:pPr>
                  <w:r>
                    <w:rPr>
                      <w:rFonts w:eastAsiaTheme="minorEastAsia"/>
                      <w:szCs w:val="21"/>
                    </w:rPr>
                    <w:t>1t×6m 单链</w:t>
                  </w:r>
                </w:p>
              </w:tc>
              <w:tc>
                <w:tcPr>
                  <w:tcW w:w="530" w:type="dxa"/>
                  <w:shd w:val="clear" w:color="auto" w:fill="auto"/>
                  <w:vAlign w:val="center"/>
                </w:tcPr>
                <w:p w14:paraId="3FE8608B">
                  <w:pPr>
                    <w:jc w:val="center"/>
                    <w:rPr>
                      <w:rFonts w:eastAsiaTheme="minorEastAsia"/>
                      <w:szCs w:val="21"/>
                    </w:rPr>
                  </w:pPr>
                  <w:r>
                    <w:rPr>
                      <w:rFonts w:eastAsiaTheme="minorEastAsia"/>
                      <w:szCs w:val="21"/>
                    </w:rPr>
                    <w:t>台</w:t>
                  </w:r>
                </w:p>
              </w:tc>
              <w:tc>
                <w:tcPr>
                  <w:tcW w:w="1259" w:type="dxa"/>
                  <w:shd w:val="clear" w:color="auto" w:fill="auto"/>
                  <w:vAlign w:val="center"/>
                </w:tcPr>
                <w:p w14:paraId="50CC8678">
                  <w:pPr>
                    <w:jc w:val="center"/>
                    <w:rPr>
                      <w:rFonts w:eastAsiaTheme="minorEastAsia"/>
                      <w:szCs w:val="21"/>
                    </w:rPr>
                  </w:pPr>
                  <w:r>
                    <w:rPr>
                      <w:rFonts w:eastAsiaTheme="minorEastAsia"/>
                      <w:szCs w:val="21"/>
                    </w:rPr>
                    <w:t>8</w:t>
                  </w:r>
                </w:p>
              </w:tc>
              <w:tc>
                <w:tcPr>
                  <w:tcW w:w="672" w:type="dxa"/>
                  <w:vMerge w:val="continue"/>
                  <w:vAlign w:val="center"/>
                </w:tcPr>
                <w:p w14:paraId="3182DAB0">
                  <w:pPr>
                    <w:jc w:val="center"/>
                    <w:rPr>
                      <w:rFonts w:eastAsiaTheme="minorEastAsia"/>
                      <w:szCs w:val="21"/>
                    </w:rPr>
                  </w:pPr>
                </w:p>
              </w:tc>
            </w:tr>
            <w:tr w14:paraId="4582C7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70CE5DE0">
                  <w:pPr>
                    <w:widowControl/>
                    <w:jc w:val="center"/>
                    <w:rPr>
                      <w:rFonts w:eastAsiaTheme="minorEastAsia"/>
                      <w:kern w:val="0"/>
                      <w:szCs w:val="21"/>
                    </w:rPr>
                  </w:pPr>
                  <w:r>
                    <w:rPr>
                      <w:rFonts w:eastAsiaTheme="minorEastAsia"/>
                      <w:kern w:val="0"/>
                      <w:szCs w:val="21"/>
                    </w:rPr>
                    <w:t>53</w:t>
                  </w:r>
                </w:p>
              </w:tc>
              <w:tc>
                <w:tcPr>
                  <w:tcW w:w="1924" w:type="dxa"/>
                  <w:shd w:val="clear" w:color="auto" w:fill="auto"/>
                  <w:vAlign w:val="center"/>
                </w:tcPr>
                <w:p w14:paraId="37F44DFD">
                  <w:pPr>
                    <w:jc w:val="center"/>
                    <w:rPr>
                      <w:rFonts w:eastAsiaTheme="minorEastAsia"/>
                      <w:szCs w:val="21"/>
                    </w:rPr>
                  </w:pPr>
                  <w:r>
                    <w:rPr>
                      <w:rFonts w:eastAsiaTheme="minorEastAsia"/>
                      <w:szCs w:val="21"/>
                    </w:rPr>
                    <w:t>多轮手动滑车</w:t>
                  </w:r>
                </w:p>
              </w:tc>
              <w:tc>
                <w:tcPr>
                  <w:tcW w:w="2748" w:type="dxa"/>
                  <w:shd w:val="clear" w:color="auto" w:fill="auto"/>
                  <w:vAlign w:val="center"/>
                </w:tcPr>
                <w:p w14:paraId="3260C73E">
                  <w:pPr>
                    <w:jc w:val="center"/>
                    <w:rPr>
                      <w:rFonts w:eastAsiaTheme="minorEastAsia"/>
                      <w:szCs w:val="21"/>
                    </w:rPr>
                  </w:pPr>
                  <w:r>
                    <w:rPr>
                      <w:rFonts w:eastAsiaTheme="minorEastAsia"/>
                      <w:szCs w:val="21"/>
                    </w:rPr>
                    <w:t>1t×3m 单链</w:t>
                  </w:r>
                </w:p>
              </w:tc>
              <w:tc>
                <w:tcPr>
                  <w:tcW w:w="530" w:type="dxa"/>
                  <w:shd w:val="clear" w:color="auto" w:fill="auto"/>
                  <w:vAlign w:val="center"/>
                </w:tcPr>
                <w:p w14:paraId="45C85151">
                  <w:pPr>
                    <w:jc w:val="center"/>
                    <w:rPr>
                      <w:rFonts w:eastAsiaTheme="minorEastAsia"/>
                      <w:szCs w:val="21"/>
                    </w:rPr>
                  </w:pPr>
                  <w:r>
                    <w:rPr>
                      <w:rFonts w:eastAsiaTheme="minorEastAsia"/>
                      <w:szCs w:val="21"/>
                    </w:rPr>
                    <w:t>台</w:t>
                  </w:r>
                </w:p>
              </w:tc>
              <w:tc>
                <w:tcPr>
                  <w:tcW w:w="1259" w:type="dxa"/>
                  <w:shd w:val="clear" w:color="auto" w:fill="auto"/>
                  <w:vAlign w:val="center"/>
                </w:tcPr>
                <w:p w14:paraId="30E46851">
                  <w:pPr>
                    <w:jc w:val="center"/>
                    <w:rPr>
                      <w:rFonts w:eastAsiaTheme="minorEastAsia"/>
                      <w:szCs w:val="21"/>
                    </w:rPr>
                  </w:pPr>
                  <w:r>
                    <w:rPr>
                      <w:rFonts w:eastAsiaTheme="minorEastAsia"/>
                      <w:szCs w:val="21"/>
                    </w:rPr>
                    <w:t>8</w:t>
                  </w:r>
                </w:p>
              </w:tc>
              <w:tc>
                <w:tcPr>
                  <w:tcW w:w="672" w:type="dxa"/>
                  <w:vMerge w:val="continue"/>
                  <w:vAlign w:val="center"/>
                </w:tcPr>
                <w:p w14:paraId="60F118F4">
                  <w:pPr>
                    <w:jc w:val="center"/>
                    <w:rPr>
                      <w:rFonts w:eastAsiaTheme="minorEastAsia"/>
                      <w:szCs w:val="21"/>
                    </w:rPr>
                  </w:pPr>
                </w:p>
              </w:tc>
            </w:tr>
            <w:tr w14:paraId="3FE050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45356F1B">
                  <w:pPr>
                    <w:widowControl/>
                    <w:jc w:val="center"/>
                    <w:rPr>
                      <w:rFonts w:eastAsiaTheme="minorEastAsia"/>
                      <w:kern w:val="0"/>
                      <w:szCs w:val="21"/>
                    </w:rPr>
                  </w:pPr>
                  <w:r>
                    <w:rPr>
                      <w:rFonts w:eastAsiaTheme="minorEastAsia"/>
                      <w:kern w:val="0"/>
                      <w:szCs w:val="21"/>
                    </w:rPr>
                    <w:t>54</w:t>
                  </w:r>
                </w:p>
              </w:tc>
              <w:tc>
                <w:tcPr>
                  <w:tcW w:w="1924" w:type="dxa"/>
                  <w:shd w:val="clear" w:color="auto" w:fill="auto"/>
                  <w:vAlign w:val="center"/>
                </w:tcPr>
                <w:p w14:paraId="2DF449A8">
                  <w:pPr>
                    <w:jc w:val="center"/>
                    <w:rPr>
                      <w:rFonts w:eastAsiaTheme="minorEastAsia"/>
                      <w:szCs w:val="21"/>
                    </w:rPr>
                  </w:pPr>
                  <w:r>
                    <w:rPr>
                      <w:rFonts w:eastAsiaTheme="minorEastAsia"/>
                      <w:szCs w:val="21"/>
                    </w:rPr>
                    <w:t>注入系统</w:t>
                  </w:r>
                </w:p>
              </w:tc>
              <w:tc>
                <w:tcPr>
                  <w:tcW w:w="2748" w:type="dxa"/>
                  <w:shd w:val="clear" w:color="auto" w:fill="auto"/>
                  <w:vAlign w:val="center"/>
                </w:tcPr>
                <w:p w14:paraId="0FBA8C9F">
                  <w:pPr>
                    <w:jc w:val="center"/>
                    <w:rPr>
                      <w:rFonts w:eastAsiaTheme="minorEastAsia"/>
                      <w:szCs w:val="21"/>
                    </w:rPr>
                  </w:pPr>
                  <w:r>
                    <w:rPr>
                      <w:rFonts w:eastAsiaTheme="minorEastAsia"/>
                      <w:szCs w:val="21"/>
                    </w:rPr>
                    <w:t>30位</w:t>
                  </w:r>
                </w:p>
              </w:tc>
              <w:tc>
                <w:tcPr>
                  <w:tcW w:w="530" w:type="dxa"/>
                  <w:shd w:val="clear" w:color="auto" w:fill="auto"/>
                  <w:vAlign w:val="center"/>
                </w:tcPr>
                <w:p w14:paraId="02B17A65">
                  <w:pPr>
                    <w:jc w:val="center"/>
                    <w:rPr>
                      <w:rFonts w:eastAsiaTheme="minorEastAsia"/>
                      <w:szCs w:val="21"/>
                    </w:rPr>
                  </w:pPr>
                  <w:r>
                    <w:rPr>
                      <w:rFonts w:eastAsiaTheme="minorEastAsia"/>
                      <w:szCs w:val="21"/>
                    </w:rPr>
                    <w:t>套</w:t>
                  </w:r>
                </w:p>
              </w:tc>
              <w:tc>
                <w:tcPr>
                  <w:tcW w:w="1259" w:type="dxa"/>
                  <w:shd w:val="clear" w:color="auto" w:fill="auto"/>
                  <w:vAlign w:val="center"/>
                </w:tcPr>
                <w:p w14:paraId="6DB124DE">
                  <w:pPr>
                    <w:jc w:val="center"/>
                    <w:rPr>
                      <w:rFonts w:eastAsiaTheme="minorEastAsia"/>
                      <w:szCs w:val="21"/>
                    </w:rPr>
                  </w:pPr>
                  <w:r>
                    <w:rPr>
                      <w:rFonts w:eastAsiaTheme="minorEastAsia"/>
                      <w:szCs w:val="21"/>
                    </w:rPr>
                    <w:t>1</w:t>
                  </w:r>
                </w:p>
              </w:tc>
              <w:tc>
                <w:tcPr>
                  <w:tcW w:w="672" w:type="dxa"/>
                  <w:vMerge w:val="continue"/>
                  <w:vAlign w:val="center"/>
                </w:tcPr>
                <w:p w14:paraId="5E8D1A07">
                  <w:pPr>
                    <w:jc w:val="center"/>
                    <w:rPr>
                      <w:rFonts w:eastAsiaTheme="minorEastAsia"/>
                      <w:szCs w:val="21"/>
                    </w:rPr>
                  </w:pPr>
                </w:p>
              </w:tc>
            </w:tr>
            <w:tr w14:paraId="1FFAEE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1B8FB987">
                  <w:pPr>
                    <w:widowControl/>
                    <w:jc w:val="center"/>
                    <w:rPr>
                      <w:rFonts w:eastAsiaTheme="minorEastAsia"/>
                      <w:kern w:val="0"/>
                      <w:szCs w:val="21"/>
                    </w:rPr>
                  </w:pPr>
                  <w:r>
                    <w:rPr>
                      <w:rFonts w:eastAsiaTheme="minorEastAsia"/>
                      <w:kern w:val="0"/>
                      <w:szCs w:val="21"/>
                    </w:rPr>
                    <w:t>55</w:t>
                  </w:r>
                </w:p>
              </w:tc>
              <w:tc>
                <w:tcPr>
                  <w:tcW w:w="1924" w:type="dxa"/>
                  <w:shd w:val="clear" w:color="auto" w:fill="auto"/>
                  <w:vAlign w:val="center"/>
                </w:tcPr>
                <w:p w14:paraId="73CD2BAF">
                  <w:pPr>
                    <w:jc w:val="center"/>
                    <w:rPr>
                      <w:rFonts w:eastAsiaTheme="minorEastAsia"/>
                      <w:szCs w:val="21"/>
                    </w:rPr>
                  </w:pPr>
                  <w:r>
                    <w:rPr>
                      <w:rFonts w:eastAsiaTheme="minorEastAsia"/>
                      <w:szCs w:val="21"/>
                    </w:rPr>
                    <w:t>FDY卷绕机电动小车</w:t>
                  </w:r>
                </w:p>
              </w:tc>
              <w:tc>
                <w:tcPr>
                  <w:tcW w:w="2748" w:type="dxa"/>
                  <w:shd w:val="clear" w:color="auto" w:fill="auto"/>
                  <w:vAlign w:val="center"/>
                </w:tcPr>
                <w:p w14:paraId="2111C8E5">
                  <w:pPr>
                    <w:jc w:val="center"/>
                    <w:rPr>
                      <w:rFonts w:eastAsiaTheme="minorEastAsia"/>
                      <w:szCs w:val="21"/>
                    </w:rPr>
                  </w:pPr>
                  <w:r>
                    <w:rPr>
                      <w:rFonts w:eastAsiaTheme="minorEastAsia"/>
                      <w:szCs w:val="21"/>
                    </w:rPr>
                    <w:t>32头</w:t>
                  </w:r>
                </w:p>
              </w:tc>
              <w:tc>
                <w:tcPr>
                  <w:tcW w:w="530" w:type="dxa"/>
                  <w:shd w:val="clear" w:color="auto" w:fill="auto"/>
                  <w:vAlign w:val="center"/>
                </w:tcPr>
                <w:p w14:paraId="4254B775">
                  <w:pPr>
                    <w:jc w:val="center"/>
                    <w:rPr>
                      <w:rFonts w:eastAsiaTheme="minorEastAsia"/>
                      <w:szCs w:val="21"/>
                    </w:rPr>
                  </w:pPr>
                  <w:r>
                    <w:rPr>
                      <w:rFonts w:eastAsiaTheme="minorEastAsia"/>
                      <w:szCs w:val="21"/>
                    </w:rPr>
                    <w:t>台</w:t>
                  </w:r>
                </w:p>
              </w:tc>
              <w:tc>
                <w:tcPr>
                  <w:tcW w:w="1259" w:type="dxa"/>
                  <w:shd w:val="clear" w:color="auto" w:fill="auto"/>
                  <w:vAlign w:val="center"/>
                </w:tcPr>
                <w:p w14:paraId="470EDB2B">
                  <w:pPr>
                    <w:jc w:val="center"/>
                    <w:rPr>
                      <w:rFonts w:eastAsiaTheme="minorEastAsia"/>
                      <w:szCs w:val="21"/>
                    </w:rPr>
                  </w:pPr>
                  <w:r>
                    <w:rPr>
                      <w:rFonts w:eastAsiaTheme="minorEastAsia"/>
                      <w:szCs w:val="21"/>
                    </w:rPr>
                    <w:t>2</w:t>
                  </w:r>
                </w:p>
              </w:tc>
              <w:tc>
                <w:tcPr>
                  <w:tcW w:w="672" w:type="dxa"/>
                  <w:vMerge w:val="continue"/>
                  <w:vAlign w:val="center"/>
                </w:tcPr>
                <w:p w14:paraId="3069E05B">
                  <w:pPr>
                    <w:jc w:val="center"/>
                    <w:rPr>
                      <w:rFonts w:eastAsiaTheme="minorEastAsia"/>
                      <w:szCs w:val="21"/>
                    </w:rPr>
                  </w:pPr>
                </w:p>
              </w:tc>
            </w:tr>
            <w:tr w14:paraId="0B01F6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78985023">
                  <w:pPr>
                    <w:widowControl/>
                    <w:jc w:val="center"/>
                    <w:rPr>
                      <w:rFonts w:eastAsiaTheme="minorEastAsia"/>
                      <w:kern w:val="0"/>
                      <w:szCs w:val="21"/>
                    </w:rPr>
                  </w:pPr>
                  <w:r>
                    <w:rPr>
                      <w:rFonts w:eastAsiaTheme="minorEastAsia"/>
                      <w:kern w:val="0"/>
                      <w:szCs w:val="21"/>
                    </w:rPr>
                    <w:t>56</w:t>
                  </w:r>
                </w:p>
              </w:tc>
              <w:tc>
                <w:tcPr>
                  <w:tcW w:w="1924" w:type="dxa"/>
                  <w:shd w:val="clear" w:color="auto" w:fill="auto"/>
                  <w:vAlign w:val="center"/>
                </w:tcPr>
                <w:p w14:paraId="06473871">
                  <w:pPr>
                    <w:jc w:val="center"/>
                    <w:rPr>
                      <w:rFonts w:eastAsiaTheme="minorEastAsia"/>
                      <w:szCs w:val="21"/>
                    </w:rPr>
                  </w:pPr>
                  <w:r>
                    <w:rPr>
                      <w:rFonts w:eastAsiaTheme="minorEastAsia"/>
                      <w:szCs w:val="21"/>
                    </w:rPr>
                    <w:t>FDY卷绕机电动小车</w:t>
                  </w:r>
                </w:p>
              </w:tc>
              <w:tc>
                <w:tcPr>
                  <w:tcW w:w="2748" w:type="dxa"/>
                  <w:shd w:val="clear" w:color="auto" w:fill="auto"/>
                  <w:vAlign w:val="center"/>
                </w:tcPr>
                <w:p w14:paraId="754D05EA">
                  <w:pPr>
                    <w:jc w:val="center"/>
                    <w:rPr>
                      <w:rFonts w:eastAsiaTheme="minorEastAsia"/>
                      <w:szCs w:val="21"/>
                    </w:rPr>
                  </w:pPr>
                  <w:r>
                    <w:rPr>
                      <w:rFonts w:eastAsiaTheme="minorEastAsia"/>
                      <w:szCs w:val="21"/>
                    </w:rPr>
                    <w:t>24头</w:t>
                  </w:r>
                </w:p>
              </w:tc>
              <w:tc>
                <w:tcPr>
                  <w:tcW w:w="530" w:type="dxa"/>
                  <w:shd w:val="clear" w:color="auto" w:fill="auto"/>
                  <w:vAlign w:val="center"/>
                </w:tcPr>
                <w:p w14:paraId="26E8CB0F">
                  <w:pPr>
                    <w:jc w:val="center"/>
                    <w:rPr>
                      <w:rFonts w:eastAsiaTheme="minorEastAsia"/>
                      <w:szCs w:val="21"/>
                    </w:rPr>
                  </w:pPr>
                  <w:r>
                    <w:rPr>
                      <w:rFonts w:eastAsiaTheme="minorEastAsia"/>
                      <w:szCs w:val="21"/>
                    </w:rPr>
                    <w:t>台</w:t>
                  </w:r>
                </w:p>
              </w:tc>
              <w:tc>
                <w:tcPr>
                  <w:tcW w:w="1259" w:type="dxa"/>
                  <w:shd w:val="clear" w:color="auto" w:fill="auto"/>
                  <w:vAlign w:val="center"/>
                </w:tcPr>
                <w:p w14:paraId="4BC2CB66">
                  <w:pPr>
                    <w:jc w:val="center"/>
                    <w:rPr>
                      <w:rFonts w:eastAsiaTheme="minorEastAsia"/>
                      <w:szCs w:val="21"/>
                    </w:rPr>
                  </w:pPr>
                  <w:r>
                    <w:rPr>
                      <w:rFonts w:eastAsiaTheme="minorEastAsia"/>
                      <w:szCs w:val="21"/>
                    </w:rPr>
                    <w:t>1</w:t>
                  </w:r>
                </w:p>
              </w:tc>
              <w:tc>
                <w:tcPr>
                  <w:tcW w:w="672" w:type="dxa"/>
                  <w:vMerge w:val="continue"/>
                  <w:vAlign w:val="center"/>
                </w:tcPr>
                <w:p w14:paraId="294848FF">
                  <w:pPr>
                    <w:jc w:val="center"/>
                    <w:rPr>
                      <w:rFonts w:eastAsiaTheme="minorEastAsia"/>
                      <w:szCs w:val="21"/>
                    </w:rPr>
                  </w:pPr>
                </w:p>
              </w:tc>
            </w:tr>
            <w:tr w14:paraId="422292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6565DBC8">
                  <w:pPr>
                    <w:widowControl/>
                    <w:jc w:val="center"/>
                    <w:rPr>
                      <w:rFonts w:eastAsiaTheme="minorEastAsia"/>
                      <w:kern w:val="0"/>
                      <w:szCs w:val="21"/>
                    </w:rPr>
                  </w:pPr>
                  <w:r>
                    <w:rPr>
                      <w:rFonts w:eastAsiaTheme="minorEastAsia"/>
                      <w:kern w:val="0"/>
                      <w:szCs w:val="21"/>
                    </w:rPr>
                    <w:t>57</w:t>
                  </w:r>
                </w:p>
              </w:tc>
              <w:tc>
                <w:tcPr>
                  <w:tcW w:w="1924" w:type="dxa"/>
                  <w:shd w:val="clear" w:color="auto" w:fill="auto"/>
                  <w:vAlign w:val="center"/>
                </w:tcPr>
                <w:p w14:paraId="0FAD622C">
                  <w:pPr>
                    <w:jc w:val="center"/>
                    <w:rPr>
                      <w:rFonts w:eastAsiaTheme="minorEastAsia"/>
                      <w:szCs w:val="21"/>
                    </w:rPr>
                  </w:pPr>
                  <w:r>
                    <w:rPr>
                      <w:rFonts w:eastAsiaTheme="minorEastAsia"/>
                      <w:szCs w:val="21"/>
                    </w:rPr>
                    <w:t>POY卷绕机电动小车</w:t>
                  </w:r>
                </w:p>
              </w:tc>
              <w:tc>
                <w:tcPr>
                  <w:tcW w:w="2748" w:type="dxa"/>
                  <w:shd w:val="clear" w:color="auto" w:fill="auto"/>
                  <w:vAlign w:val="center"/>
                </w:tcPr>
                <w:p w14:paraId="099BF5A6">
                  <w:pPr>
                    <w:jc w:val="center"/>
                    <w:rPr>
                      <w:rFonts w:eastAsiaTheme="minorEastAsia"/>
                      <w:szCs w:val="21"/>
                    </w:rPr>
                  </w:pPr>
                  <w:r>
                    <w:rPr>
                      <w:rFonts w:eastAsiaTheme="minorEastAsia"/>
                      <w:szCs w:val="21"/>
                    </w:rPr>
                    <w:t>12头</w:t>
                  </w:r>
                </w:p>
              </w:tc>
              <w:tc>
                <w:tcPr>
                  <w:tcW w:w="530" w:type="dxa"/>
                  <w:shd w:val="clear" w:color="auto" w:fill="auto"/>
                  <w:vAlign w:val="center"/>
                </w:tcPr>
                <w:p w14:paraId="3F2B959B">
                  <w:pPr>
                    <w:jc w:val="center"/>
                    <w:rPr>
                      <w:rFonts w:eastAsiaTheme="minorEastAsia"/>
                      <w:szCs w:val="21"/>
                    </w:rPr>
                  </w:pPr>
                  <w:r>
                    <w:rPr>
                      <w:rFonts w:eastAsiaTheme="minorEastAsia"/>
                      <w:szCs w:val="21"/>
                    </w:rPr>
                    <w:t>台</w:t>
                  </w:r>
                </w:p>
              </w:tc>
              <w:tc>
                <w:tcPr>
                  <w:tcW w:w="1259" w:type="dxa"/>
                  <w:shd w:val="clear" w:color="auto" w:fill="auto"/>
                  <w:vAlign w:val="center"/>
                </w:tcPr>
                <w:p w14:paraId="06172CE9">
                  <w:pPr>
                    <w:jc w:val="center"/>
                    <w:rPr>
                      <w:rFonts w:eastAsiaTheme="minorEastAsia"/>
                      <w:szCs w:val="21"/>
                    </w:rPr>
                  </w:pPr>
                  <w:r>
                    <w:rPr>
                      <w:rFonts w:eastAsiaTheme="minorEastAsia"/>
                      <w:szCs w:val="21"/>
                    </w:rPr>
                    <w:t>2</w:t>
                  </w:r>
                </w:p>
              </w:tc>
              <w:tc>
                <w:tcPr>
                  <w:tcW w:w="672" w:type="dxa"/>
                  <w:vMerge w:val="continue"/>
                  <w:vAlign w:val="center"/>
                </w:tcPr>
                <w:p w14:paraId="4CCF0DA7">
                  <w:pPr>
                    <w:jc w:val="center"/>
                    <w:rPr>
                      <w:rFonts w:eastAsiaTheme="minorEastAsia"/>
                      <w:szCs w:val="21"/>
                    </w:rPr>
                  </w:pPr>
                </w:p>
              </w:tc>
            </w:tr>
            <w:tr w14:paraId="41AE7F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1" w:type="dxa"/>
                  <w:gridSpan w:val="5"/>
                  <w:vAlign w:val="center"/>
                </w:tcPr>
                <w:p w14:paraId="4362D5BD">
                  <w:pPr>
                    <w:widowControl/>
                    <w:rPr>
                      <w:rFonts w:eastAsiaTheme="minorEastAsia"/>
                      <w:kern w:val="0"/>
                      <w:szCs w:val="21"/>
                    </w:rPr>
                  </w:pPr>
                  <w:r>
                    <w:rPr>
                      <w:rFonts w:eastAsiaTheme="minorEastAsia"/>
                      <w:kern w:val="0"/>
                      <w:szCs w:val="21"/>
                    </w:rPr>
                    <w:t>二、三期项目——纺丝单元</w:t>
                  </w:r>
                </w:p>
              </w:tc>
              <w:tc>
                <w:tcPr>
                  <w:tcW w:w="672" w:type="dxa"/>
                  <w:vAlign w:val="center"/>
                </w:tcPr>
                <w:p w14:paraId="6A1266B7">
                  <w:pPr>
                    <w:widowControl/>
                    <w:rPr>
                      <w:rFonts w:eastAsiaTheme="minorEastAsia"/>
                      <w:kern w:val="0"/>
                      <w:szCs w:val="21"/>
                    </w:rPr>
                  </w:pPr>
                </w:p>
              </w:tc>
            </w:tr>
            <w:tr w14:paraId="21B1FC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5E4C7221">
                  <w:pPr>
                    <w:widowControl/>
                    <w:jc w:val="center"/>
                    <w:rPr>
                      <w:rFonts w:eastAsiaTheme="minorEastAsia"/>
                      <w:kern w:val="0"/>
                      <w:szCs w:val="21"/>
                    </w:rPr>
                  </w:pPr>
                  <w:r>
                    <w:rPr>
                      <w:rFonts w:eastAsiaTheme="minorEastAsia"/>
                      <w:kern w:val="0"/>
                      <w:szCs w:val="21"/>
                    </w:rPr>
                    <w:t>1</w:t>
                  </w:r>
                </w:p>
              </w:tc>
              <w:tc>
                <w:tcPr>
                  <w:tcW w:w="1924" w:type="dxa"/>
                  <w:shd w:val="clear" w:color="000000" w:fill="FFFFFF"/>
                  <w:vAlign w:val="center"/>
                </w:tcPr>
                <w:p w14:paraId="35C3517A">
                  <w:pPr>
                    <w:widowControl/>
                    <w:jc w:val="center"/>
                    <w:rPr>
                      <w:rFonts w:eastAsiaTheme="minorEastAsia"/>
                      <w:kern w:val="0"/>
                      <w:szCs w:val="21"/>
                    </w:rPr>
                  </w:pPr>
                  <w:r>
                    <w:rPr>
                      <w:rFonts w:eastAsiaTheme="minorEastAsia"/>
                      <w:szCs w:val="21"/>
                    </w:rPr>
                    <w:t>全自动喷丝板镜检仪</w:t>
                  </w:r>
                </w:p>
              </w:tc>
              <w:tc>
                <w:tcPr>
                  <w:tcW w:w="2748" w:type="dxa"/>
                  <w:shd w:val="clear" w:color="auto" w:fill="auto"/>
                  <w:vAlign w:val="center"/>
                </w:tcPr>
                <w:p w14:paraId="211987F8">
                  <w:pPr>
                    <w:widowControl/>
                    <w:adjustRightInd w:val="0"/>
                    <w:snapToGrid w:val="0"/>
                    <w:spacing w:line="0" w:lineRule="atLeast"/>
                    <w:jc w:val="center"/>
                    <w:rPr>
                      <w:rFonts w:eastAsiaTheme="minorEastAsia"/>
                      <w:kern w:val="0"/>
                      <w:szCs w:val="21"/>
                    </w:rPr>
                  </w:pPr>
                  <w:r>
                    <w:rPr>
                      <w:rFonts w:eastAsiaTheme="minorEastAsia"/>
                      <w:kern w:val="0"/>
                      <w:szCs w:val="21"/>
                    </w:rPr>
                    <w:t>/</w:t>
                  </w:r>
                </w:p>
              </w:tc>
              <w:tc>
                <w:tcPr>
                  <w:tcW w:w="530" w:type="dxa"/>
                  <w:shd w:val="clear" w:color="000000" w:fill="FFFFFF"/>
                  <w:vAlign w:val="center"/>
                </w:tcPr>
                <w:p w14:paraId="6B81F5FB">
                  <w:pPr>
                    <w:widowControl/>
                    <w:jc w:val="center"/>
                    <w:rPr>
                      <w:rFonts w:eastAsiaTheme="minorEastAsia"/>
                      <w:kern w:val="0"/>
                      <w:szCs w:val="21"/>
                    </w:rPr>
                  </w:pPr>
                  <w:r>
                    <w:rPr>
                      <w:rFonts w:eastAsiaTheme="minorEastAsia"/>
                      <w:szCs w:val="21"/>
                    </w:rPr>
                    <w:t>台</w:t>
                  </w:r>
                </w:p>
              </w:tc>
              <w:tc>
                <w:tcPr>
                  <w:tcW w:w="1259" w:type="dxa"/>
                  <w:shd w:val="clear" w:color="000000" w:fill="FFFFFF"/>
                  <w:vAlign w:val="center"/>
                </w:tcPr>
                <w:p w14:paraId="73C6838F">
                  <w:pPr>
                    <w:widowControl/>
                    <w:jc w:val="center"/>
                    <w:rPr>
                      <w:rFonts w:eastAsiaTheme="minorEastAsia"/>
                      <w:kern w:val="0"/>
                      <w:szCs w:val="21"/>
                    </w:rPr>
                  </w:pPr>
                  <w:r>
                    <w:rPr>
                      <w:rFonts w:eastAsiaTheme="minorEastAsia"/>
                      <w:szCs w:val="21"/>
                    </w:rPr>
                    <w:t>1</w:t>
                  </w:r>
                </w:p>
              </w:tc>
              <w:tc>
                <w:tcPr>
                  <w:tcW w:w="672" w:type="dxa"/>
                  <w:vMerge w:val="restart"/>
                  <w:shd w:val="clear" w:color="000000" w:fill="FFFFFF"/>
                  <w:vAlign w:val="center"/>
                </w:tcPr>
                <w:p w14:paraId="1D1E246F">
                  <w:pPr>
                    <w:widowControl/>
                    <w:jc w:val="center"/>
                    <w:rPr>
                      <w:rFonts w:eastAsiaTheme="minorEastAsia"/>
                      <w:szCs w:val="21"/>
                    </w:rPr>
                  </w:pPr>
                  <w:r>
                    <w:rPr>
                      <w:rFonts w:eastAsiaTheme="minorEastAsia"/>
                      <w:szCs w:val="21"/>
                    </w:rPr>
                    <w:t>新建</w:t>
                  </w:r>
                </w:p>
              </w:tc>
            </w:tr>
            <w:tr w14:paraId="7C2B00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441DCAB1">
                  <w:pPr>
                    <w:widowControl/>
                    <w:jc w:val="center"/>
                    <w:rPr>
                      <w:rFonts w:eastAsiaTheme="minorEastAsia"/>
                      <w:kern w:val="0"/>
                      <w:szCs w:val="21"/>
                    </w:rPr>
                  </w:pPr>
                  <w:r>
                    <w:rPr>
                      <w:rFonts w:eastAsiaTheme="minorEastAsia"/>
                      <w:kern w:val="0"/>
                      <w:szCs w:val="21"/>
                    </w:rPr>
                    <w:t>2</w:t>
                  </w:r>
                </w:p>
              </w:tc>
              <w:tc>
                <w:tcPr>
                  <w:tcW w:w="1924" w:type="dxa"/>
                  <w:shd w:val="clear" w:color="000000" w:fill="FFFFFF"/>
                  <w:vAlign w:val="center"/>
                </w:tcPr>
                <w:p w14:paraId="45F5CCB4">
                  <w:pPr>
                    <w:jc w:val="center"/>
                    <w:rPr>
                      <w:rFonts w:eastAsiaTheme="minorEastAsia"/>
                      <w:szCs w:val="21"/>
                    </w:rPr>
                  </w:pPr>
                  <w:r>
                    <w:rPr>
                      <w:rFonts w:eastAsiaTheme="minorEastAsia"/>
                      <w:szCs w:val="21"/>
                    </w:rPr>
                    <w:t>自动落丝机</w:t>
                  </w:r>
                </w:p>
              </w:tc>
              <w:tc>
                <w:tcPr>
                  <w:tcW w:w="2748" w:type="dxa"/>
                  <w:shd w:val="clear" w:color="auto" w:fill="auto"/>
                  <w:vAlign w:val="center"/>
                </w:tcPr>
                <w:p w14:paraId="01BAFE85">
                  <w:pPr>
                    <w:widowControl/>
                    <w:adjustRightInd w:val="0"/>
                    <w:snapToGrid w:val="0"/>
                    <w:spacing w:line="0" w:lineRule="atLeast"/>
                    <w:jc w:val="center"/>
                    <w:rPr>
                      <w:rFonts w:eastAsiaTheme="minorEastAsia"/>
                      <w:kern w:val="0"/>
                      <w:szCs w:val="21"/>
                    </w:rPr>
                  </w:pPr>
                  <w:r>
                    <w:rPr>
                      <w:rFonts w:eastAsiaTheme="minorEastAsia"/>
                      <w:kern w:val="0"/>
                      <w:szCs w:val="21"/>
                    </w:rPr>
                    <w:t>/</w:t>
                  </w:r>
                </w:p>
              </w:tc>
              <w:tc>
                <w:tcPr>
                  <w:tcW w:w="530" w:type="dxa"/>
                  <w:shd w:val="clear" w:color="000000" w:fill="FFFFFF"/>
                  <w:vAlign w:val="center"/>
                </w:tcPr>
                <w:p w14:paraId="7DC2E1B8">
                  <w:pPr>
                    <w:jc w:val="center"/>
                    <w:rPr>
                      <w:rFonts w:eastAsiaTheme="minorEastAsia"/>
                      <w:szCs w:val="21"/>
                    </w:rPr>
                  </w:pPr>
                  <w:r>
                    <w:rPr>
                      <w:rFonts w:eastAsiaTheme="minorEastAsia"/>
                      <w:szCs w:val="21"/>
                    </w:rPr>
                    <w:t>线</w:t>
                  </w:r>
                </w:p>
              </w:tc>
              <w:tc>
                <w:tcPr>
                  <w:tcW w:w="1259" w:type="dxa"/>
                  <w:shd w:val="clear" w:color="auto" w:fill="auto"/>
                  <w:vAlign w:val="center"/>
                </w:tcPr>
                <w:p w14:paraId="385A52E5">
                  <w:pPr>
                    <w:jc w:val="center"/>
                    <w:rPr>
                      <w:rFonts w:eastAsiaTheme="minorEastAsia"/>
                      <w:szCs w:val="21"/>
                    </w:rPr>
                  </w:pPr>
                  <w:r>
                    <w:rPr>
                      <w:rFonts w:eastAsiaTheme="minorEastAsia"/>
                      <w:szCs w:val="21"/>
                    </w:rPr>
                    <w:t>8</w:t>
                  </w:r>
                </w:p>
              </w:tc>
              <w:tc>
                <w:tcPr>
                  <w:tcW w:w="672" w:type="dxa"/>
                  <w:vMerge w:val="continue"/>
                  <w:vAlign w:val="center"/>
                </w:tcPr>
                <w:p w14:paraId="48B940C5">
                  <w:pPr>
                    <w:jc w:val="center"/>
                    <w:rPr>
                      <w:rFonts w:eastAsiaTheme="minorEastAsia"/>
                      <w:szCs w:val="21"/>
                    </w:rPr>
                  </w:pPr>
                </w:p>
              </w:tc>
            </w:tr>
            <w:tr w14:paraId="15843B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18B07271">
                  <w:pPr>
                    <w:widowControl/>
                    <w:jc w:val="center"/>
                    <w:rPr>
                      <w:rFonts w:eastAsiaTheme="minorEastAsia"/>
                      <w:kern w:val="0"/>
                      <w:szCs w:val="21"/>
                    </w:rPr>
                  </w:pPr>
                  <w:r>
                    <w:rPr>
                      <w:rFonts w:eastAsiaTheme="minorEastAsia"/>
                      <w:kern w:val="0"/>
                      <w:szCs w:val="21"/>
                    </w:rPr>
                    <w:t>3</w:t>
                  </w:r>
                </w:p>
              </w:tc>
              <w:tc>
                <w:tcPr>
                  <w:tcW w:w="1924" w:type="dxa"/>
                  <w:shd w:val="clear" w:color="auto" w:fill="auto"/>
                  <w:vAlign w:val="center"/>
                </w:tcPr>
                <w:p w14:paraId="44231020">
                  <w:pPr>
                    <w:jc w:val="center"/>
                    <w:rPr>
                      <w:rFonts w:eastAsiaTheme="minorEastAsia"/>
                      <w:szCs w:val="21"/>
                    </w:rPr>
                  </w:pPr>
                  <w:r>
                    <w:rPr>
                      <w:rFonts w:eastAsiaTheme="minorEastAsia"/>
                      <w:szCs w:val="21"/>
                    </w:rPr>
                    <w:t>FDY卷绕机</w:t>
                  </w:r>
                </w:p>
              </w:tc>
              <w:tc>
                <w:tcPr>
                  <w:tcW w:w="2748" w:type="dxa"/>
                  <w:shd w:val="clear" w:color="auto" w:fill="auto"/>
                  <w:vAlign w:val="center"/>
                </w:tcPr>
                <w:p w14:paraId="102E6283">
                  <w:pPr>
                    <w:widowControl/>
                    <w:adjustRightInd w:val="0"/>
                    <w:snapToGrid w:val="0"/>
                    <w:spacing w:line="0" w:lineRule="atLeast"/>
                    <w:jc w:val="center"/>
                    <w:rPr>
                      <w:rFonts w:eastAsiaTheme="minorEastAsia"/>
                      <w:kern w:val="0"/>
                      <w:szCs w:val="21"/>
                    </w:rPr>
                  </w:pPr>
                  <w:r>
                    <w:rPr>
                      <w:rFonts w:eastAsiaTheme="minorEastAsia"/>
                      <w:kern w:val="0"/>
                      <w:szCs w:val="21"/>
                    </w:rPr>
                    <w:t>/</w:t>
                  </w:r>
                </w:p>
              </w:tc>
              <w:tc>
                <w:tcPr>
                  <w:tcW w:w="530" w:type="dxa"/>
                  <w:shd w:val="clear" w:color="auto" w:fill="auto"/>
                  <w:vAlign w:val="center"/>
                </w:tcPr>
                <w:p w14:paraId="5E85E89F">
                  <w:pPr>
                    <w:jc w:val="center"/>
                    <w:rPr>
                      <w:rFonts w:eastAsiaTheme="minorEastAsia"/>
                      <w:szCs w:val="21"/>
                    </w:rPr>
                  </w:pPr>
                  <w:r>
                    <w:rPr>
                      <w:rFonts w:eastAsiaTheme="minorEastAsia"/>
                      <w:szCs w:val="21"/>
                    </w:rPr>
                    <w:t>台</w:t>
                  </w:r>
                </w:p>
              </w:tc>
              <w:tc>
                <w:tcPr>
                  <w:tcW w:w="1259" w:type="dxa"/>
                  <w:shd w:val="clear" w:color="auto" w:fill="auto"/>
                  <w:vAlign w:val="center"/>
                </w:tcPr>
                <w:p w14:paraId="5239FBF8">
                  <w:pPr>
                    <w:jc w:val="center"/>
                    <w:rPr>
                      <w:rFonts w:eastAsiaTheme="minorEastAsia"/>
                      <w:szCs w:val="21"/>
                    </w:rPr>
                  </w:pPr>
                  <w:r>
                    <w:rPr>
                      <w:rFonts w:eastAsiaTheme="minorEastAsia"/>
                      <w:szCs w:val="21"/>
                    </w:rPr>
                    <w:t>240</w:t>
                  </w:r>
                </w:p>
              </w:tc>
              <w:tc>
                <w:tcPr>
                  <w:tcW w:w="672" w:type="dxa"/>
                  <w:vMerge w:val="continue"/>
                  <w:vAlign w:val="center"/>
                </w:tcPr>
                <w:p w14:paraId="3653A59C">
                  <w:pPr>
                    <w:jc w:val="center"/>
                    <w:rPr>
                      <w:rFonts w:eastAsiaTheme="minorEastAsia"/>
                      <w:szCs w:val="21"/>
                    </w:rPr>
                  </w:pPr>
                </w:p>
              </w:tc>
            </w:tr>
            <w:tr w14:paraId="5EB043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0CF03D7F">
                  <w:pPr>
                    <w:widowControl/>
                    <w:jc w:val="center"/>
                    <w:rPr>
                      <w:rFonts w:eastAsiaTheme="minorEastAsia"/>
                      <w:kern w:val="0"/>
                      <w:szCs w:val="21"/>
                    </w:rPr>
                  </w:pPr>
                  <w:r>
                    <w:rPr>
                      <w:rFonts w:eastAsiaTheme="minorEastAsia"/>
                      <w:kern w:val="0"/>
                      <w:szCs w:val="21"/>
                    </w:rPr>
                    <w:t>4</w:t>
                  </w:r>
                </w:p>
              </w:tc>
              <w:tc>
                <w:tcPr>
                  <w:tcW w:w="1924" w:type="dxa"/>
                  <w:shd w:val="clear" w:color="auto" w:fill="auto"/>
                  <w:vAlign w:val="center"/>
                </w:tcPr>
                <w:p w14:paraId="7773F8D7">
                  <w:pPr>
                    <w:jc w:val="center"/>
                    <w:rPr>
                      <w:rFonts w:eastAsiaTheme="minorEastAsia"/>
                      <w:szCs w:val="21"/>
                    </w:rPr>
                  </w:pPr>
                  <w:r>
                    <w:rPr>
                      <w:rFonts w:eastAsiaTheme="minorEastAsia"/>
                      <w:szCs w:val="21"/>
                    </w:rPr>
                    <w:t>POY卷绕机</w:t>
                  </w:r>
                </w:p>
              </w:tc>
              <w:tc>
                <w:tcPr>
                  <w:tcW w:w="2748" w:type="dxa"/>
                  <w:shd w:val="clear" w:color="auto" w:fill="auto"/>
                  <w:vAlign w:val="center"/>
                </w:tcPr>
                <w:p w14:paraId="371E49CA">
                  <w:pPr>
                    <w:widowControl/>
                    <w:adjustRightInd w:val="0"/>
                    <w:snapToGrid w:val="0"/>
                    <w:spacing w:line="0" w:lineRule="atLeast"/>
                    <w:jc w:val="center"/>
                    <w:rPr>
                      <w:rFonts w:eastAsiaTheme="minorEastAsia"/>
                      <w:kern w:val="0"/>
                      <w:szCs w:val="21"/>
                    </w:rPr>
                  </w:pPr>
                  <w:r>
                    <w:rPr>
                      <w:rFonts w:eastAsiaTheme="minorEastAsia"/>
                      <w:kern w:val="0"/>
                      <w:szCs w:val="21"/>
                    </w:rPr>
                    <w:t>/</w:t>
                  </w:r>
                </w:p>
              </w:tc>
              <w:tc>
                <w:tcPr>
                  <w:tcW w:w="530" w:type="dxa"/>
                  <w:shd w:val="clear" w:color="auto" w:fill="auto"/>
                  <w:vAlign w:val="center"/>
                </w:tcPr>
                <w:p w14:paraId="2001A3A0">
                  <w:pPr>
                    <w:jc w:val="center"/>
                    <w:rPr>
                      <w:rFonts w:eastAsiaTheme="minorEastAsia"/>
                      <w:szCs w:val="21"/>
                    </w:rPr>
                  </w:pPr>
                  <w:r>
                    <w:rPr>
                      <w:rFonts w:eastAsiaTheme="minorEastAsia"/>
                      <w:szCs w:val="21"/>
                    </w:rPr>
                    <w:t>台</w:t>
                  </w:r>
                </w:p>
              </w:tc>
              <w:tc>
                <w:tcPr>
                  <w:tcW w:w="1259" w:type="dxa"/>
                  <w:shd w:val="clear" w:color="auto" w:fill="auto"/>
                  <w:vAlign w:val="center"/>
                </w:tcPr>
                <w:p w14:paraId="79EEF169">
                  <w:pPr>
                    <w:jc w:val="center"/>
                    <w:rPr>
                      <w:rFonts w:eastAsiaTheme="minorEastAsia"/>
                      <w:szCs w:val="21"/>
                    </w:rPr>
                  </w:pPr>
                  <w:r>
                    <w:rPr>
                      <w:rFonts w:eastAsiaTheme="minorEastAsia"/>
                      <w:szCs w:val="21"/>
                    </w:rPr>
                    <w:t>352</w:t>
                  </w:r>
                </w:p>
              </w:tc>
              <w:tc>
                <w:tcPr>
                  <w:tcW w:w="672" w:type="dxa"/>
                  <w:vMerge w:val="continue"/>
                  <w:vAlign w:val="center"/>
                </w:tcPr>
                <w:p w14:paraId="12479405">
                  <w:pPr>
                    <w:jc w:val="center"/>
                    <w:rPr>
                      <w:rFonts w:eastAsiaTheme="minorEastAsia"/>
                      <w:szCs w:val="21"/>
                    </w:rPr>
                  </w:pPr>
                </w:p>
              </w:tc>
            </w:tr>
            <w:tr w14:paraId="75F8F8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2B1A772B">
                  <w:pPr>
                    <w:widowControl/>
                    <w:jc w:val="center"/>
                    <w:rPr>
                      <w:rFonts w:eastAsiaTheme="minorEastAsia"/>
                      <w:kern w:val="0"/>
                      <w:szCs w:val="21"/>
                    </w:rPr>
                  </w:pPr>
                  <w:r>
                    <w:rPr>
                      <w:rFonts w:eastAsiaTheme="minorEastAsia"/>
                      <w:kern w:val="0"/>
                      <w:szCs w:val="21"/>
                    </w:rPr>
                    <w:t>7</w:t>
                  </w:r>
                </w:p>
              </w:tc>
              <w:tc>
                <w:tcPr>
                  <w:tcW w:w="1924" w:type="dxa"/>
                  <w:shd w:val="clear" w:color="000000" w:fill="FFFFFF"/>
                  <w:vAlign w:val="center"/>
                </w:tcPr>
                <w:p w14:paraId="315A7527">
                  <w:pPr>
                    <w:widowControl/>
                    <w:jc w:val="center"/>
                    <w:rPr>
                      <w:rFonts w:eastAsiaTheme="minorEastAsia"/>
                      <w:kern w:val="0"/>
                      <w:szCs w:val="21"/>
                    </w:rPr>
                  </w:pPr>
                  <w:r>
                    <w:rPr>
                      <w:rFonts w:eastAsiaTheme="minorEastAsia"/>
                      <w:szCs w:val="21"/>
                    </w:rPr>
                    <w:t>纺丝成套生产线</w:t>
                  </w:r>
                </w:p>
              </w:tc>
              <w:tc>
                <w:tcPr>
                  <w:tcW w:w="2748" w:type="dxa"/>
                  <w:shd w:val="clear" w:color="000000" w:fill="FFFFFF"/>
                  <w:vAlign w:val="center"/>
                </w:tcPr>
                <w:p w14:paraId="764D2C69">
                  <w:pPr>
                    <w:widowControl/>
                    <w:jc w:val="center"/>
                    <w:rPr>
                      <w:rFonts w:eastAsiaTheme="minorEastAsia"/>
                      <w:kern w:val="0"/>
                      <w:szCs w:val="21"/>
                    </w:rPr>
                  </w:pPr>
                  <w:r>
                    <w:rPr>
                      <w:rFonts w:eastAsiaTheme="minorEastAsia"/>
                      <w:szCs w:val="21"/>
                    </w:rPr>
                    <w:t>POY纺丝设备（包含EVO）</w:t>
                  </w:r>
                </w:p>
              </w:tc>
              <w:tc>
                <w:tcPr>
                  <w:tcW w:w="530" w:type="dxa"/>
                  <w:shd w:val="clear" w:color="000000" w:fill="FFFFFF"/>
                  <w:vAlign w:val="center"/>
                </w:tcPr>
                <w:p w14:paraId="09ADB0C8">
                  <w:pPr>
                    <w:jc w:val="center"/>
                    <w:rPr>
                      <w:rFonts w:eastAsiaTheme="minorEastAsia"/>
                      <w:szCs w:val="21"/>
                    </w:rPr>
                  </w:pPr>
                  <w:r>
                    <w:rPr>
                      <w:rFonts w:eastAsiaTheme="minorEastAsia"/>
                      <w:szCs w:val="21"/>
                    </w:rPr>
                    <w:t>位</w:t>
                  </w:r>
                </w:p>
              </w:tc>
              <w:tc>
                <w:tcPr>
                  <w:tcW w:w="1259" w:type="dxa"/>
                  <w:shd w:val="clear" w:color="000000" w:fill="FFFFFF"/>
                  <w:vAlign w:val="center"/>
                </w:tcPr>
                <w:p w14:paraId="6763AD37">
                  <w:pPr>
                    <w:widowControl/>
                    <w:jc w:val="center"/>
                    <w:rPr>
                      <w:rFonts w:eastAsiaTheme="minorEastAsia"/>
                      <w:kern w:val="0"/>
                      <w:szCs w:val="21"/>
                    </w:rPr>
                  </w:pPr>
                  <w:r>
                    <w:rPr>
                      <w:rFonts w:eastAsiaTheme="minorEastAsia"/>
                      <w:szCs w:val="21"/>
                    </w:rPr>
                    <w:t>352</w:t>
                  </w:r>
                </w:p>
              </w:tc>
              <w:tc>
                <w:tcPr>
                  <w:tcW w:w="672" w:type="dxa"/>
                  <w:vMerge w:val="continue"/>
                  <w:shd w:val="clear" w:color="000000" w:fill="FFFFFF"/>
                  <w:vAlign w:val="center"/>
                </w:tcPr>
                <w:p w14:paraId="3DB269B0">
                  <w:pPr>
                    <w:widowControl/>
                    <w:jc w:val="center"/>
                    <w:rPr>
                      <w:rFonts w:eastAsiaTheme="minorEastAsia"/>
                      <w:szCs w:val="21"/>
                    </w:rPr>
                  </w:pPr>
                </w:p>
              </w:tc>
            </w:tr>
            <w:tr w14:paraId="792DA4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6B638CA3">
                  <w:pPr>
                    <w:widowControl/>
                    <w:jc w:val="center"/>
                    <w:rPr>
                      <w:rFonts w:eastAsiaTheme="minorEastAsia"/>
                      <w:kern w:val="0"/>
                      <w:szCs w:val="21"/>
                    </w:rPr>
                  </w:pPr>
                  <w:r>
                    <w:rPr>
                      <w:rFonts w:eastAsiaTheme="minorEastAsia"/>
                      <w:kern w:val="0"/>
                      <w:szCs w:val="21"/>
                    </w:rPr>
                    <w:t>8</w:t>
                  </w:r>
                </w:p>
              </w:tc>
              <w:tc>
                <w:tcPr>
                  <w:tcW w:w="1924" w:type="dxa"/>
                  <w:shd w:val="clear" w:color="000000" w:fill="FFFFFF"/>
                  <w:vAlign w:val="center"/>
                </w:tcPr>
                <w:p w14:paraId="65174691">
                  <w:pPr>
                    <w:jc w:val="center"/>
                    <w:rPr>
                      <w:rFonts w:eastAsiaTheme="minorEastAsia"/>
                      <w:szCs w:val="21"/>
                    </w:rPr>
                  </w:pPr>
                  <w:r>
                    <w:rPr>
                      <w:rFonts w:eastAsiaTheme="minorEastAsia"/>
                      <w:szCs w:val="21"/>
                    </w:rPr>
                    <w:t>纺丝成套生产线</w:t>
                  </w:r>
                </w:p>
              </w:tc>
              <w:tc>
                <w:tcPr>
                  <w:tcW w:w="2748" w:type="dxa"/>
                  <w:shd w:val="clear" w:color="000000" w:fill="FFFFFF"/>
                  <w:vAlign w:val="center"/>
                </w:tcPr>
                <w:p w14:paraId="48FB2488">
                  <w:pPr>
                    <w:jc w:val="center"/>
                    <w:rPr>
                      <w:rFonts w:eastAsiaTheme="minorEastAsia"/>
                      <w:szCs w:val="21"/>
                    </w:rPr>
                  </w:pPr>
                  <w:r>
                    <w:rPr>
                      <w:rFonts w:eastAsiaTheme="minorEastAsia"/>
                      <w:szCs w:val="21"/>
                    </w:rPr>
                    <w:t>FDY纺丝设备（包含EVO）</w:t>
                  </w:r>
                </w:p>
              </w:tc>
              <w:tc>
                <w:tcPr>
                  <w:tcW w:w="530" w:type="dxa"/>
                  <w:shd w:val="clear" w:color="000000" w:fill="FFFFFF"/>
                  <w:vAlign w:val="center"/>
                </w:tcPr>
                <w:p w14:paraId="65B558E9">
                  <w:pPr>
                    <w:jc w:val="center"/>
                    <w:rPr>
                      <w:rFonts w:eastAsiaTheme="minorEastAsia"/>
                      <w:szCs w:val="21"/>
                    </w:rPr>
                  </w:pPr>
                  <w:r>
                    <w:rPr>
                      <w:rFonts w:eastAsiaTheme="minorEastAsia"/>
                      <w:szCs w:val="21"/>
                    </w:rPr>
                    <w:t>位</w:t>
                  </w:r>
                </w:p>
              </w:tc>
              <w:tc>
                <w:tcPr>
                  <w:tcW w:w="1259" w:type="dxa"/>
                  <w:shd w:val="clear" w:color="000000" w:fill="FFFFFF"/>
                  <w:vAlign w:val="center"/>
                </w:tcPr>
                <w:p w14:paraId="7920C4DF">
                  <w:pPr>
                    <w:jc w:val="center"/>
                    <w:rPr>
                      <w:rFonts w:eastAsiaTheme="minorEastAsia"/>
                      <w:szCs w:val="21"/>
                    </w:rPr>
                  </w:pPr>
                  <w:r>
                    <w:rPr>
                      <w:rFonts w:eastAsiaTheme="minorEastAsia"/>
                      <w:szCs w:val="21"/>
                    </w:rPr>
                    <w:t>240</w:t>
                  </w:r>
                </w:p>
              </w:tc>
              <w:tc>
                <w:tcPr>
                  <w:tcW w:w="672" w:type="dxa"/>
                  <w:vMerge w:val="continue"/>
                  <w:shd w:val="clear" w:color="000000" w:fill="FFFFFF"/>
                  <w:vAlign w:val="center"/>
                </w:tcPr>
                <w:p w14:paraId="11804E69">
                  <w:pPr>
                    <w:jc w:val="center"/>
                    <w:rPr>
                      <w:rFonts w:eastAsiaTheme="minorEastAsia"/>
                      <w:szCs w:val="21"/>
                    </w:rPr>
                  </w:pPr>
                </w:p>
              </w:tc>
            </w:tr>
            <w:tr w14:paraId="6C12EC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67026A23">
                  <w:pPr>
                    <w:widowControl/>
                    <w:jc w:val="center"/>
                    <w:rPr>
                      <w:rFonts w:eastAsiaTheme="minorEastAsia"/>
                      <w:kern w:val="0"/>
                      <w:szCs w:val="21"/>
                    </w:rPr>
                  </w:pPr>
                  <w:r>
                    <w:rPr>
                      <w:rFonts w:eastAsiaTheme="minorEastAsia"/>
                      <w:kern w:val="0"/>
                      <w:szCs w:val="21"/>
                    </w:rPr>
                    <w:t>9</w:t>
                  </w:r>
                </w:p>
              </w:tc>
              <w:tc>
                <w:tcPr>
                  <w:tcW w:w="1924" w:type="dxa"/>
                  <w:shd w:val="clear" w:color="auto" w:fill="auto"/>
                  <w:vAlign w:val="center"/>
                </w:tcPr>
                <w:p w14:paraId="62AEA08C">
                  <w:pPr>
                    <w:jc w:val="center"/>
                    <w:rPr>
                      <w:rFonts w:eastAsiaTheme="minorEastAsia"/>
                      <w:szCs w:val="21"/>
                    </w:rPr>
                  </w:pPr>
                  <w:r>
                    <w:rPr>
                      <w:rFonts w:eastAsiaTheme="minorEastAsia"/>
                      <w:szCs w:val="21"/>
                    </w:rPr>
                    <w:t>风管送风式空调机组</w:t>
                  </w:r>
                </w:p>
              </w:tc>
              <w:tc>
                <w:tcPr>
                  <w:tcW w:w="2748" w:type="dxa"/>
                  <w:shd w:val="clear" w:color="auto" w:fill="auto"/>
                  <w:vAlign w:val="center"/>
                </w:tcPr>
                <w:p w14:paraId="605200E9">
                  <w:pPr>
                    <w:jc w:val="center"/>
                    <w:rPr>
                      <w:rFonts w:eastAsiaTheme="minorEastAsia"/>
                      <w:szCs w:val="21"/>
                    </w:rPr>
                  </w:pPr>
                  <w:r>
                    <w:rPr>
                      <w:rFonts w:eastAsiaTheme="minorEastAsia"/>
                      <w:szCs w:val="21"/>
                    </w:rPr>
                    <w:t>55万m</w:t>
                  </w:r>
                  <w:r>
                    <w:rPr>
                      <w:rFonts w:hint="eastAsia" w:eastAsiaTheme="minorEastAsia"/>
                      <w:szCs w:val="21"/>
                      <w:vertAlign w:val="superscript"/>
                    </w:rPr>
                    <w:t>3</w:t>
                  </w:r>
                  <w:r>
                    <w:rPr>
                      <w:rFonts w:eastAsiaTheme="minorEastAsia"/>
                      <w:szCs w:val="21"/>
                    </w:rPr>
                    <w:t>/h</w:t>
                  </w:r>
                </w:p>
              </w:tc>
              <w:tc>
                <w:tcPr>
                  <w:tcW w:w="530" w:type="dxa"/>
                  <w:shd w:val="clear" w:color="auto" w:fill="auto"/>
                  <w:vAlign w:val="center"/>
                </w:tcPr>
                <w:p w14:paraId="44F9D39E">
                  <w:pPr>
                    <w:jc w:val="center"/>
                    <w:rPr>
                      <w:rFonts w:eastAsiaTheme="minorEastAsia"/>
                      <w:szCs w:val="21"/>
                    </w:rPr>
                  </w:pPr>
                  <w:r>
                    <w:rPr>
                      <w:rFonts w:eastAsiaTheme="minorEastAsia"/>
                      <w:szCs w:val="21"/>
                    </w:rPr>
                    <w:t>台</w:t>
                  </w:r>
                </w:p>
              </w:tc>
              <w:tc>
                <w:tcPr>
                  <w:tcW w:w="1259" w:type="dxa"/>
                  <w:shd w:val="clear" w:color="auto" w:fill="auto"/>
                  <w:vAlign w:val="center"/>
                </w:tcPr>
                <w:p w14:paraId="3F384098">
                  <w:pPr>
                    <w:jc w:val="center"/>
                    <w:rPr>
                      <w:rFonts w:eastAsiaTheme="minorEastAsia"/>
                      <w:szCs w:val="21"/>
                    </w:rPr>
                  </w:pPr>
                  <w:r>
                    <w:rPr>
                      <w:rFonts w:eastAsiaTheme="minorEastAsia"/>
                      <w:szCs w:val="21"/>
                    </w:rPr>
                    <w:t>4</w:t>
                  </w:r>
                </w:p>
              </w:tc>
              <w:tc>
                <w:tcPr>
                  <w:tcW w:w="672" w:type="dxa"/>
                  <w:vMerge w:val="continue"/>
                  <w:vAlign w:val="center"/>
                </w:tcPr>
                <w:p w14:paraId="7F3A0B2F">
                  <w:pPr>
                    <w:jc w:val="center"/>
                    <w:rPr>
                      <w:rFonts w:eastAsiaTheme="minorEastAsia"/>
                      <w:szCs w:val="21"/>
                    </w:rPr>
                  </w:pPr>
                </w:p>
              </w:tc>
            </w:tr>
            <w:tr w14:paraId="2692F8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2CFA3AFB">
                  <w:pPr>
                    <w:widowControl/>
                    <w:jc w:val="center"/>
                    <w:rPr>
                      <w:rFonts w:eastAsiaTheme="minorEastAsia"/>
                      <w:kern w:val="0"/>
                      <w:szCs w:val="21"/>
                    </w:rPr>
                  </w:pPr>
                  <w:r>
                    <w:rPr>
                      <w:rFonts w:eastAsiaTheme="minorEastAsia"/>
                      <w:kern w:val="0"/>
                      <w:szCs w:val="21"/>
                    </w:rPr>
                    <w:t>10</w:t>
                  </w:r>
                </w:p>
              </w:tc>
              <w:tc>
                <w:tcPr>
                  <w:tcW w:w="1924" w:type="dxa"/>
                  <w:shd w:val="clear" w:color="auto" w:fill="auto"/>
                  <w:vAlign w:val="center"/>
                </w:tcPr>
                <w:p w14:paraId="16B58C9F">
                  <w:pPr>
                    <w:jc w:val="center"/>
                    <w:rPr>
                      <w:rFonts w:eastAsiaTheme="minorEastAsia"/>
                      <w:szCs w:val="21"/>
                    </w:rPr>
                  </w:pPr>
                  <w:r>
                    <w:rPr>
                      <w:rFonts w:eastAsiaTheme="minorEastAsia"/>
                      <w:szCs w:val="21"/>
                    </w:rPr>
                    <w:t>风管送风式空调机组</w:t>
                  </w:r>
                </w:p>
              </w:tc>
              <w:tc>
                <w:tcPr>
                  <w:tcW w:w="2748" w:type="dxa"/>
                  <w:shd w:val="clear" w:color="auto" w:fill="auto"/>
                  <w:vAlign w:val="center"/>
                </w:tcPr>
                <w:p w14:paraId="4DE076A5">
                  <w:pPr>
                    <w:jc w:val="center"/>
                    <w:rPr>
                      <w:rFonts w:eastAsiaTheme="minorEastAsia"/>
                      <w:szCs w:val="21"/>
                    </w:rPr>
                  </w:pPr>
                  <w:r>
                    <w:rPr>
                      <w:rFonts w:eastAsiaTheme="minorEastAsia"/>
                      <w:szCs w:val="21"/>
                    </w:rPr>
                    <w:t>8.5万m</w:t>
                  </w:r>
                  <w:r>
                    <w:rPr>
                      <w:rFonts w:hint="eastAsia" w:eastAsiaTheme="minorEastAsia"/>
                      <w:szCs w:val="21"/>
                      <w:vertAlign w:val="superscript"/>
                    </w:rPr>
                    <w:t>3</w:t>
                  </w:r>
                  <w:r>
                    <w:rPr>
                      <w:rFonts w:eastAsiaTheme="minorEastAsia"/>
                      <w:szCs w:val="21"/>
                    </w:rPr>
                    <w:t>/h（纺控+低配）</w:t>
                  </w:r>
                </w:p>
              </w:tc>
              <w:tc>
                <w:tcPr>
                  <w:tcW w:w="530" w:type="dxa"/>
                  <w:shd w:val="clear" w:color="auto" w:fill="auto"/>
                  <w:vAlign w:val="center"/>
                </w:tcPr>
                <w:p w14:paraId="37346B56">
                  <w:pPr>
                    <w:jc w:val="center"/>
                    <w:rPr>
                      <w:rFonts w:eastAsiaTheme="minorEastAsia"/>
                      <w:szCs w:val="21"/>
                    </w:rPr>
                  </w:pPr>
                  <w:r>
                    <w:rPr>
                      <w:rFonts w:eastAsiaTheme="minorEastAsia"/>
                      <w:szCs w:val="21"/>
                    </w:rPr>
                    <w:t>台</w:t>
                  </w:r>
                </w:p>
              </w:tc>
              <w:tc>
                <w:tcPr>
                  <w:tcW w:w="1259" w:type="dxa"/>
                  <w:shd w:val="clear" w:color="auto" w:fill="auto"/>
                  <w:vAlign w:val="center"/>
                </w:tcPr>
                <w:p w14:paraId="7106A273">
                  <w:pPr>
                    <w:jc w:val="center"/>
                    <w:rPr>
                      <w:rFonts w:eastAsiaTheme="minorEastAsia"/>
                      <w:szCs w:val="21"/>
                    </w:rPr>
                  </w:pPr>
                  <w:r>
                    <w:rPr>
                      <w:rFonts w:eastAsiaTheme="minorEastAsia"/>
                      <w:szCs w:val="21"/>
                    </w:rPr>
                    <w:t>1</w:t>
                  </w:r>
                </w:p>
              </w:tc>
              <w:tc>
                <w:tcPr>
                  <w:tcW w:w="672" w:type="dxa"/>
                  <w:vMerge w:val="continue"/>
                  <w:vAlign w:val="center"/>
                </w:tcPr>
                <w:p w14:paraId="00133DBB">
                  <w:pPr>
                    <w:jc w:val="center"/>
                    <w:rPr>
                      <w:rFonts w:eastAsiaTheme="minorEastAsia"/>
                      <w:szCs w:val="21"/>
                    </w:rPr>
                  </w:pPr>
                </w:p>
              </w:tc>
            </w:tr>
            <w:tr w14:paraId="3A9F2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6F4CC324">
                  <w:pPr>
                    <w:widowControl/>
                    <w:jc w:val="center"/>
                    <w:rPr>
                      <w:rFonts w:eastAsiaTheme="minorEastAsia"/>
                      <w:kern w:val="0"/>
                      <w:szCs w:val="21"/>
                    </w:rPr>
                  </w:pPr>
                  <w:r>
                    <w:rPr>
                      <w:rFonts w:eastAsiaTheme="minorEastAsia"/>
                      <w:kern w:val="0"/>
                      <w:szCs w:val="21"/>
                    </w:rPr>
                    <w:t>11</w:t>
                  </w:r>
                </w:p>
              </w:tc>
              <w:tc>
                <w:tcPr>
                  <w:tcW w:w="1924" w:type="dxa"/>
                  <w:shd w:val="clear" w:color="auto" w:fill="auto"/>
                  <w:vAlign w:val="center"/>
                </w:tcPr>
                <w:p w14:paraId="6EE7311D">
                  <w:pPr>
                    <w:jc w:val="center"/>
                    <w:rPr>
                      <w:rFonts w:eastAsiaTheme="minorEastAsia"/>
                      <w:szCs w:val="21"/>
                    </w:rPr>
                  </w:pPr>
                  <w:r>
                    <w:rPr>
                      <w:rFonts w:eastAsiaTheme="minorEastAsia"/>
                      <w:szCs w:val="21"/>
                    </w:rPr>
                    <w:t>风管送风式空调机组</w:t>
                  </w:r>
                </w:p>
              </w:tc>
              <w:tc>
                <w:tcPr>
                  <w:tcW w:w="2748" w:type="dxa"/>
                  <w:shd w:val="clear" w:color="auto" w:fill="auto"/>
                  <w:vAlign w:val="center"/>
                </w:tcPr>
                <w:p w14:paraId="36541B40">
                  <w:pPr>
                    <w:jc w:val="center"/>
                    <w:rPr>
                      <w:rFonts w:eastAsiaTheme="minorEastAsia"/>
                      <w:szCs w:val="21"/>
                    </w:rPr>
                  </w:pPr>
                  <w:r>
                    <w:rPr>
                      <w:rFonts w:eastAsiaTheme="minorEastAsia"/>
                      <w:szCs w:val="21"/>
                    </w:rPr>
                    <w:t>14万m</w:t>
                  </w:r>
                  <w:r>
                    <w:rPr>
                      <w:rFonts w:hint="eastAsia" w:eastAsiaTheme="minorEastAsia"/>
                      <w:szCs w:val="21"/>
                      <w:vertAlign w:val="superscript"/>
                    </w:rPr>
                    <w:t>3</w:t>
                  </w:r>
                  <w:r>
                    <w:rPr>
                      <w:rFonts w:eastAsiaTheme="minorEastAsia"/>
                      <w:szCs w:val="21"/>
                    </w:rPr>
                    <w:t>/h（外检+卷绕电器柜）</w:t>
                  </w:r>
                </w:p>
              </w:tc>
              <w:tc>
                <w:tcPr>
                  <w:tcW w:w="530" w:type="dxa"/>
                  <w:shd w:val="clear" w:color="auto" w:fill="auto"/>
                  <w:vAlign w:val="center"/>
                </w:tcPr>
                <w:p w14:paraId="53A62783">
                  <w:pPr>
                    <w:jc w:val="center"/>
                    <w:rPr>
                      <w:rFonts w:eastAsiaTheme="minorEastAsia"/>
                      <w:szCs w:val="21"/>
                    </w:rPr>
                  </w:pPr>
                  <w:r>
                    <w:rPr>
                      <w:rFonts w:eastAsiaTheme="minorEastAsia"/>
                      <w:szCs w:val="21"/>
                    </w:rPr>
                    <w:t>台</w:t>
                  </w:r>
                </w:p>
              </w:tc>
              <w:tc>
                <w:tcPr>
                  <w:tcW w:w="1259" w:type="dxa"/>
                  <w:shd w:val="clear" w:color="auto" w:fill="auto"/>
                  <w:vAlign w:val="center"/>
                </w:tcPr>
                <w:p w14:paraId="2846AE73">
                  <w:pPr>
                    <w:jc w:val="center"/>
                    <w:rPr>
                      <w:rFonts w:eastAsiaTheme="minorEastAsia"/>
                      <w:szCs w:val="21"/>
                    </w:rPr>
                  </w:pPr>
                  <w:r>
                    <w:rPr>
                      <w:rFonts w:eastAsiaTheme="minorEastAsia"/>
                      <w:szCs w:val="21"/>
                    </w:rPr>
                    <w:t>1</w:t>
                  </w:r>
                </w:p>
              </w:tc>
              <w:tc>
                <w:tcPr>
                  <w:tcW w:w="672" w:type="dxa"/>
                  <w:vMerge w:val="continue"/>
                  <w:vAlign w:val="center"/>
                </w:tcPr>
                <w:p w14:paraId="1DD01493">
                  <w:pPr>
                    <w:jc w:val="center"/>
                    <w:rPr>
                      <w:rFonts w:eastAsiaTheme="minorEastAsia"/>
                      <w:szCs w:val="21"/>
                    </w:rPr>
                  </w:pPr>
                </w:p>
              </w:tc>
            </w:tr>
            <w:tr w14:paraId="29A50D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07ACB18C">
                  <w:pPr>
                    <w:widowControl/>
                    <w:jc w:val="center"/>
                    <w:rPr>
                      <w:rFonts w:eastAsiaTheme="minorEastAsia"/>
                      <w:kern w:val="0"/>
                      <w:szCs w:val="21"/>
                    </w:rPr>
                  </w:pPr>
                  <w:r>
                    <w:rPr>
                      <w:rFonts w:eastAsiaTheme="minorEastAsia"/>
                      <w:kern w:val="0"/>
                      <w:szCs w:val="21"/>
                    </w:rPr>
                    <w:t>12</w:t>
                  </w:r>
                </w:p>
              </w:tc>
              <w:tc>
                <w:tcPr>
                  <w:tcW w:w="1924" w:type="dxa"/>
                  <w:shd w:val="clear" w:color="auto" w:fill="auto"/>
                  <w:vAlign w:val="center"/>
                </w:tcPr>
                <w:p w14:paraId="0723F173">
                  <w:pPr>
                    <w:jc w:val="center"/>
                    <w:rPr>
                      <w:rFonts w:eastAsiaTheme="minorEastAsia"/>
                      <w:szCs w:val="21"/>
                    </w:rPr>
                  </w:pPr>
                  <w:r>
                    <w:rPr>
                      <w:rFonts w:eastAsiaTheme="minorEastAsia"/>
                      <w:szCs w:val="21"/>
                    </w:rPr>
                    <w:t>EVO超声波清洗机</w:t>
                  </w:r>
                </w:p>
              </w:tc>
              <w:tc>
                <w:tcPr>
                  <w:tcW w:w="2748" w:type="dxa"/>
                  <w:shd w:val="clear" w:color="auto" w:fill="auto"/>
                  <w:vAlign w:val="center"/>
                </w:tcPr>
                <w:p w14:paraId="08F274FD">
                  <w:pPr>
                    <w:jc w:val="center"/>
                    <w:rPr>
                      <w:rFonts w:eastAsiaTheme="minorEastAsia"/>
                      <w:szCs w:val="21"/>
                    </w:rPr>
                  </w:pPr>
                  <w:r>
                    <w:rPr>
                      <w:rFonts w:eastAsiaTheme="minorEastAsia"/>
                      <w:szCs w:val="21"/>
                    </w:rPr>
                    <w:t>NF25-9600（蒸汽加热）9.0kW</w:t>
                  </w:r>
                </w:p>
              </w:tc>
              <w:tc>
                <w:tcPr>
                  <w:tcW w:w="530" w:type="dxa"/>
                  <w:shd w:val="clear" w:color="auto" w:fill="auto"/>
                  <w:vAlign w:val="center"/>
                </w:tcPr>
                <w:p w14:paraId="587EC7D4">
                  <w:pPr>
                    <w:jc w:val="center"/>
                    <w:rPr>
                      <w:rFonts w:eastAsiaTheme="minorEastAsia"/>
                      <w:szCs w:val="21"/>
                    </w:rPr>
                  </w:pPr>
                  <w:r>
                    <w:rPr>
                      <w:rFonts w:eastAsiaTheme="minorEastAsia"/>
                      <w:szCs w:val="21"/>
                    </w:rPr>
                    <w:t>台</w:t>
                  </w:r>
                </w:p>
              </w:tc>
              <w:tc>
                <w:tcPr>
                  <w:tcW w:w="1259" w:type="dxa"/>
                  <w:shd w:val="clear" w:color="auto" w:fill="auto"/>
                  <w:vAlign w:val="center"/>
                </w:tcPr>
                <w:p w14:paraId="12C4F985">
                  <w:pPr>
                    <w:jc w:val="center"/>
                    <w:rPr>
                      <w:rFonts w:eastAsiaTheme="minorEastAsia"/>
                      <w:szCs w:val="21"/>
                    </w:rPr>
                  </w:pPr>
                  <w:r>
                    <w:rPr>
                      <w:rFonts w:eastAsiaTheme="minorEastAsia"/>
                      <w:szCs w:val="21"/>
                    </w:rPr>
                    <w:t>9</w:t>
                  </w:r>
                </w:p>
              </w:tc>
              <w:tc>
                <w:tcPr>
                  <w:tcW w:w="672" w:type="dxa"/>
                  <w:vMerge w:val="continue"/>
                  <w:vAlign w:val="center"/>
                </w:tcPr>
                <w:p w14:paraId="33015597">
                  <w:pPr>
                    <w:jc w:val="center"/>
                    <w:rPr>
                      <w:rFonts w:eastAsiaTheme="minorEastAsia"/>
                      <w:szCs w:val="21"/>
                    </w:rPr>
                  </w:pPr>
                </w:p>
              </w:tc>
            </w:tr>
            <w:tr w14:paraId="708E1E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3BF84BF9">
                  <w:pPr>
                    <w:widowControl/>
                    <w:jc w:val="center"/>
                    <w:rPr>
                      <w:rFonts w:eastAsiaTheme="minorEastAsia"/>
                      <w:kern w:val="0"/>
                      <w:szCs w:val="21"/>
                    </w:rPr>
                  </w:pPr>
                  <w:r>
                    <w:rPr>
                      <w:rFonts w:eastAsiaTheme="minorEastAsia"/>
                      <w:kern w:val="0"/>
                      <w:szCs w:val="21"/>
                    </w:rPr>
                    <w:t>13</w:t>
                  </w:r>
                </w:p>
              </w:tc>
              <w:tc>
                <w:tcPr>
                  <w:tcW w:w="1924" w:type="dxa"/>
                  <w:shd w:val="clear" w:color="auto" w:fill="auto"/>
                  <w:vAlign w:val="center"/>
                </w:tcPr>
                <w:p w14:paraId="3F875F42">
                  <w:pPr>
                    <w:jc w:val="center"/>
                    <w:rPr>
                      <w:rFonts w:eastAsiaTheme="minorEastAsia"/>
                      <w:szCs w:val="21"/>
                    </w:rPr>
                  </w:pPr>
                  <w:r>
                    <w:rPr>
                      <w:rFonts w:eastAsiaTheme="minorEastAsia"/>
                      <w:szCs w:val="21"/>
                    </w:rPr>
                    <w:t>抽屉式组件预热炉</w:t>
                  </w:r>
                </w:p>
              </w:tc>
              <w:tc>
                <w:tcPr>
                  <w:tcW w:w="2748" w:type="dxa"/>
                  <w:shd w:val="clear" w:color="auto" w:fill="auto"/>
                  <w:vAlign w:val="center"/>
                </w:tcPr>
                <w:p w14:paraId="475E2B9C">
                  <w:pPr>
                    <w:jc w:val="center"/>
                    <w:rPr>
                      <w:rFonts w:eastAsiaTheme="minorEastAsia"/>
                      <w:szCs w:val="21"/>
                    </w:rPr>
                  </w:pPr>
                  <w:r>
                    <w:rPr>
                      <w:rFonts w:eastAsiaTheme="minorEastAsia"/>
                      <w:szCs w:val="21"/>
                    </w:rPr>
                    <w:t>L3270×W950×H1170 定制</w:t>
                  </w:r>
                </w:p>
              </w:tc>
              <w:tc>
                <w:tcPr>
                  <w:tcW w:w="530" w:type="dxa"/>
                  <w:shd w:val="clear" w:color="auto" w:fill="auto"/>
                  <w:vAlign w:val="center"/>
                </w:tcPr>
                <w:p w14:paraId="02BBE833">
                  <w:pPr>
                    <w:jc w:val="center"/>
                    <w:rPr>
                      <w:rFonts w:eastAsiaTheme="minorEastAsia"/>
                      <w:szCs w:val="21"/>
                    </w:rPr>
                  </w:pPr>
                  <w:r>
                    <w:rPr>
                      <w:rFonts w:eastAsiaTheme="minorEastAsia"/>
                      <w:szCs w:val="21"/>
                    </w:rPr>
                    <w:t>台</w:t>
                  </w:r>
                </w:p>
              </w:tc>
              <w:tc>
                <w:tcPr>
                  <w:tcW w:w="1259" w:type="dxa"/>
                  <w:shd w:val="clear" w:color="auto" w:fill="auto"/>
                  <w:vAlign w:val="center"/>
                </w:tcPr>
                <w:p w14:paraId="7DC7AEE9">
                  <w:pPr>
                    <w:jc w:val="center"/>
                    <w:rPr>
                      <w:rFonts w:eastAsiaTheme="minorEastAsia"/>
                      <w:szCs w:val="21"/>
                    </w:rPr>
                  </w:pPr>
                  <w:r>
                    <w:rPr>
                      <w:rFonts w:eastAsiaTheme="minorEastAsia"/>
                      <w:szCs w:val="21"/>
                    </w:rPr>
                    <w:t>20</w:t>
                  </w:r>
                </w:p>
              </w:tc>
              <w:tc>
                <w:tcPr>
                  <w:tcW w:w="672" w:type="dxa"/>
                  <w:vMerge w:val="continue"/>
                  <w:vAlign w:val="center"/>
                </w:tcPr>
                <w:p w14:paraId="342553A5">
                  <w:pPr>
                    <w:jc w:val="center"/>
                    <w:rPr>
                      <w:rFonts w:eastAsiaTheme="minorEastAsia"/>
                      <w:szCs w:val="21"/>
                    </w:rPr>
                  </w:pPr>
                </w:p>
              </w:tc>
            </w:tr>
            <w:tr w14:paraId="21A31B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172D51E8">
                  <w:pPr>
                    <w:widowControl/>
                    <w:jc w:val="center"/>
                    <w:rPr>
                      <w:rFonts w:eastAsiaTheme="minorEastAsia"/>
                      <w:kern w:val="0"/>
                      <w:szCs w:val="21"/>
                    </w:rPr>
                  </w:pPr>
                  <w:r>
                    <w:rPr>
                      <w:rFonts w:eastAsiaTheme="minorEastAsia"/>
                      <w:kern w:val="0"/>
                      <w:szCs w:val="21"/>
                    </w:rPr>
                    <w:t>14</w:t>
                  </w:r>
                </w:p>
              </w:tc>
              <w:tc>
                <w:tcPr>
                  <w:tcW w:w="1924" w:type="dxa"/>
                  <w:shd w:val="clear" w:color="auto" w:fill="auto"/>
                  <w:vAlign w:val="center"/>
                </w:tcPr>
                <w:p w14:paraId="40ABF458">
                  <w:pPr>
                    <w:jc w:val="center"/>
                    <w:rPr>
                      <w:rFonts w:eastAsiaTheme="minorEastAsia"/>
                      <w:szCs w:val="21"/>
                    </w:rPr>
                  </w:pPr>
                  <w:r>
                    <w:rPr>
                      <w:rFonts w:eastAsiaTheme="minorEastAsia"/>
                      <w:szCs w:val="21"/>
                    </w:rPr>
                    <w:t>卧式真空清洗炉</w:t>
                  </w:r>
                </w:p>
              </w:tc>
              <w:tc>
                <w:tcPr>
                  <w:tcW w:w="2748" w:type="dxa"/>
                  <w:shd w:val="clear" w:color="auto" w:fill="auto"/>
                  <w:vAlign w:val="center"/>
                </w:tcPr>
                <w:p w14:paraId="1FC99D40">
                  <w:pPr>
                    <w:jc w:val="center"/>
                    <w:rPr>
                      <w:rFonts w:eastAsiaTheme="minorEastAsia"/>
                      <w:szCs w:val="21"/>
                    </w:rPr>
                  </w:pPr>
                  <w:r>
                    <w:rPr>
                      <w:rFonts w:eastAsiaTheme="minorEastAsia"/>
                      <w:szCs w:val="21"/>
                    </w:rPr>
                    <w:t>L3200×W2300×H2160 定制</w:t>
                  </w:r>
                </w:p>
              </w:tc>
              <w:tc>
                <w:tcPr>
                  <w:tcW w:w="530" w:type="dxa"/>
                  <w:shd w:val="clear" w:color="auto" w:fill="auto"/>
                  <w:vAlign w:val="center"/>
                </w:tcPr>
                <w:p w14:paraId="14A26C74">
                  <w:pPr>
                    <w:jc w:val="center"/>
                    <w:rPr>
                      <w:rFonts w:eastAsiaTheme="minorEastAsia"/>
                      <w:szCs w:val="21"/>
                    </w:rPr>
                  </w:pPr>
                  <w:r>
                    <w:rPr>
                      <w:rFonts w:eastAsiaTheme="minorEastAsia"/>
                      <w:szCs w:val="21"/>
                    </w:rPr>
                    <w:t>台</w:t>
                  </w:r>
                </w:p>
              </w:tc>
              <w:tc>
                <w:tcPr>
                  <w:tcW w:w="1259" w:type="dxa"/>
                  <w:shd w:val="clear" w:color="auto" w:fill="auto"/>
                  <w:vAlign w:val="center"/>
                </w:tcPr>
                <w:p w14:paraId="36276D91">
                  <w:pPr>
                    <w:jc w:val="center"/>
                    <w:rPr>
                      <w:rFonts w:eastAsiaTheme="minorEastAsia"/>
                      <w:szCs w:val="21"/>
                    </w:rPr>
                  </w:pPr>
                  <w:r>
                    <w:rPr>
                      <w:rFonts w:eastAsiaTheme="minorEastAsia"/>
                      <w:szCs w:val="21"/>
                    </w:rPr>
                    <w:t>11</w:t>
                  </w:r>
                </w:p>
              </w:tc>
              <w:tc>
                <w:tcPr>
                  <w:tcW w:w="672" w:type="dxa"/>
                  <w:vMerge w:val="continue"/>
                  <w:vAlign w:val="center"/>
                </w:tcPr>
                <w:p w14:paraId="1D888602">
                  <w:pPr>
                    <w:jc w:val="center"/>
                    <w:rPr>
                      <w:rFonts w:eastAsiaTheme="minorEastAsia"/>
                      <w:szCs w:val="21"/>
                    </w:rPr>
                  </w:pPr>
                </w:p>
              </w:tc>
            </w:tr>
            <w:tr w14:paraId="683095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096F9126">
                  <w:pPr>
                    <w:widowControl/>
                    <w:jc w:val="center"/>
                    <w:rPr>
                      <w:rFonts w:eastAsiaTheme="minorEastAsia"/>
                      <w:kern w:val="0"/>
                      <w:szCs w:val="21"/>
                    </w:rPr>
                  </w:pPr>
                  <w:r>
                    <w:rPr>
                      <w:rFonts w:eastAsiaTheme="minorEastAsia"/>
                      <w:kern w:val="0"/>
                      <w:szCs w:val="21"/>
                    </w:rPr>
                    <w:t>15</w:t>
                  </w:r>
                </w:p>
              </w:tc>
              <w:tc>
                <w:tcPr>
                  <w:tcW w:w="1924" w:type="dxa"/>
                  <w:shd w:val="clear" w:color="auto" w:fill="auto"/>
                  <w:vAlign w:val="center"/>
                </w:tcPr>
                <w:p w14:paraId="18201F52">
                  <w:pPr>
                    <w:jc w:val="center"/>
                    <w:rPr>
                      <w:rFonts w:eastAsiaTheme="minorEastAsia"/>
                      <w:szCs w:val="21"/>
                    </w:rPr>
                  </w:pPr>
                  <w:r>
                    <w:rPr>
                      <w:rFonts w:eastAsiaTheme="minorEastAsia"/>
                      <w:szCs w:val="21"/>
                    </w:rPr>
                    <w:t>水解炉</w:t>
                  </w:r>
                </w:p>
              </w:tc>
              <w:tc>
                <w:tcPr>
                  <w:tcW w:w="2748" w:type="dxa"/>
                  <w:shd w:val="clear" w:color="auto" w:fill="auto"/>
                  <w:vAlign w:val="center"/>
                </w:tcPr>
                <w:p w14:paraId="235E4F54">
                  <w:pPr>
                    <w:jc w:val="center"/>
                    <w:rPr>
                      <w:rFonts w:eastAsiaTheme="minorEastAsia"/>
                      <w:szCs w:val="21"/>
                    </w:rPr>
                  </w:pPr>
                  <w:r>
                    <w:rPr>
                      <w:rFonts w:eastAsiaTheme="minorEastAsia"/>
                      <w:szCs w:val="21"/>
                    </w:rPr>
                    <w:t>碱水解炉\L1750*12502 定制</w:t>
                  </w:r>
                </w:p>
              </w:tc>
              <w:tc>
                <w:tcPr>
                  <w:tcW w:w="530" w:type="dxa"/>
                  <w:shd w:val="clear" w:color="auto" w:fill="auto"/>
                  <w:vAlign w:val="center"/>
                </w:tcPr>
                <w:p w14:paraId="74160861">
                  <w:pPr>
                    <w:jc w:val="center"/>
                    <w:rPr>
                      <w:rFonts w:eastAsiaTheme="minorEastAsia"/>
                      <w:szCs w:val="21"/>
                    </w:rPr>
                  </w:pPr>
                  <w:r>
                    <w:rPr>
                      <w:rFonts w:eastAsiaTheme="minorEastAsia"/>
                      <w:szCs w:val="21"/>
                    </w:rPr>
                    <w:t>台</w:t>
                  </w:r>
                </w:p>
              </w:tc>
              <w:tc>
                <w:tcPr>
                  <w:tcW w:w="1259" w:type="dxa"/>
                  <w:shd w:val="clear" w:color="auto" w:fill="auto"/>
                  <w:vAlign w:val="center"/>
                </w:tcPr>
                <w:p w14:paraId="0C4C5A4B">
                  <w:pPr>
                    <w:jc w:val="center"/>
                    <w:rPr>
                      <w:rFonts w:eastAsiaTheme="minorEastAsia"/>
                      <w:szCs w:val="21"/>
                    </w:rPr>
                  </w:pPr>
                  <w:r>
                    <w:rPr>
                      <w:rFonts w:eastAsiaTheme="minorEastAsia"/>
                      <w:szCs w:val="21"/>
                    </w:rPr>
                    <w:t>3</w:t>
                  </w:r>
                </w:p>
              </w:tc>
              <w:tc>
                <w:tcPr>
                  <w:tcW w:w="672" w:type="dxa"/>
                  <w:vMerge w:val="continue"/>
                  <w:vAlign w:val="center"/>
                </w:tcPr>
                <w:p w14:paraId="636E31A3">
                  <w:pPr>
                    <w:jc w:val="center"/>
                    <w:rPr>
                      <w:rFonts w:eastAsiaTheme="minorEastAsia"/>
                      <w:szCs w:val="21"/>
                    </w:rPr>
                  </w:pPr>
                </w:p>
              </w:tc>
            </w:tr>
            <w:tr w14:paraId="20F801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2AF0FB20">
                  <w:pPr>
                    <w:widowControl/>
                    <w:jc w:val="center"/>
                    <w:rPr>
                      <w:rFonts w:eastAsiaTheme="minorEastAsia"/>
                      <w:kern w:val="0"/>
                      <w:szCs w:val="21"/>
                    </w:rPr>
                  </w:pPr>
                  <w:r>
                    <w:rPr>
                      <w:rFonts w:eastAsiaTheme="minorEastAsia"/>
                      <w:kern w:val="0"/>
                      <w:szCs w:val="21"/>
                    </w:rPr>
                    <w:t>16</w:t>
                  </w:r>
                </w:p>
              </w:tc>
              <w:tc>
                <w:tcPr>
                  <w:tcW w:w="1924" w:type="dxa"/>
                  <w:shd w:val="clear" w:color="auto" w:fill="auto"/>
                  <w:vAlign w:val="center"/>
                </w:tcPr>
                <w:p w14:paraId="79DEBFEE">
                  <w:pPr>
                    <w:jc w:val="center"/>
                    <w:rPr>
                      <w:rFonts w:eastAsiaTheme="minorEastAsia"/>
                      <w:szCs w:val="21"/>
                    </w:rPr>
                  </w:pPr>
                  <w:r>
                    <w:rPr>
                      <w:rFonts w:eastAsiaTheme="minorEastAsia"/>
                      <w:szCs w:val="21"/>
                    </w:rPr>
                    <w:t>碱、水洗槽</w:t>
                  </w:r>
                </w:p>
              </w:tc>
              <w:tc>
                <w:tcPr>
                  <w:tcW w:w="2748" w:type="dxa"/>
                  <w:shd w:val="clear" w:color="auto" w:fill="auto"/>
                  <w:vAlign w:val="center"/>
                </w:tcPr>
                <w:p w14:paraId="71760E56">
                  <w:pPr>
                    <w:jc w:val="center"/>
                    <w:rPr>
                      <w:rFonts w:eastAsiaTheme="minorEastAsia"/>
                      <w:szCs w:val="21"/>
                    </w:rPr>
                  </w:pPr>
                  <w:r>
                    <w:rPr>
                      <w:rFonts w:eastAsiaTheme="minorEastAsia"/>
                      <w:szCs w:val="21"/>
                    </w:rPr>
                    <w:t>L1750×Φ1250 定制</w:t>
                  </w:r>
                </w:p>
              </w:tc>
              <w:tc>
                <w:tcPr>
                  <w:tcW w:w="530" w:type="dxa"/>
                  <w:shd w:val="clear" w:color="auto" w:fill="auto"/>
                  <w:vAlign w:val="center"/>
                </w:tcPr>
                <w:p w14:paraId="5910E344">
                  <w:pPr>
                    <w:jc w:val="center"/>
                    <w:rPr>
                      <w:rFonts w:eastAsiaTheme="minorEastAsia"/>
                      <w:szCs w:val="21"/>
                    </w:rPr>
                  </w:pPr>
                  <w:r>
                    <w:rPr>
                      <w:rFonts w:eastAsiaTheme="minorEastAsia"/>
                      <w:szCs w:val="21"/>
                    </w:rPr>
                    <w:t>台</w:t>
                  </w:r>
                </w:p>
              </w:tc>
              <w:tc>
                <w:tcPr>
                  <w:tcW w:w="1259" w:type="dxa"/>
                  <w:shd w:val="clear" w:color="auto" w:fill="auto"/>
                  <w:vAlign w:val="center"/>
                </w:tcPr>
                <w:p w14:paraId="77EB8270">
                  <w:pPr>
                    <w:jc w:val="center"/>
                    <w:rPr>
                      <w:rFonts w:eastAsiaTheme="minorEastAsia"/>
                      <w:szCs w:val="21"/>
                    </w:rPr>
                  </w:pPr>
                  <w:r>
                    <w:rPr>
                      <w:rFonts w:eastAsiaTheme="minorEastAsia"/>
                      <w:szCs w:val="21"/>
                    </w:rPr>
                    <w:t>8</w:t>
                  </w:r>
                </w:p>
              </w:tc>
              <w:tc>
                <w:tcPr>
                  <w:tcW w:w="672" w:type="dxa"/>
                  <w:vMerge w:val="continue"/>
                  <w:vAlign w:val="center"/>
                </w:tcPr>
                <w:p w14:paraId="3CA82D2F">
                  <w:pPr>
                    <w:jc w:val="center"/>
                    <w:rPr>
                      <w:rFonts w:eastAsiaTheme="minorEastAsia"/>
                      <w:szCs w:val="21"/>
                    </w:rPr>
                  </w:pPr>
                </w:p>
              </w:tc>
            </w:tr>
            <w:tr w14:paraId="7B4453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80" w:type="dxa"/>
                  <w:vAlign w:val="center"/>
                </w:tcPr>
                <w:p w14:paraId="6562D8D9">
                  <w:pPr>
                    <w:widowControl/>
                    <w:jc w:val="center"/>
                    <w:rPr>
                      <w:rFonts w:eastAsiaTheme="minorEastAsia"/>
                      <w:kern w:val="0"/>
                      <w:szCs w:val="21"/>
                    </w:rPr>
                  </w:pPr>
                  <w:r>
                    <w:rPr>
                      <w:rFonts w:eastAsiaTheme="minorEastAsia"/>
                      <w:kern w:val="0"/>
                      <w:szCs w:val="21"/>
                    </w:rPr>
                    <w:t>17</w:t>
                  </w:r>
                </w:p>
              </w:tc>
              <w:tc>
                <w:tcPr>
                  <w:tcW w:w="1924" w:type="dxa"/>
                  <w:shd w:val="clear" w:color="auto" w:fill="auto"/>
                  <w:vAlign w:val="center"/>
                </w:tcPr>
                <w:p w14:paraId="1C25DD7E">
                  <w:pPr>
                    <w:jc w:val="center"/>
                    <w:rPr>
                      <w:rFonts w:eastAsiaTheme="minorEastAsia"/>
                      <w:szCs w:val="21"/>
                    </w:rPr>
                  </w:pPr>
                  <w:r>
                    <w:rPr>
                      <w:rFonts w:eastAsiaTheme="minorEastAsia"/>
                      <w:szCs w:val="21"/>
                    </w:rPr>
                    <w:t>镜检仪</w:t>
                  </w:r>
                </w:p>
              </w:tc>
              <w:tc>
                <w:tcPr>
                  <w:tcW w:w="2748" w:type="dxa"/>
                  <w:shd w:val="clear" w:color="auto" w:fill="auto"/>
                  <w:vAlign w:val="center"/>
                </w:tcPr>
                <w:p w14:paraId="73AEEA62">
                  <w:pPr>
                    <w:jc w:val="center"/>
                    <w:rPr>
                      <w:rFonts w:eastAsiaTheme="minorEastAsia"/>
                      <w:szCs w:val="21"/>
                    </w:rPr>
                  </w:pPr>
                  <w:r>
                    <w:rPr>
                      <w:rFonts w:eastAsiaTheme="minorEastAsia"/>
                      <w:szCs w:val="21"/>
                    </w:rPr>
                    <w:t>南京提升 XRSP-2021</w:t>
                  </w:r>
                </w:p>
              </w:tc>
              <w:tc>
                <w:tcPr>
                  <w:tcW w:w="530" w:type="dxa"/>
                  <w:shd w:val="clear" w:color="auto" w:fill="auto"/>
                  <w:vAlign w:val="center"/>
                </w:tcPr>
                <w:p w14:paraId="1862B9F9">
                  <w:pPr>
                    <w:jc w:val="center"/>
                    <w:rPr>
                      <w:rFonts w:eastAsiaTheme="minorEastAsia"/>
                      <w:szCs w:val="21"/>
                    </w:rPr>
                  </w:pPr>
                  <w:r>
                    <w:rPr>
                      <w:rFonts w:eastAsiaTheme="minorEastAsia"/>
                      <w:szCs w:val="21"/>
                    </w:rPr>
                    <w:t>台</w:t>
                  </w:r>
                </w:p>
              </w:tc>
              <w:tc>
                <w:tcPr>
                  <w:tcW w:w="1259" w:type="dxa"/>
                  <w:shd w:val="clear" w:color="auto" w:fill="auto"/>
                  <w:vAlign w:val="center"/>
                </w:tcPr>
                <w:p w14:paraId="1E854F6A">
                  <w:pPr>
                    <w:jc w:val="center"/>
                    <w:rPr>
                      <w:rFonts w:eastAsiaTheme="minorEastAsia"/>
                      <w:szCs w:val="21"/>
                    </w:rPr>
                  </w:pPr>
                  <w:r>
                    <w:rPr>
                      <w:rFonts w:eastAsiaTheme="minorEastAsia"/>
                      <w:szCs w:val="21"/>
                    </w:rPr>
                    <w:t>9</w:t>
                  </w:r>
                </w:p>
              </w:tc>
              <w:tc>
                <w:tcPr>
                  <w:tcW w:w="672" w:type="dxa"/>
                  <w:vMerge w:val="continue"/>
                  <w:vAlign w:val="center"/>
                </w:tcPr>
                <w:p w14:paraId="7AFC4AE6">
                  <w:pPr>
                    <w:jc w:val="center"/>
                    <w:rPr>
                      <w:rFonts w:eastAsiaTheme="minorEastAsia"/>
                      <w:szCs w:val="21"/>
                    </w:rPr>
                  </w:pPr>
                </w:p>
              </w:tc>
            </w:tr>
            <w:tr w14:paraId="36618E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074BCABB">
                  <w:pPr>
                    <w:widowControl/>
                    <w:jc w:val="center"/>
                    <w:rPr>
                      <w:rFonts w:eastAsiaTheme="minorEastAsia"/>
                      <w:kern w:val="0"/>
                      <w:szCs w:val="21"/>
                    </w:rPr>
                  </w:pPr>
                  <w:r>
                    <w:rPr>
                      <w:rFonts w:eastAsiaTheme="minorEastAsia"/>
                      <w:kern w:val="0"/>
                      <w:szCs w:val="21"/>
                    </w:rPr>
                    <w:t>18</w:t>
                  </w:r>
                </w:p>
              </w:tc>
              <w:tc>
                <w:tcPr>
                  <w:tcW w:w="1924" w:type="dxa"/>
                  <w:shd w:val="clear" w:color="auto" w:fill="auto"/>
                  <w:vAlign w:val="center"/>
                </w:tcPr>
                <w:p w14:paraId="01AD0D2D">
                  <w:pPr>
                    <w:jc w:val="center"/>
                    <w:rPr>
                      <w:rFonts w:eastAsiaTheme="minorEastAsia"/>
                      <w:szCs w:val="21"/>
                    </w:rPr>
                  </w:pPr>
                  <w:r>
                    <w:rPr>
                      <w:rFonts w:eastAsiaTheme="minorEastAsia"/>
                      <w:szCs w:val="21"/>
                    </w:rPr>
                    <w:t>脱盐水加热槽</w:t>
                  </w:r>
                </w:p>
              </w:tc>
              <w:tc>
                <w:tcPr>
                  <w:tcW w:w="2748" w:type="dxa"/>
                  <w:shd w:val="clear" w:color="auto" w:fill="auto"/>
                  <w:vAlign w:val="center"/>
                </w:tcPr>
                <w:p w14:paraId="66DF3563">
                  <w:pPr>
                    <w:jc w:val="center"/>
                    <w:rPr>
                      <w:rFonts w:eastAsiaTheme="minorEastAsia"/>
                      <w:szCs w:val="21"/>
                    </w:rPr>
                  </w:pPr>
                  <w:r>
                    <w:rPr>
                      <w:rFonts w:eastAsiaTheme="minorEastAsia"/>
                      <w:szCs w:val="21"/>
                    </w:rPr>
                    <w:t>L1600×W800×H1200 定制</w:t>
                  </w:r>
                </w:p>
              </w:tc>
              <w:tc>
                <w:tcPr>
                  <w:tcW w:w="530" w:type="dxa"/>
                  <w:shd w:val="clear" w:color="auto" w:fill="auto"/>
                  <w:vAlign w:val="center"/>
                </w:tcPr>
                <w:p w14:paraId="1C100018">
                  <w:pPr>
                    <w:jc w:val="center"/>
                    <w:rPr>
                      <w:rFonts w:eastAsiaTheme="minorEastAsia"/>
                      <w:szCs w:val="21"/>
                    </w:rPr>
                  </w:pPr>
                  <w:r>
                    <w:rPr>
                      <w:rFonts w:eastAsiaTheme="minorEastAsia"/>
                      <w:szCs w:val="21"/>
                    </w:rPr>
                    <w:t>台</w:t>
                  </w:r>
                </w:p>
              </w:tc>
              <w:tc>
                <w:tcPr>
                  <w:tcW w:w="1259" w:type="dxa"/>
                  <w:shd w:val="clear" w:color="auto" w:fill="auto"/>
                  <w:vAlign w:val="center"/>
                </w:tcPr>
                <w:p w14:paraId="2CE05D21">
                  <w:pPr>
                    <w:jc w:val="center"/>
                    <w:rPr>
                      <w:rFonts w:eastAsiaTheme="minorEastAsia"/>
                      <w:szCs w:val="21"/>
                    </w:rPr>
                  </w:pPr>
                  <w:r>
                    <w:rPr>
                      <w:rFonts w:eastAsiaTheme="minorEastAsia"/>
                      <w:szCs w:val="21"/>
                    </w:rPr>
                    <w:t>1</w:t>
                  </w:r>
                </w:p>
              </w:tc>
              <w:tc>
                <w:tcPr>
                  <w:tcW w:w="672" w:type="dxa"/>
                  <w:vMerge w:val="continue"/>
                  <w:vAlign w:val="center"/>
                </w:tcPr>
                <w:p w14:paraId="57294DCD">
                  <w:pPr>
                    <w:jc w:val="center"/>
                    <w:rPr>
                      <w:rFonts w:eastAsiaTheme="minorEastAsia"/>
                      <w:szCs w:val="21"/>
                    </w:rPr>
                  </w:pPr>
                </w:p>
              </w:tc>
            </w:tr>
            <w:tr w14:paraId="2069C0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57A8C56C">
                  <w:pPr>
                    <w:widowControl/>
                    <w:jc w:val="center"/>
                    <w:rPr>
                      <w:rFonts w:eastAsiaTheme="minorEastAsia"/>
                      <w:kern w:val="0"/>
                      <w:szCs w:val="21"/>
                    </w:rPr>
                  </w:pPr>
                  <w:r>
                    <w:rPr>
                      <w:rFonts w:eastAsiaTheme="minorEastAsia"/>
                      <w:kern w:val="0"/>
                      <w:szCs w:val="21"/>
                    </w:rPr>
                    <w:t>19</w:t>
                  </w:r>
                </w:p>
              </w:tc>
              <w:tc>
                <w:tcPr>
                  <w:tcW w:w="1924" w:type="dxa"/>
                  <w:shd w:val="clear" w:color="auto" w:fill="auto"/>
                  <w:vAlign w:val="center"/>
                </w:tcPr>
                <w:p w14:paraId="00AA9668">
                  <w:pPr>
                    <w:jc w:val="center"/>
                    <w:rPr>
                      <w:rFonts w:eastAsiaTheme="minorEastAsia"/>
                      <w:szCs w:val="21"/>
                    </w:rPr>
                  </w:pPr>
                  <w:r>
                    <w:rPr>
                      <w:rFonts w:eastAsiaTheme="minorEastAsia"/>
                      <w:szCs w:val="21"/>
                    </w:rPr>
                    <w:t>喷丝板存放柜</w:t>
                  </w:r>
                </w:p>
              </w:tc>
              <w:tc>
                <w:tcPr>
                  <w:tcW w:w="2748" w:type="dxa"/>
                  <w:shd w:val="clear" w:color="auto" w:fill="auto"/>
                  <w:vAlign w:val="center"/>
                </w:tcPr>
                <w:p w14:paraId="2B58C2EA">
                  <w:pPr>
                    <w:jc w:val="center"/>
                    <w:rPr>
                      <w:rFonts w:eastAsiaTheme="minorEastAsia"/>
                      <w:szCs w:val="21"/>
                    </w:rPr>
                  </w:pPr>
                  <w:r>
                    <w:rPr>
                      <w:rFonts w:eastAsiaTheme="minorEastAsia"/>
                      <w:szCs w:val="21"/>
                    </w:rPr>
                    <w:t>L580×W290×H145 定制</w:t>
                  </w:r>
                </w:p>
              </w:tc>
              <w:tc>
                <w:tcPr>
                  <w:tcW w:w="530" w:type="dxa"/>
                  <w:shd w:val="clear" w:color="auto" w:fill="auto"/>
                  <w:vAlign w:val="center"/>
                </w:tcPr>
                <w:p w14:paraId="073A4827">
                  <w:pPr>
                    <w:jc w:val="center"/>
                    <w:rPr>
                      <w:rFonts w:eastAsiaTheme="minorEastAsia"/>
                      <w:szCs w:val="21"/>
                    </w:rPr>
                  </w:pPr>
                  <w:r>
                    <w:rPr>
                      <w:rFonts w:eastAsiaTheme="minorEastAsia"/>
                      <w:szCs w:val="21"/>
                    </w:rPr>
                    <w:t>个</w:t>
                  </w:r>
                </w:p>
              </w:tc>
              <w:tc>
                <w:tcPr>
                  <w:tcW w:w="1259" w:type="dxa"/>
                  <w:shd w:val="clear" w:color="auto" w:fill="auto"/>
                  <w:vAlign w:val="center"/>
                </w:tcPr>
                <w:p w14:paraId="61EEC789">
                  <w:pPr>
                    <w:jc w:val="center"/>
                    <w:rPr>
                      <w:rFonts w:eastAsiaTheme="minorEastAsia"/>
                      <w:szCs w:val="21"/>
                    </w:rPr>
                  </w:pPr>
                  <w:r>
                    <w:rPr>
                      <w:rFonts w:eastAsiaTheme="minorEastAsia"/>
                      <w:szCs w:val="21"/>
                    </w:rPr>
                    <w:t>30</w:t>
                  </w:r>
                </w:p>
              </w:tc>
              <w:tc>
                <w:tcPr>
                  <w:tcW w:w="672" w:type="dxa"/>
                  <w:vMerge w:val="continue"/>
                  <w:vAlign w:val="center"/>
                </w:tcPr>
                <w:p w14:paraId="1D13838F">
                  <w:pPr>
                    <w:jc w:val="center"/>
                    <w:rPr>
                      <w:rFonts w:eastAsiaTheme="minorEastAsia"/>
                      <w:szCs w:val="21"/>
                    </w:rPr>
                  </w:pPr>
                </w:p>
              </w:tc>
            </w:tr>
            <w:tr w14:paraId="40038A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14023C5C">
                  <w:pPr>
                    <w:widowControl/>
                    <w:jc w:val="center"/>
                    <w:rPr>
                      <w:rFonts w:eastAsiaTheme="minorEastAsia"/>
                      <w:kern w:val="0"/>
                      <w:szCs w:val="21"/>
                    </w:rPr>
                  </w:pPr>
                  <w:r>
                    <w:rPr>
                      <w:rFonts w:eastAsiaTheme="minorEastAsia"/>
                      <w:kern w:val="0"/>
                      <w:szCs w:val="21"/>
                    </w:rPr>
                    <w:t>20</w:t>
                  </w:r>
                </w:p>
              </w:tc>
              <w:tc>
                <w:tcPr>
                  <w:tcW w:w="1924" w:type="dxa"/>
                  <w:shd w:val="clear" w:color="auto" w:fill="auto"/>
                  <w:vAlign w:val="center"/>
                </w:tcPr>
                <w:p w14:paraId="34D263B9">
                  <w:pPr>
                    <w:jc w:val="center"/>
                    <w:rPr>
                      <w:rFonts w:eastAsiaTheme="minorEastAsia"/>
                      <w:szCs w:val="21"/>
                    </w:rPr>
                  </w:pPr>
                  <w:r>
                    <w:rPr>
                      <w:rFonts w:eastAsiaTheme="minorEastAsia"/>
                      <w:szCs w:val="21"/>
                    </w:rPr>
                    <w:t>组件超声波清洗机</w:t>
                  </w:r>
                </w:p>
              </w:tc>
              <w:tc>
                <w:tcPr>
                  <w:tcW w:w="2748" w:type="dxa"/>
                  <w:shd w:val="clear" w:color="auto" w:fill="auto"/>
                  <w:vAlign w:val="center"/>
                </w:tcPr>
                <w:p w14:paraId="064882EF">
                  <w:pPr>
                    <w:jc w:val="center"/>
                    <w:rPr>
                      <w:rFonts w:eastAsiaTheme="minorEastAsia"/>
                      <w:szCs w:val="21"/>
                    </w:rPr>
                  </w:pPr>
                  <w:r>
                    <w:rPr>
                      <w:rFonts w:eastAsiaTheme="minorEastAsia"/>
                      <w:szCs w:val="21"/>
                    </w:rPr>
                    <w:t>NU25-9900TQ（真空脱气）9.9kW</w:t>
                  </w:r>
                </w:p>
              </w:tc>
              <w:tc>
                <w:tcPr>
                  <w:tcW w:w="530" w:type="dxa"/>
                  <w:shd w:val="clear" w:color="auto" w:fill="auto"/>
                  <w:vAlign w:val="center"/>
                </w:tcPr>
                <w:p w14:paraId="26D3AC52">
                  <w:pPr>
                    <w:jc w:val="center"/>
                    <w:rPr>
                      <w:rFonts w:eastAsiaTheme="minorEastAsia"/>
                      <w:szCs w:val="21"/>
                    </w:rPr>
                  </w:pPr>
                  <w:r>
                    <w:rPr>
                      <w:rFonts w:eastAsiaTheme="minorEastAsia"/>
                      <w:szCs w:val="21"/>
                    </w:rPr>
                    <w:t>台</w:t>
                  </w:r>
                </w:p>
              </w:tc>
              <w:tc>
                <w:tcPr>
                  <w:tcW w:w="1259" w:type="dxa"/>
                  <w:shd w:val="clear" w:color="auto" w:fill="auto"/>
                  <w:vAlign w:val="center"/>
                </w:tcPr>
                <w:p w14:paraId="218680AF">
                  <w:pPr>
                    <w:jc w:val="center"/>
                    <w:rPr>
                      <w:rFonts w:eastAsiaTheme="minorEastAsia"/>
                      <w:szCs w:val="21"/>
                    </w:rPr>
                  </w:pPr>
                  <w:r>
                    <w:rPr>
                      <w:rFonts w:eastAsiaTheme="minorEastAsia"/>
                      <w:szCs w:val="21"/>
                    </w:rPr>
                    <w:t>7</w:t>
                  </w:r>
                </w:p>
              </w:tc>
              <w:tc>
                <w:tcPr>
                  <w:tcW w:w="672" w:type="dxa"/>
                  <w:vMerge w:val="continue"/>
                  <w:vAlign w:val="center"/>
                </w:tcPr>
                <w:p w14:paraId="0C6C445A">
                  <w:pPr>
                    <w:jc w:val="center"/>
                    <w:rPr>
                      <w:rFonts w:eastAsiaTheme="minorEastAsia"/>
                      <w:szCs w:val="21"/>
                    </w:rPr>
                  </w:pPr>
                </w:p>
              </w:tc>
            </w:tr>
            <w:tr w14:paraId="0300CF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62E7EA70">
                  <w:pPr>
                    <w:widowControl/>
                    <w:jc w:val="center"/>
                    <w:rPr>
                      <w:rFonts w:eastAsiaTheme="minorEastAsia"/>
                      <w:kern w:val="0"/>
                      <w:szCs w:val="21"/>
                    </w:rPr>
                  </w:pPr>
                  <w:r>
                    <w:rPr>
                      <w:rFonts w:eastAsiaTheme="minorEastAsia"/>
                      <w:kern w:val="0"/>
                      <w:szCs w:val="21"/>
                    </w:rPr>
                    <w:t>21</w:t>
                  </w:r>
                </w:p>
              </w:tc>
              <w:tc>
                <w:tcPr>
                  <w:tcW w:w="1924" w:type="dxa"/>
                  <w:shd w:val="clear" w:color="auto" w:fill="auto"/>
                  <w:vAlign w:val="center"/>
                </w:tcPr>
                <w:p w14:paraId="7619BE00">
                  <w:pPr>
                    <w:jc w:val="center"/>
                    <w:rPr>
                      <w:rFonts w:eastAsiaTheme="minorEastAsia"/>
                      <w:szCs w:val="21"/>
                    </w:rPr>
                  </w:pPr>
                  <w:r>
                    <w:rPr>
                      <w:rFonts w:eastAsiaTheme="minorEastAsia"/>
                      <w:szCs w:val="21"/>
                    </w:rPr>
                    <w:t>组件超声波清洗机</w:t>
                  </w:r>
                </w:p>
              </w:tc>
              <w:tc>
                <w:tcPr>
                  <w:tcW w:w="2748" w:type="dxa"/>
                  <w:shd w:val="clear" w:color="auto" w:fill="auto"/>
                  <w:vAlign w:val="center"/>
                </w:tcPr>
                <w:p w14:paraId="549AF4BE">
                  <w:pPr>
                    <w:jc w:val="center"/>
                    <w:rPr>
                      <w:rFonts w:eastAsiaTheme="minorEastAsia"/>
                      <w:szCs w:val="21"/>
                    </w:rPr>
                  </w:pPr>
                  <w:r>
                    <w:rPr>
                      <w:rFonts w:eastAsiaTheme="minorEastAsia"/>
                      <w:szCs w:val="21"/>
                    </w:rPr>
                    <w:t>NFU-1520D-X型</w:t>
                  </w:r>
                </w:p>
              </w:tc>
              <w:tc>
                <w:tcPr>
                  <w:tcW w:w="530" w:type="dxa"/>
                  <w:shd w:val="clear" w:color="auto" w:fill="auto"/>
                  <w:vAlign w:val="center"/>
                </w:tcPr>
                <w:p w14:paraId="57AC08D8">
                  <w:pPr>
                    <w:jc w:val="center"/>
                    <w:rPr>
                      <w:rFonts w:eastAsiaTheme="minorEastAsia"/>
                      <w:szCs w:val="21"/>
                    </w:rPr>
                  </w:pPr>
                  <w:r>
                    <w:rPr>
                      <w:rFonts w:eastAsiaTheme="minorEastAsia"/>
                      <w:szCs w:val="21"/>
                    </w:rPr>
                    <w:t>台</w:t>
                  </w:r>
                </w:p>
              </w:tc>
              <w:tc>
                <w:tcPr>
                  <w:tcW w:w="1259" w:type="dxa"/>
                  <w:shd w:val="clear" w:color="auto" w:fill="auto"/>
                  <w:vAlign w:val="center"/>
                </w:tcPr>
                <w:p w14:paraId="7DDC2EEA">
                  <w:pPr>
                    <w:jc w:val="center"/>
                    <w:rPr>
                      <w:rFonts w:eastAsiaTheme="minorEastAsia"/>
                      <w:szCs w:val="21"/>
                    </w:rPr>
                  </w:pPr>
                  <w:r>
                    <w:rPr>
                      <w:rFonts w:eastAsiaTheme="minorEastAsia"/>
                      <w:szCs w:val="21"/>
                    </w:rPr>
                    <w:t>2</w:t>
                  </w:r>
                </w:p>
              </w:tc>
              <w:tc>
                <w:tcPr>
                  <w:tcW w:w="672" w:type="dxa"/>
                  <w:vMerge w:val="continue"/>
                  <w:vAlign w:val="center"/>
                </w:tcPr>
                <w:p w14:paraId="5B0830E7">
                  <w:pPr>
                    <w:jc w:val="center"/>
                    <w:rPr>
                      <w:rFonts w:eastAsiaTheme="minorEastAsia"/>
                      <w:szCs w:val="21"/>
                    </w:rPr>
                  </w:pPr>
                </w:p>
              </w:tc>
            </w:tr>
            <w:tr w14:paraId="53525E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5117E6A8">
                  <w:pPr>
                    <w:widowControl/>
                    <w:jc w:val="center"/>
                    <w:rPr>
                      <w:rFonts w:eastAsiaTheme="minorEastAsia"/>
                      <w:kern w:val="0"/>
                      <w:szCs w:val="21"/>
                    </w:rPr>
                  </w:pPr>
                  <w:r>
                    <w:rPr>
                      <w:rFonts w:eastAsiaTheme="minorEastAsia"/>
                      <w:kern w:val="0"/>
                      <w:szCs w:val="21"/>
                    </w:rPr>
                    <w:t>22</w:t>
                  </w:r>
                </w:p>
              </w:tc>
              <w:tc>
                <w:tcPr>
                  <w:tcW w:w="1924" w:type="dxa"/>
                  <w:shd w:val="clear" w:color="auto" w:fill="auto"/>
                  <w:vAlign w:val="center"/>
                </w:tcPr>
                <w:p w14:paraId="1CF88C8F">
                  <w:pPr>
                    <w:jc w:val="center"/>
                    <w:rPr>
                      <w:rFonts w:eastAsiaTheme="minorEastAsia"/>
                      <w:szCs w:val="21"/>
                    </w:rPr>
                  </w:pPr>
                  <w:r>
                    <w:rPr>
                      <w:rFonts w:eastAsiaTheme="minorEastAsia"/>
                      <w:szCs w:val="21"/>
                    </w:rPr>
                    <w:t>废丝箱</w:t>
                  </w:r>
                </w:p>
              </w:tc>
              <w:tc>
                <w:tcPr>
                  <w:tcW w:w="2748" w:type="dxa"/>
                  <w:shd w:val="clear" w:color="auto" w:fill="auto"/>
                  <w:vAlign w:val="center"/>
                </w:tcPr>
                <w:p w14:paraId="0635060C">
                  <w:pPr>
                    <w:jc w:val="center"/>
                    <w:rPr>
                      <w:rFonts w:eastAsiaTheme="minorEastAsia"/>
                      <w:szCs w:val="21"/>
                    </w:rPr>
                  </w:pPr>
                  <w:r>
                    <w:rPr>
                      <w:rFonts w:eastAsiaTheme="minorEastAsia"/>
                      <w:szCs w:val="21"/>
                    </w:rPr>
                    <w:t>L1000×W600×H1900 定制</w:t>
                  </w:r>
                </w:p>
              </w:tc>
              <w:tc>
                <w:tcPr>
                  <w:tcW w:w="530" w:type="dxa"/>
                  <w:shd w:val="clear" w:color="auto" w:fill="auto"/>
                  <w:vAlign w:val="center"/>
                </w:tcPr>
                <w:p w14:paraId="3B35A166">
                  <w:pPr>
                    <w:jc w:val="center"/>
                    <w:rPr>
                      <w:rFonts w:eastAsiaTheme="minorEastAsia"/>
                      <w:szCs w:val="21"/>
                    </w:rPr>
                  </w:pPr>
                  <w:r>
                    <w:rPr>
                      <w:rFonts w:eastAsiaTheme="minorEastAsia"/>
                      <w:szCs w:val="21"/>
                    </w:rPr>
                    <w:t>个</w:t>
                  </w:r>
                </w:p>
              </w:tc>
              <w:tc>
                <w:tcPr>
                  <w:tcW w:w="1259" w:type="dxa"/>
                  <w:shd w:val="clear" w:color="auto" w:fill="auto"/>
                  <w:vAlign w:val="center"/>
                </w:tcPr>
                <w:p w14:paraId="137D91E3">
                  <w:pPr>
                    <w:jc w:val="center"/>
                    <w:rPr>
                      <w:rFonts w:eastAsiaTheme="minorEastAsia"/>
                      <w:szCs w:val="21"/>
                    </w:rPr>
                  </w:pPr>
                  <w:r>
                    <w:rPr>
                      <w:rFonts w:eastAsiaTheme="minorEastAsia"/>
                      <w:szCs w:val="21"/>
                    </w:rPr>
                    <w:t>83</w:t>
                  </w:r>
                </w:p>
              </w:tc>
              <w:tc>
                <w:tcPr>
                  <w:tcW w:w="672" w:type="dxa"/>
                  <w:vMerge w:val="continue"/>
                  <w:vAlign w:val="center"/>
                </w:tcPr>
                <w:p w14:paraId="01368CB7">
                  <w:pPr>
                    <w:jc w:val="center"/>
                    <w:rPr>
                      <w:rFonts w:eastAsiaTheme="minorEastAsia"/>
                      <w:szCs w:val="21"/>
                    </w:rPr>
                  </w:pPr>
                </w:p>
              </w:tc>
            </w:tr>
            <w:tr w14:paraId="02A2A5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19EECF20">
                  <w:pPr>
                    <w:widowControl/>
                    <w:jc w:val="center"/>
                    <w:rPr>
                      <w:rFonts w:eastAsiaTheme="minorEastAsia"/>
                      <w:kern w:val="0"/>
                      <w:szCs w:val="21"/>
                    </w:rPr>
                  </w:pPr>
                  <w:r>
                    <w:rPr>
                      <w:rFonts w:eastAsiaTheme="minorEastAsia"/>
                      <w:kern w:val="0"/>
                      <w:szCs w:val="21"/>
                    </w:rPr>
                    <w:t>23</w:t>
                  </w:r>
                </w:p>
              </w:tc>
              <w:tc>
                <w:tcPr>
                  <w:tcW w:w="1924" w:type="dxa"/>
                  <w:shd w:val="clear" w:color="auto" w:fill="auto"/>
                  <w:vAlign w:val="center"/>
                </w:tcPr>
                <w:p w14:paraId="798CAD27">
                  <w:pPr>
                    <w:jc w:val="center"/>
                    <w:rPr>
                      <w:rFonts w:eastAsiaTheme="minorEastAsia"/>
                      <w:szCs w:val="21"/>
                    </w:rPr>
                  </w:pPr>
                  <w:r>
                    <w:rPr>
                      <w:rFonts w:eastAsiaTheme="minorEastAsia"/>
                      <w:szCs w:val="21"/>
                    </w:rPr>
                    <w:t>POY油烟净化器</w:t>
                  </w:r>
                </w:p>
              </w:tc>
              <w:tc>
                <w:tcPr>
                  <w:tcW w:w="2748" w:type="dxa"/>
                  <w:shd w:val="clear" w:color="auto" w:fill="auto"/>
                  <w:vAlign w:val="center"/>
                </w:tcPr>
                <w:p w14:paraId="24DBA9A8">
                  <w:pPr>
                    <w:jc w:val="center"/>
                    <w:rPr>
                      <w:rFonts w:eastAsiaTheme="minorEastAsia"/>
                      <w:szCs w:val="21"/>
                    </w:rPr>
                  </w:pPr>
                  <w:r>
                    <w:rPr>
                      <w:rFonts w:eastAsiaTheme="minorEastAsia"/>
                      <w:szCs w:val="21"/>
                    </w:rPr>
                    <w:t>2万m</w:t>
                  </w:r>
                  <w:r>
                    <w:rPr>
                      <w:rFonts w:eastAsiaTheme="minorEastAsia"/>
                      <w:szCs w:val="21"/>
                      <w:vertAlign w:val="superscript"/>
                    </w:rPr>
                    <w:t>3</w:t>
                  </w:r>
                  <w:r>
                    <w:rPr>
                      <w:rFonts w:eastAsiaTheme="minorEastAsia"/>
                      <w:szCs w:val="21"/>
                    </w:rPr>
                    <w:t>/h</w:t>
                  </w:r>
                </w:p>
              </w:tc>
              <w:tc>
                <w:tcPr>
                  <w:tcW w:w="530" w:type="dxa"/>
                  <w:shd w:val="clear" w:color="auto" w:fill="auto"/>
                  <w:vAlign w:val="center"/>
                </w:tcPr>
                <w:p w14:paraId="1A084882">
                  <w:pPr>
                    <w:jc w:val="center"/>
                    <w:rPr>
                      <w:rFonts w:eastAsiaTheme="minorEastAsia"/>
                      <w:szCs w:val="21"/>
                    </w:rPr>
                  </w:pPr>
                  <w:r>
                    <w:rPr>
                      <w:rFonts w:eastAsiaTheme="minorEastAsia"/>
                      <w:szCs w:val="21"/>
                    </w:rPr>
                    <w:t>个</w:t>
                  </w:r>
                </w:p>
              </w:tc>
              <w:tc>
                <w:tcPr>
                  <w:tcW w:w="1259" w:type="dxa"/>
                  <w:shd w:val="clear" w:color="auto" w:fill="auto"/>
                  <w:vAlign w:val="center"/>
                </w:tcPr>
                <w:p w14:paraId="4AD258BA">
                  <w:pPr>
                    <w:jc w:val="center"/>
                    <w:rPr>
                      <w:rFonts w:eastAsiaTheme="minorEastAsia"/>
                      <w:szCs w:val="21"/>
                    </w:rPr>
                  </w:pPr>
                  <w:r>
                    <w:rPr>
                      <w:rFonts w:eastAsiaTheme="minorEastAsia"/>
                      <w:szCs w:val="21"/>
                    </w:rPr>
                    <w:t>1</w:t>
                  </w:r>
                </w:p>
              </w:tc>
              <w:tc>
                <w:tcPr>
                  <w:tcW w:w="672" w:type="dxa"/>
                  <w:vMerge w:val="continue"/>
                  <w:vAlign w:val="center"/>
                </w:tcPr>
                <w:p w14:paraId="5272609F">
                  <w:pPr>
                    <w:jc w:val="center"/>
                    <w:rPr>
                      <w:rFonts w:eastAsiaTheme="minorEastAsia"/>
                      <w:szCs w:val="21"/>
                    </w:rPr>
                  </w:pPr>
                </w:p>
              </w:tc>
            </w:tr>
            <w:tr w14:paraId="731E41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34B6AF40">
                  <w:pPr>
                    <w:widowControl/>
                    <w:jc w:val="center"/>
                    <w:rPr>
                      <w:rFonts w:eastAsiaTheme="minorEastAsia"/>
                      <w:kern w:val="0"/>
                      <w:szCs w:val="21"/>
                    </w:rPr>
                  </w:pPr>
                  <w:r>
                    <w:rPr>
                      <w:rFonts w:eastAsiaTheme="minorEastAsia"/>
                      <w:kern w:val="0"/>
                      <w:szCs w:val="21"/>
                    </w:rPr>
                    <w:t>24</w:t>
                  </w:r>
                </w:p>
              </w:tc>
              <w:tc>
                <w:tcPr>
                  <w:tcW w:w="1924" w:type="dxa"/>
                  <w:shd w:val="clear" w:color="auto" w:fill="auto"/>
                  <w:vAlign w:val="center"/>
                </w:tcPr>
                <w:p w14:paraId="5F6E0297">
                  <w:pPr>
                    <w:jc w:val="center"/>
                    <w:rPr>
                      <w:rFonts w:eastAsiaTheme="minorEastAsia"/>
                      <w:szCs w:val="21"/>
                    </w:rPr>
                  </w:pPr>
                  <w:r>
                    <w:rPr>
                      <w:rFonts w:eastAsiaTheme="minorEastAsia"/>
                      <w:szCs w:val="21"/>
                    </w:rPr>
                    <w:t>FDY油烟净化器</w:t>
                  </w:r>
                </w:p>
              </w:tc>
              <w:tc>
                <w:tcPr>
                  <w:tcW w:w="2748" w:type="dxa"/>
                  <w:shd w:val="clear" w:color="auto" w:fill="auto"/>
                  <w:vAlign w:val="center"/>
                </w:tcPr>
                <w:p w14:paraId="1A66519F">
                  <w:pPr>
                    <w:jc w:val="center"/>
                    <w:rPr>
                      <w:rFonts w:eastAsiaTheme="minorEastAsia"/>
                      <w:szCs w:val="21"/>
                    </w:rPr>
                  </w:pPr>
                  <w:r>
                    <w:rPr>
                      <w:rFonts w:eastAsiaTheme="minorEastAsia"/>
                      <w:szCs w:val="21"/>
                    </w:rPr>
                    <w:t>2.5万m</w:t>
                  </w:r>
                  <w:r>
                    <w:rPr>
                      <w:rFonts w:eastAsiaTheme="minorEastAsia"/>
                      <w:szCs w:val="21"/>
                      <w:vertAlign w:val="superscript"/>
                    </w:rPr>
                    <w:t>3</w:t>
                  </w:r>
                  <w:r>
                    <w:rPr>
                      <w:rFonts w:eastAsiaTheme="minorEastAsia"/>
                      <w:szCs w:val="21"/>
                    </w:rPr>
                    <w:t>/h</w:t>
                  </w:r>
                </w:p>
              </w:tc>
              <w:tc>
                <w:tcPr>
                  <w:tcW w:w="530" w:type="dxa"/>
                  <w:shd w:val="clear" w:color="auto" w:fill="auto"/>
                  <w:vAlign w:val="center"/>
                </w:tcPr>
                <w:p w14:paraId="6255F06A">
                  <w:pPr>
                    <w:jc w:val="center"/>
                    <w:rPr>
                      <w:rFonts w:eastAsiaTheme="minorEastAsia"/>
                      <w:szCs w:val="21"/>
                    </w:rPr>
                  </w:pPr>
                  <w:r>
                    <w:rPr>
                      <w:rFonts w:eastAsiaTheme="minorEastAsia"/>
                      <w:szCs w:val="21"/>
                    </w:rPr>
                    <w:t>个</w:t>
                  </w:r>
                </w:p>
              </w:tc>
              <w:tc>
                <w:tcPr>
                  <w:tcW w:w="1259" w:type="dxa"/>
                  <w:shd w:val="clear" w:color="auto" w:fill="auto"/>
                  <w:vAlign w:val="center"/>
                </w:tcPr>
                <w:p w14:paraId="15F5006E">
                  <w:pPr>
                    <w:jc w:val="center"/>
                    <w:rPr>
                      <w:rFonts w:eastAsiaTheme="minorEastAsia"/>
                      <w:szCs w:val="21"/>
                    </w:rPr>
                  </w:pPr>
                  <w:r>
                    <w:rPr>
                      <w:rFonts w:eastAsiaTheme="minorEastAsia"/>
                      <w:szCs w:val="21"/>
                    </w:rPr>
                    <w:t>2</w:t>
                  </w:r>
                </w:p>
              </w:tc>
              <w:tc>
                <w:tcPr>
                  <w:tcW w:w="672" w:type="dxa"/>
                  <w:vMerge w:val="continue"/>
                  <w:vAlign w:val="center"/>
                </w:tcPr>
                <w:p w14:paraId="490EA98B">
                  <w:pPr>
                    <w:jc w:val="center"/>
                    <w:rPr>
                      <w:rFonts w:eastAsiaTheme="minorEastAsia"/>
                      <w:szCs w:val="21"/>
                    </w:rPr>
                  </w:pPr>
                </w:p>
              </w:tc>
            </w:tr>
            <w:tr w14:paraId="4480E6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6ABDAE73">
                  <w:pPr>
                    <w:widowControl/>
                    <w:jc w:val="center"/>
                    <w:rPr>
                      <w:rFonts w:eastAsiaTheme="minorEastAsia"/>
                      <w:kern w:val="0"/>
                      <w:szCs w:val="21"/>
                    </w:rPr>
                  </w:pPr>
                  <w:r>
                    <w:rPr>
                      <w:rFonts w:eastAsiaTheme="minorEastAsia"/>
                      <w:kern w:val="0"/>
                      <w:szCs w:val="21"/>
                    </w:rPr>
                    <w:t>25</w:t>
                  </w:r>
                </w:p>
              </w:tc>
              <w:tc>
                <w:tcPr>
                  <w:tcW w:w="1924" w:type="dxa"/>
                  <w:shd w:val="clear" w:color="auto" w:fill="auto"/>
                  <w:vAlign w:val="center"/>
                </w:tcPr>
                <w:p w14:paraId="09DA57C2">
                  <w:pPr>
                    <w:jc w:val="center"/>
                    <w:rPr>
                      <w:rFonts w:eastAsiaTheme="minorEastAsia"/>
                      <w:szCs w:val="21"/>
                    </w:rPr>
                  </w:pPr>
                  <w:r>
                    <w:rPr>
                      <w:rFonts w:eastAsiaTheme="minorEastAsia"/>
                      <w:szCs w:val="21"/>
                    </w:rPr>
                    <w:t>离心通风机</w:t>
                  </w:r>
                </w:p>
              </w:tc>
              <w:tc>
                <w:tcPr>
                  <w:tcW w:w="2748" w:type="dxa"/>
                  <w:shd w:val="clear" w:color="auto" w:fill="auto"/>
                  <w:vAlign w:val="center"/>
                </w:tcPr>
                <w:p w14:paraId="1865691F">
                  <w:pPr>
                    <w:jc w:val="center"/>
                    <w:rPr>
                      <w:rFonts w:eastAsiaTheme="minorEastAsia"/>
                      <w:szCs w:val="21"/>
                    </w:rPr>
                  </w:pPr>
                  <w:r>
                    <w:rPr>
                      <w:rFonts w:eastAsiaTheme="minorEastAsia"/>
                      <w:szCs w:val="21"/>
                    </w:rPr>
                    <w:t>CF54-560C 12330m</w:t>
                  </w:r>
                  <w:r>
                    <w:rPr>
                      <w:rFonts w:eastAsiaTheme="minorEastAsia"/>
                      <w:szCs w:val="21"/>
                      <w:vertAlign w:val="superscript"/>
                    </w:rPr>
                    <w:t>3</w:t>
                  </w:r>
                  <w:r>
                    <w:rPr>
                      <w:rFonts w:eastAsiaTheme="minorEastAsia"/>
                      <w:szCs w:val="21"/>
                    </w:rPr>
                    <w:t>/h 2325Pa 2160rpm 15kW Q235B</w:t>
                  </w:r>
                </w:p>
              </w:tc>
              <w:tc>
                <w:tcPr>
                  <w:tcW w:w="530" w:type="dxa"/>
                  <w:shd w:val="clear" w:color="auto" w:fill="auto"/>
                  <w:vAlign w:val="center"/>
                </w:tcPr>
                <w:p w14:paraId="057E9438">
                  <w:pPr>
                    <w:jc w:val="center"/>
                    <w:rPr>
                      <w:rFonts w:eastAsiaTheme="minorEastAsia"/>
                      <w:szCs w:val="21"/>
                    </w:rPr>
                  </w:pPr>
                  <w:r>
                    <w:rPr>
                      <w:rFonts w:eastAsiaTheme="minorEastAsia"/>
                      <w:szCs w:val="21"/>
                    </w:rPr>
                    <w:t>套</w:t>
                  </w:r>
                </w:p>
              </w:tc>
              <w:tc>
                <w:tcPr>
                  <w:tcW w:w="1259" w:type="dxa"/>
                  <w:shd w:val="clear" w:color="auto" w:fill="auto"/>
                  <w:vAlign w:val="center"/>
                </w:tcPr>
                <w:p w14:paraId="6408E688">
                  <w:pPr>
                    <w:jc w:val="center"/>
                    <w:rPr>
                      <w:rFonts w:eastAsiaTheme="minorEastAsia"/>
                      <w:szCs w:val="21"/>
                    </w:rPr>
                  </w:pPr>
                  <w:r>
                    <w:rPr>
                      <w:rFonts w:eastAsiaTheme="minorEastAsia"/>
                      <w:szCs w:val="21"/>
                    </w:rPr>
                    <w:t>1</w:t>
                  </w:r>
                </w:p>
              </w:tc>
              <w:tc>
                <w:tcPr>
                  <w:tcW w:w="672" w:type="dxa"/>
                  <w:vMerge w:val="continue"/>
                  <w:vAlign w:val="center"/>
                </w:tcPr>
                <w:p w14:paraId="78BFBA78">
                  <w:pPr>
                    <w:jc w:val="center"/>
                    <w:rPr>
                      <w:rFonts w:eastAsiaTheme="minorEastAsia"/>
                      <w:szCs w:val="21"/>
                    </w:rPr>
                  </w:pPr>
                </w:p>
              </w:tc>
            </w:tr>
            <w:tr w14:paraId="43419B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20165520">
                  <w:pPr>
                    <w:widowControl/>
                    <w:jc w:val="center"/>
                    <w:rPr>
                      <w:rFonts w:eastAsiaTheme="minorEastAsia"/>
                      <w:kern w:val="0"/>
                      <w:szCs w:val="21"/>
                    </w:rPr>
                  </w:pPr>
                  <w:r>
                    <w:rPr>
                      <w:rFonts w:eastAsiaTheme="minorEastAsia"/>
                      <w:kern w:val="0"/>
                      <w:szCs w:val="21"/>
                    </w:rPr>
                    <w:t>26</w:t>
                  </w:r>
                </w:p>
              </w:tc>
              <w:tc>
                <w:tcPr>
                  <w:tcW w:w="1924" w:type="dxa"/>
                  <w:shd w:val="clear" w:color="auto" w:fill="auto"/>
                  <w:vAlign w:val="center"/>
                </w:tcPr>
                <w:p w14:paraId="13CC63B3">
                  <w:pPr>
                    <w:jc w:val="center"/>
                    <w:rPr>
                      <w:rFonts w:eastAsiaTheme="minorEastAsia"/>
                      <w:szCs w:val="21"/>
                    </w:rPr>
                  </w:pPr>
                  <w:r>
                    <w:rPr>
                      <w:rFonts w:eastAsiaTheme="minorEastAsia"/>
                      <w:szCs w:val="21"/>
                    </w:rPr>
                    <w:t>离心通风机</w:t>
                  </w:r>
                </w:p>
              </w:tc>
              <w:tc>
                <w:tcPr>
                  <w:tcW w:w="2748" w:type="dxa"/>
                  <w:shd w:val="clear" w:color="auto" w:fill="auto"/>
                  <w:vAlign w:val="center"/>
                </w:tcPr>
                <w:p w14:paraId="231990E9">
                  <w:pPr>
                    <w:jc w:val="center"/>
                    <w:rPr>
                      <w:rFonts w:eastAsiaTheme="minorEastAsia"/>
                      <w:szCs w:val="21"/>
                    </w:rPr>
                  </w:pPr>
                  <w:r>
                    <w:rPr>
                      <w:rFonts w:eastAsiaTheme="minorEastAsia"/>
                      <w:szCs w:val="21"/>
                    </w:rPr>
                    <w:t>CF55-630C 15410m</w:t>
                  </w:r>
                  <w:r>
                    <w:rPr>
                      <w:rFonts w:eastAsiaTheme="minorEastAsia"/>
                      <w:szCs w:val="21"/>
                      <w:vertAlign w:val="superscript"/>
                    </w:rPr>
                    <w:t>3</w:t>
                  </w:r>
                  <w:r>
                    <w:rPr>
                      <w:rFonts w:eastAsiaTheme="minorEastAsia"/>
                      <w:szCs w:val="21"/>
                    </w:rPr>
                    <w:t>/h 3140Pa 2250rpm 22kW Q235B</w:t>
                  </w:r>
                </w:p>
              </w:tc>
              <w:tc>
                <w:tcPr>
                  <w:tcW w:w="530" w:type="dxa"/>
                  <w:shd w:val="clear" w:color="auto" w:fill="auto"/>
                  <w:vAlign w:val="center"/>
                </w:tcPr>
                <w:p w14:paraId="26D90E0B">
                  <w:pPr>
                    <w:jc w:val="center"/>
                    <w:rPr>
                      <w:rFonts w:eastAsiaTheme="minorEastAsia"/>
                      <w:szCs w:val="21"/>
                    </w:rPr>
                  </w:pPr>
                  <w:r>
                    <w:rPr>
                      <w:rFonts w:eastAsiaTheme="minorEastAsia"/>
                      <w:szCs w:val="21"/>
                    </w:rPr>
                    <w:t>套</w:t>
                  </w:r>
                </w:p>
              </w:tc>
              <w:tc>
                <w:tcPr>
                  <w:tcW w:w="1259" w:type="dxa"/>
                  <w:shd w:val="clear" w:color="auto" w:fill="auto"/>
                  <w:vAlign w:val="center"/>
                </w:tcPr>
                <w:p w14:paraId="6FFC75D7">
                  <w:pPr>
                    <w:jc w:val="center"/>
                    <w:rPr>
                      <w:rFonts w:eastAsiaTheme="minorEastAsia"/>
                      <w:szCs w:val="21"/>
                    </w:rPr>
                  </w:pPr>
                  <w:r>
                    <w:rPr>
                      <w:rFonts w:eastAsiaTheme="minorEastAsia"/>
                      <w:szCs w:val="21"/>
                    </w:rPr>
                    <w:t>8</w:t>
                  </w:r>
                </w:p>
              </w:tc>
              <w:tc>
                <w:tcPr>
                  <w:tcW w:w="672" w:type="dxa"/>
                  <w:vMerge w:val="continue"/>
                  <w:vAlign w:val="center"/>
                </w:tcPr>
                <w:p w14:paraId="6FE2DFD6">
                  <w:pPr>
                    <w:jc w:val="center"/>
                    <w:rPr>
                      <w:rFonts w:eastAsiaTheme="minorEastAsia"/>
                      <w:szCs w:val="21"/>
                    </w:rPr>
                  </w:pPr>
                </w:p>
              </w:tc>
            </w:tr>
            <w:tr w14:paraId="422656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46FC90A9">
                  <w:pPr>
                    <w:widowControl/>
                    <w:jc w:val="center"/>
                    <w:rPr>
                      <w:rFonts w:eastAsiaTheme="minorEastAsia"/>
                      <w:kern w:val="0"/>
                      <w:szCs w:val="21"/>
                    </w:rPr>
                  </w:pPr>
                  <w:r>
                    <w:rPr>
                      <w:rFonts w:eastAsiaTheme="minorEastAsia"/>
                      <w:kern w:val="0"/>
                      <w:szCs w:val="21"/>
                    </w:rPr>
                    <w:t>27</w:t>
                  </w:r>
                </w:p>
              </w:tc>
              <w:tc>
                <w:tcPr>
                  <w:tcW w:w="1924" w:type="dxa"/>
                  <w:shd w:val="clear" w:color="auto" w:fill="auto"/>
                  <w:vAlign w:val="center"/>
                </w:tcPr>
                <w:p w14:paraId="62467211">
                  <w:pPr>
                    <w:jc w:val="center"/>
                    <w:rPr>
                      <w:rFonts w:eastAsiaTheme="minorEastAsia"/>
                      <w:szCs w:val="21"/>
                    </w:rPr>
                  </w:pPr>
                  <w:r>
                    <w:rPr>
                      <w:rFonts w:eastAsiaTheme="minorEastAsia"/>
                      <w:szCs w:val="21"/>
                    </w:rPr>
                    <w:t>POY丝车</w:t>
                  </w:r>
                </w:p>
              </w:tc>
              <w:tc>
                <w:tcPr>
                  <w:tcW w:w="2748" w:type="dxa"/>
                  <w:shd w:val="clear" w:color="auto" w:fill="auto"/>
                  <w:vAlign w:val="center"/>
                </w:tcPr>
                <w:p w14:paraId="4392EBBD">
                  <w:pPr>
                    <w:jc w:val="center"/>
                    <w:rPr>
                      <w:rFonts w:eastAsiaTheme="minorEastAsia"/>
                      <w:szCs w:val="21"/>
                    </w:rPr>
                  </w:pPr>
                  <w:r>
                    <w:rPr>
                      <w:rFonts w:eastAsiaTheme="minorEastAsia"/>
                      <w:szCs w:val="21"/>
                    </w:rPr>
                    <w:t>36锭 5°方管</w:t>
                  </w:r>
                </w:p>
              </w:tc>
              <w:tc>
                <w:tcPr>
                  <w:tcW w:w="530" w:type="dxa"/>
                  <w:shd w:val="clear" w:color="auto" w:fill="auto"/>
                  <w:vAlign w:val="center"/>
                </w:tcPr>
                <w:p w14:paraId="766A8B45">
                  <w:pPr>
                    <w:jc w:val="center"/>
                    <w:rPr>
                      <w:rFonts w:eastAsiaTheme="minorEastAsia"/>
                      <w:szCs w:val="21"/>
                    </w:rPr>
                  </w:pPr>
                  <w:r>
                    <w:rPr>
                      <w:rFonts w:eastAsiaTheme="minorEastAsia"/>
                      <w:szCs w:val="21"/>
                    </w:rPr>
                    <w:t>套</w:t>
                  </w:r>
                </w:p>
              </w:tc>
              <w:tc>
                <w:tcPr>
                  <w:tcW w:w="1259" w:type="dxa"/>
                  <w:shd w:val="clear" w:color="auto" w:fill="auto"/>
                  <w:vAlign w:val="center"/>
                </w:tcPr>
                <w:p w14:paraId="706DDF8F">
                  <w:pPr>
                    <w:jc w:val="center"/>
                    <w:rPr>
                      <w:rFonts w:eastAsiaTheme="minorEastAsia"/>
                      <w:szCs w:val="21"/>
                    </w:rPr>
                  </w:pPr>
                  <w:r>
                    <w:rPr>
                      <w:rFonts w:eastAsiaTheme="minorEastAsia"/>
                      <w:szCs w:val="21"/>
                    </w:rPr>
                    <w:t>1450</w:t>
                  </w:r>
                </w:p>
              </w:tc>
              <w:tc>
                <w:tcPr>
                  <w:tcW w:w="672" w:type="dxa"/>
                  <w:vMerge w:val="continue"/>
                  <w:vAlign w:val="center"/>
                </w:tcPr>
                <w:p w14:paraId="5AF4A9CF">
                  <w:pPr>
                    <w:jc w:val="center"/>
                    <w:rPr>
                      <w:rFonts w:eastAsiaTheme="minorEastAsia"/>
                      <w:szCs w:val="21"/>
                    </w:rPr>
                  </w:pPr>
                </w:p>
              </w:tc>
            </w:tr>
            <w:tr w14:paraId="46A4D1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53DBE470">
                  <w:pPr>
                    <w:widowControl/>
                    <w:jc w:val="center"/>
                    <w:rPr>
                      <w:rFonts w:eastAsiaTheme="minorEastAsia"/>
                      <w:kern w:val="0"/>
                      <w:szCs w:val="21"/>
                    </w:rPr>
                  </w:pPr>
                  <w:r>
                    <w:rPr>
                      <w:rFonts w:eastAsiaTheme="minorEastAsia"/>
                      <w:kern w:val="0"/>
                      <w:szCs w:val="21"/>
                    </w:rPr>
                    <w:t>28</w:t>
                  </w:r>
                </w:p>
              </w:tc>
              <w:tc>
                <w:tcPr>
                  <w:tcW w:w="1924" w:type="dxa"/>
                  <w:shd w:val="clear" w:color="auto" w:fill="auto"/>
                  <w:vAlign w:val="center"/>
                </w:tcPr>
                <w:p w14:paraId="35D775DA">
                  <w:pPr>
                    <w:jc w:val="center"/>
                    <w:rPr>
                      <w:rFonts w:eastAsiaTheme="minorEastAsia"/>
                      <w:szCs w:val="21"/>
                    </w:rPr>
                  </w:pPr>
                  <w:r>
                    <w:rPr>
                      <w:rFonts w:eastAsiaTheme="minorEastAsia"/>
                      <w:szCs w:val="21"/>
                    </w:rPr>
                    <w:t>FDY丝车</w:t>
                  </w:r>
                </w:p>
              </w:tc>
              <w:tc>
                <w:tcPr>
                  <w:tcW w:w="2748" w:type="dxa"/>
                  <w:shd w:val="clear" w:color="auto" w:fill="auto"/>
                  <w:vAlign w:val="center"/>
                </w:tcPr>
                <w:p w14:paraId="25D10BE1">
                  <w:pPr>
                    <w:jc w:val="center"/>
                    <w:rPr>
                      <w:rFonts w:eastAsiaTheme="minorEastAsia"/>
                      <w:szCs w:val="21"/>
                    </w:rPr>
                  </w:pPr>
                  <w:r>
                    <w:rPr>
                      <w:rFonts w:eastAsiaTheme="minorEastAsia"/>
                      <w:szCs w:val="21"/>
                    </w:rPr>
                    <w:t>32头</w:t>
                  </w:r>
                </w:p>
              </w:tc>
              <w:tc>
                <w:tcPr>
                  <w:tcW w:w="530" w:type="dxa"/>
                  <w:shd w:val="clear" w:color="auto" w:fill="auto"/>
                  <w:vAlign w:val="center"/>
                </w:tcPr>
                <w:p w14:paraId="5FC18EDA">
                  <w:pPr>
                    <w:jc w:val="center"/>
                    <w:rPr>
                      <w:rFonts w:eastAsiaTheme="minorEastAsia"/>
                      <w:szCs w:val="21"/>
                    </w:rPr>
                  </w:pPr>
                </w:p>
              </w:tc>
              <w:tc>
                <w:tcPr>
                  <w:tcW w:w="1259" w:type="dxa"/>
                  <w:shd w:val="clear" w:color="auto" w:fill="auto"/>
                  <w:vAlign w:val="center"/>
                </w:tcPr>
                <w:p w14:paraId="1F92326A">
                  <w:pPr>
                    <w:jc w:val="center"/>
                    <w:rPr>
                      <w:rFonts w:eastAsiaTheme="minorEastAsia"/>
                      <w:szCs w:val="21"/>
                    </w:rPr>
                  </w:pPr>
                  <w:r>
                    <w:rPr>
                      <w:rFonts w:eastAsiaTheme="minorEastAsia"/>
                      <w:szCs w:val="21"/>
                    </w:rPr>
                    <w:t>1650</w:t>
                  </w:r>
                </w:p>
              </w:tc>
              <w:tc>
                <w:tcPr>
                  <w:tcW w:w="672" w:type="dxa"/>
                  <w:vMerge w:val="continue"/>
                  <w:vAlign w:val="center"/>
                </w:tcPr>
                <w:p w14:paraId="7A5E0A01">
                  <w:pPr>
                    <w:jc w:val="center"/>
                    <w:rPr>
                      <w:rFonts w:eastAsiaTheme="minorEastAsia"/>
                      <w:szCs w:val="21"/>
                    </w:rPr>
                  </w:pPr>
                </w:p>
              </w:tc>
            </w:tr>
            <w:tr w14:paraId="77DEF7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3C0979D4">
                  <w:pPr>
                    <w:widowControl/>
                    <w:jc w:val="center"/>
                    <w:rPr>
                      <w:rFonts w:eastAsiaTheme="minorEastAsia"/>
                      <w:kern w:val="0"/>
                      <w:szCs w:val="21"/>
                    </w:rPr>
                  </w:pPr>
                  <w:r>
                    <w:rPr>
                      <w:rFonts w:eastAsiaTheme="minorEastAsia"/>
                      <w:kern w:val="0"/>
                      <w:szCs w:val="21"/>
                    </w:rPr>
                    <w:t>29</w:t>
                  </w:r>
                </w:p>
              </w:tc>
              <w:tc>
                <w:tcPr>
                  <w:tcW w:w="1924" w:type="dxa"/>
                  <w:shd w:val="clear" w:color="auto" w:fill="auto"/>
                  <w:vAlign w:val="center"/>
                </w:tcPr>
                <w:p w14:paraId="52938A0A">
                  <w:pPr>
                    <w:jc w:val="center"/>
                    <w:rPr>
                      <w:rFonts w:eastAsiaTheme="minorEastAsia"/>
                      <w:szCs w:val="21"/>
                    </w:rPr>
                  </w:pPr>
                  <w:r>
                    <w:rPr>
                      <w:rFonts w:eastAsiaTheme="minorEastAsia"/>
                      <w:szCs w:val="21"/>
                    </w:rPr>
                    <w:t>丝车轮（万向）</w:t>
                  </w:r>
                </w:p>
              </w:tc>
              <w:tc>
                <w:tcPr>
                  <w:tcW w:w="2748" w:type="dxa"/>
                  <w:shd w:val="clear" w:color="auto" w:fill="auto"/>
                  <w:vAlign w:val="center"/>
                </w:tcPr>
                <w:p w14:paraId="01237B2D">
                  <w:pPr>
                    <w:jc w:val="center"/>
                    <w:rPr>
                      <w:rFonts w:eastAsiaTheme="minorEastAsia"/>
                      <w:szCs w:val="21"/>
                    </w:rPr>
                  </w:pPr>
                  <w:r>
                    <w:rPr>
                      <w:rFonts w:eastAsiaTheme="minorEastAsia"/>
                      <w:szCs w:val="21"/>
                    </w:rPr>
                    <w:t>6寸</w:t>
                  </w:r>
                </w:p>
              </w:tc>
              <w:tc>
                <w:tcPr>
                  <w:tcW w:w="530" w:type="dxa"/>
                  <w:shd w:val="clear" w:color="auto" w:fill="auto"/>
                  <w:vAlign w:val="center"/>
                </w:tcPr>
                <w:p w14:paraId="49392325">
                  <w:pPr>
                    <w:jc w:val="center"/>
                    <w:rPr>
                      <w:rFonts w:eastAsiaTheme="minorEastAsia"/>
                      <w:szCs w:val="21"/>
                    </w:rPr>
                  </w:pPr>
                </w:p>
              </w:tc>
              <w:tc>
                <w:tcPr>
                  <w:tcW w:w="1259" w:type="dxa"/>
                  <w:shd w:val="clear" w:color="auto" w:fill="auto"/>
                  <w:vAlign w:val="center"/>
                </w:tcPr>
                <w:p w14:paraId="30062C51">
                  <w:pPr>
                    <w:jc w:val="center"/>
                    <w:rPr>
                      <w:rFonts w:eastAsiaTheme="minorEastAsia"/>
                      <w:szCs w:val="21"/>
                    </w:rPr>
                  </w:pPr>
                  <w:r>
                    <w:rPr>
                      <w:rFonts w:eastAsiaTheme="minorEastAsia"/>
                      <w:szCs w:val="21"/>
                    </w:rPr>
                    <w:t>6200</w:t>
                  </w:r>
                </w:p>
              </w:tc>
              <w:tc>
                <w:tcPr>
                  <w:tcW w:w="672" w:type="dxa"/>
                  <w:vMerge w:val="continue"/>
                  <w:vAlign w:val="center"/>
                </w:tcPr>
                <w:p w14:paraId="5F837BF9">
                  <w:pPr>
                    <w:jc w:val="center"/>
                    <w:rPr>
                      <w:rFonts w:eastAsiaTheme="minorEastAsia"/>
                      <w:szCs w:val="21"/>
                    </w:rPr>
                  </w:pPr>
                </w:p>
              </w:tc>
            </w:tr>
            <w:tr w14:paraId="27AC1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3FCE3A38">
                  <w:pPr>
                    <w:widowControl/>
                    <w:jc w:val="center"/>
                    <w:rPr>
                      <w:rFonts w:eastAsiaTheme="minorEastAsia"/>
                      <w:kern w:val="0"/>
                      <w:szCs w:val="21"/>
                    </w:rPr>
                  </w:pPr>
                  <w:r>
                    <w:rPr>
                      <w:rFonts w:eastAsiaTheme="minorEastAsia"/>
                      <w:kern w:val="0"/>
                      <w:szCs w:val="21"/>
                    </w:rPr>
                    <w:t>30</w:t>
                  </w:r>
                </w:p>
              </w:tc>
              <w:tc>
                <w:tcPr>
                  <w:tcW w:w="1924" w:type="dxa"/>
                  <w:shd w:val="clear" w:color="auto" w:fill="auto"/>
                  <w:vAlign w:val="center"/>
                </w:tcPr>
                <w:p w14:paraId="659C5DAB">
                  <w:pPr>
                    <w:jc w:val="center"/>
                    <w:rPr>
                      <w:rFonts w:eastAsiaTheme="minorEastAsia"/>
                      <w:szCs w:val="21"/>
                    </w:rPr>
                  </w:pPr>
                  <w:r>
                    <w:rPr>
                      <w:rFonts w:eastAsiaTheme="minorEastAsia"/>
                      <w:szCs w:val="21"/>
                    </w:rPr>
                    <w:t>丝车轮（定向）</w:t>
                  </w:r>
                </w:p>
              </w:tc>
              <w:tc>
                <w:tcPr>
                  <w:tcW w:w="2748" w:type="dxa"/>
                  <w:shd w:val="clear" w:color="auto" w:fill="auto"/>
                  <w:vAlign w:val="center"/>
                </w:tcPr>
                <w:p w14:paraId="3AC25578">
                  <w:pPr>
                    <w:jc w:val="center"/>
                    <w:rPr>
                      <w:rFonts w:eastAsiaTheme="minorEastAsia"/>
                      <w:szCs w:val="21"/>
                    </w:rPr>
                  </w:pPr>
                  <w:r>
                    <w:rPr>
                      <w:rFonts w:eastAsiaTheme="minorEastAsia"/>
                      <w:szCs w:val="21"/>
                    </w:rPr>
                    <w:t>8寸</w:t>
                  </w:r>
                </w:p>
              </w:tc>
              <w:tc>
                <w:tcPr>
                  <w:tcW w:w="530" w:type="dxa"/>
                  <w:shd w:val="clear" w:color="auto" w:fill="auto"/>
                  <w:vAlign w:val="center"/>
                </w:tcPr>
                <w:p w14:paraId="4C55A918">
                  <w:pPr>
                    <w:jc w:val="center"/>
                    <w:rPr>
                      <w:rFonts w:eastAsiaTheme="minorEastAsia"/>
                      <w:szCs w:val="21"/>
                    </w:rPr>
                  </w:pPr>
                </w:p>
              </w:tc>
              <w:tc>
                <w:tcPr>
                  <w:tcW w:w="1259" w:type="dxa"/>
                  <w:shd w:val="clear" w:color="auto" w:fill="auto"/>
                  <w:vAlign w:val="center"/>
                </w:tcPr>
                <w:p w14:paraId="0D44E905">
                  <w:pPr>
                    <w:jc w:val="center"/>
                    <w:rPr>
                      <w:rFonts w:eastAsiaTheme="minorEastAsia"/>
                      <w:szCs w:val="21"/>
                    </w:rPr>
                  </w:pPr>
                  <w:r>
                    <w:rPr>
                      <w:rFonts w:eastAsiaTheme="minorEastAsia"/>
                      <w:szCs w:val="21"/>
                    </w:rPr>
                    <w:t>6200</w:t>
                  </w:r>
                </w:p>
              </w:tc>
              <w:tc>
                <w:tcPr>
                  <w:tcW w:w="672" w:type="dxa"/>
                  <w:vMerge w:val="continue"/>
                  <w:vAlign w:val="center"/>
                </w:tcPr>
                <w:p w14:paraId="2C2E4912">
                  <w:pPr>
                    <w:jc w:val="center"/>
                    <w:rPr>
                      <w:rFonts w:eastAsiaTheme="minorEastAsia"/>
                      <w:szCs w:val="21"/>
                    </w:rPr>
                  </w:pPr>
                </w:p>
              </w:tc>
            </w:tr>
            <w:tr w14:paraId="2EDF60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10CDBFAE">
                  <w:pPr>
                    <w:widowControl/>
                    <w:jc w:val="center"/>
                    <w:rPr>
                      <w:rFonts w:eastAsiaTheme="minorEastAsia"/>
                      <w:kern w:val="0"/>
                      <w:szCs w:val="21"/>
                    </w:rPr>
                  </w:pPr>
                  <w:r>
                    <w:rPr>
                      <w:rFonts w:eastAsiaTheme="minorEastAsia"/>
                      <w:kern w:val="0"/>
                      <w:szCs w:val="21"/>
                    </w:rPr>
                    <w:t>31</w:t>
                  </w:r>
                </w:p>
              </w:tc>
              <w:tc>
                <w:tcPr>
                  <w:tcW w:w="1924" w:type="dxa"/>
                  <w:shd w:val="clear" w:color="auto" w:fill="auto"/>
                  <w:vAlign w:val="center"/>
                </w:tcPr>
                <w:p w14:paraId="403F28A3">
                  <w:pPr>
                    <w:jc w:val="center"/>
                    <w:rPr>
                      <w:rFonts w:eastAsiaTheme="minorEastAsia"/>
                      <w:szCs w:val="21"/>
                    </w:rPr>
                  </w:pPr>
                  <w:r>
                    <w:rPr>
                      <w:rFonts w:eastAsiaTheme="minorEastAsia"/>
                      <w:szCs w:val="21"/>
                    </w:rPr>
                    <w:t>组件组装压力机</w:t>
                  </w:r>
                </w:p>
              </w:tc>
              <w:tc>
                <w:tcPr>
                  <w:tcW w:w="2748" w:type="dxa"/>
                  <w:shd w:val="clear" w:color="auto" w:fill="auto"/>
                  <w:vAlign w:val="center"/>
                </w:tcPr>
                <w:p w14:paraId="5206D86B">
                  <w:pPr>
                    <w:jc w:val="center"/>
                    <w:rPr>
                      <w:rFonts w:eastAsiaTheme="minorEastAsia"/>
                      <w:szCs w:val="21"/>
                    </w:rPr>
                  </w:pPr>
                  <w:r>
                    <w:rPr>
                      <w:rFonts w:eastAsiaTheme="minorEastAsia"/>
                      <w:szCs w:val="21"/>
                    </w:rPr>
                    <w:t>40吨压力机</w:t>
                  </w:r>
                </w:p>
              </w:tc>
              <w:tc>
                <w:tcPr>
                  <w:tcW w:w="530" w:type="dxa"/>
                  <w:shd w:val="clear" w:color="auto" w:fill="auto"/>
                  <w:vAlign w:val="center"/>
                </w:tcPr>
                <w:p w14:paraId="6BA96D97">
                  <w:pPr>
                    <w:jc w:val="center"/>
                    <w:rPr>
                      <w:rFonts w:eastAsiaTheme="minorEastAsia"/>
                      <w:szCs w:val="21"/>
                    </w:rPr>
                  </w:pPr>
                </w:p>
              </w:tc>
              <w:tc>
                <w:tcPr>
                  <w:tcW w:w="1259" w:type="dxa"/>
                  <w:shd w:val="clear" w:color="auto" w:fill="auto"/>
                  <w:vAlign w:val="center"/>
                </w:tcPr>
                <w:p w14:paraId="5DDE2933">
                  <w:pPr>
                    <w:jc w:val="center"/>
                    <w:rPr>
                      <w:rFonts w:eastAsiaTheme="minorEastAsia"/>
                      <w:szCs w:val="21"/>
                    </w:rPr>
                  </w:pPr>
                  <w:r>
                    <w:rPr>
                      <w:rFonts w:eastAsiaTheme="minorEastAsia"/>
                      <w:szCs w:val="21"/>
                    </w:rPr>
                    <w:t>2</w:t>
                  </w:r>
                </w:p>
              </w:tc>
              <w:tc>
                <w:tcPr>
                  <w:tcW w:w="672" w:type="dxa"/>
                  <w:vMerge w:val="continue"/>
                  <w:vAlign w:val="center"/>
                </w:tcPr>
                <w:p w14:paraId="2F451407">
                  <w:pPr>
                    <w:jc w:val="center"/>
                    <w:rPr>
                      <w:rFonts w:eastAsiaTheme="minorEastAsia"/>
                      <w:szCs w:val="21"/>
                    </w:rPr>
                  </w:pPr>
                </w:p>
              </w:tc>
            </w:tr>
            <w:tr w14:paraId="0CF816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4A80E3FE">
                  <w:pPr>
                    <w:widowControl/>
                    <w:jc w:val="center"/>
                    <w:rPr>
                      <w:rFonts w:eastAsiaTheme="minorEastAsia"/>
                      <w:kern w:val="0"/>
                      <w:szCs w:val="21"/>
                    </w:rPr>
                  </w:pPr>
                  <w:r>
                    <w:rPr>
                      <w:rFonts w:eastAsiaTheme="minorEastAsia"/>
                      <w:kern w:val="0"/>
                      <w:szCs w:val="21"/>
                    </w:rPr>
                    <w:t>32</w:t>
                  </w:r>
                </w:p>
              </w:tc>
              <w:tc>
                <w:tcPr>
                  <w:tcW w:w="1924" w:type="dxa"/>
                  <w:shd w:val="clear" w:color="auto" w:fill="auto"/>
                  <w:vAlign w:val="center"/>
                </w:tcPr>
                <w:p w14:paraId="4DB76C0D">
                  <w:pPr>
                    <w:jc w:val="center"/>
                    <w:rPr>
                      <w:rFonts w:eastAsiaTheme="minorEastAsia"/>
                      <w:szCs w:val="21"/>
                    </w:rPr>
                  </w:pPr>
                  <w:r>
                    <w:rPr>
                      <w:rFonts w:eastAsiaTheme="minorEastAsia"/>
                      <w:szCs w:val="21"/>
                    </w:rPr>
                    <w:t>组件组装压力机</w:t>
                  </w:r>
                </w:p>
              </w:tc>
              <w:tc>
                <w:tcPr>
                  <w:tcW w:w="2748" w:type="dxa"/>
                  <w:shd w:val="clear" w:color="auto" w:fill="auto"/>
                  <w:vAlign w:val="center"/>
                </w:tcPr>
                <w:p w14:paraId="10B91454">
                  <w:pPr>
                    <w:jc w:val="center"/>
                    <w:rPr>
                      <w:rFonts w:eastAsiaTheme="minorEastAsia"/>
                      <w:szCs w:val="21"/>
                    </w:rPr>
                  </w:pPr>
                  <w:r>
                    <w:rPr>
                      <w:rFonts w:eastAsiaTheme="minorEastAsia"/>
                      <w:szCs w:val="21"/>
                    </w:rPr>
                    <w:t>16吨压力机</w:t>
                  </w:r>
                </w:p>
              </w:tc>
              <w:tc>
                <w:tcPr>
                  <w:tcW w:w="530" w:type="dxa"/>
                  <w:shd w:val="clear" w:color="auto" w:fill="auto"/>
                  <w:vAlign w:val="center"/>
                </w:tcPr>
                <w:p w14:paraId="274D99AF">
                  <w:pPr>
                    <w:jc w:val="center"/>
                    <w:rPr>
                      <w:rFonts w:eastAsiaTheme="minorEastAsia"/>
                      <w:szCs w:val="21"/>
                    </w:rPr>
                  </w:pPr>
                </w:p>
              </w:tc>
              <w:tc>
                <w:tcPr>
                  <w:tcW w:w="1259" w:type="dxa"/>
                  <w:shd w:val="clear" w:color="auto" w:fill="auto"/>
                  <w:vAlign w:val="center"/>
                </w:tcPr>
                <w:p w14:paraId="670D86C5">
                  <w:pPr>
                    <w:jc w:val="center"/>
                    <w:rPr>
                      <w:rFonts w:eastAsiaTheme="minorEastAsia"/>
                      <w:szCs w:val="21"/>
                    </w:rPr>
                  </w:pPr>
                  <w:r>
                    <w:rPr>
                      <w:rFonts w:eastAsiaTheme="minorEastAsia"/>
                      <w:szCs w:val="21"/>
                    </w:rPr>
                    <w:t>1</w:t>
                  </w:r>
                </w:p>
              </w:tc>
              <w:tc>
                <w:tcPr>
                  <w:tcW w:w="672" w:type="dxa"/>
                  <w:vMerge w:val="continue"/>
                  <w:vAlign w:val="center"/>
                </w:tcPr>
                <w:p w14:paraId="179D48C0">
                  <w:pPr>
                    <w:jc w:val="center"/>
                    <w:rPr>
                      <w:rFonts w:eastAsiaTheme="minorEastAsia"/>
                      <w:szCs w:val="21"/>
                    </w:rPr>
                  </w:pPr>
                </w:p>
              </w:tc>
            </w:tr>
            <w:tr w14:paraId="0D8969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247A5132">
                  <w:pPr>
                    <w:widowControl/>
                    <w:jc w:val="center"/>
                    <w:rPr>
                      <w:rFonts w:eastAsiaTheme="minorEastAsia"/>
                      <w:kern w:val="0"/>
                      <w:szCs w:val="21"/>
                    </w:rPr>
                  </w:pPr>
                  <w:r>
                    <w:rPr>
                      <w:rFonts w:eastAsiaTheme="minorEastAsia"/>
                      <w:kern w:val="0"/>
                      <w:szCs w:val="21"/>
                    </w:rPr>
                    <w:t>33</w:t>
                  </w:r>
                </w:p>
              </w:tc>
              <w:tc>
                <w:tcPr>
                  <w:tcW w:w="1924" w:type="dxa"/>
                  <w:shd w:val="clear" w:color="000000" w:fill="FFFFFF"/>
                  <w:vAlign w:val="center"/>
                </w:tcPr>
                <w:p w14:paraId="0389AAA2">
                  <w:pPr>
                    <w:jc w:val="center"/>
                    <w:rPr>
                      <w:rFonts w:eastAsiaTheme="minorEastAsia"/>
                      <w:szCs w:val="21"/>
                    </w:rPr>
                  </w:pPr>
                  <w:r>
                    <w:rPr>
                      <w:rFonts w:eastAsiaTheme="minorEastAsia"/>
                      <w:szCs w:val="21"/>
                    </w:rPr>
                    <w:t>空调风管</w:t>
                  </w:r>
                </w:p>
              </w:tc>
              <w:tc>
                <w:tcPr>
                  <w:tcW w:w="2748" w:type="dxa"/>
                  <w:shd w:val="clear" w:color="auto" w:fill="auto"/>
                  <w:vAlign w:val="center"/>
                </w:tcPr>
                <w:p w14:paraId="5363B68F">
                  <w:pPr>
                    <w:jc w:val="center"/>
                    <w:rPr>
                      <w:rFonts w:eastAsiaTheme="minorEastAsia"/>
                      <w:szCs w:val="21"/>
                    </w:rPr>
                  </w:pPr>
                  <w:r>
                    <w:rPr>
                      <w:rFonts w:eastAsiaTheme="minorEastAsia"/>
                      <w:szCs w:val="21"/>
                    </w:rPr>
                    <w:t>10跨风管</w:t>
                  </w:r>
                </w:p>
              </w:tc>
              <w:tc>
                <w:tcPr>
                  <w:tcW w:w="530" w:type="dxa"/>
                  <w:shd w:val="clear" w:color="auto" w:fill="auto"/>
                  <w:vAlign w:val="center"/>
                </w:tcPr>
                <w:p w14:paraId="335F5E26">
                  <w:pPr>
                    <w:jc w:val="center"/>
                    <w:rPr>
                      <w:rFonts w:eastAsiaTheme="minorEastAsia"/>
                      <w:szCs w:val="21"/>
                    </w:rPr>
                  </w:pPr>
                </w:p>
              </w:tc>
              <w:tc>
                <w:tcPr>
                  <w:tcW w:w="1259" w:type="dxa"/>
                  <w:shd w:val="clear" w:color="auto" w:fill="auto"/>
                  <w:vAlign w:val="center"/>
                </w:tcPr>
                <w:p w14:paraId="6CAB953E">
                  <w:pPr>
                    <w:jc w:val="center"/>
                    <w:rPr>
                      <w:rFonts w:eastAsiaTheme="minorEastAsia"/>
                      <w:szCs w:val="21"/>
                    </w:rPr>
                  </w:pPr>
                  <w:r>
                    <w:rPr>
                      <w:rFonts w:eastAsiaTheme="minorEastAsia"/>
                      <w:szCs w:val="21"/>
                    </w:rPr>
                    <w:t>10</w:t>
                  </w:r>
                </w:p>
              </w:tc>
              <w:tc>
                <w:tcPr>
                  <w:tcW w:w="672" w:type="dxa"/>
                  <w:vMerge w:val="continue"/>
                  <w:vAlign w:val="center"/>
                </w:tcPr>
                <w:p w14:paraId="621F2748">
                  <w:pPr>
                    <w:jc w:val="center"/>
                    <w:rPr>
                      <w:rFonts w:eastAsiaTheme="minorEastAsia"/>
                      <w:szCs w:val="21"/>
                    </w:rPr>
                  </w:pPr>
                </w:p>
              </w:tc>
            </w:tr>
            <w:tr w14:paraId="2E218C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6BA613F0">
                  <w:pPr>
                    <w:widowControl/>
                    <w:jc w:val="center"/>
                    <w:rPr>
                      <w:rFonts w:eastAsiaTheme="minorEastAsia"/>
                      <w:kern w:val="0"/>
                      <w:szCs w:val="21"/>
                    </w:rPr>
                  </w:pPr>
                  <w:r>
                    <w:rPr>
                      <w:rFonts w:eastAsiaTheme="minorEastAsia"/>
                      <w:kern w:val="0"/>
                      <w:szCs w:val="21"/>
                    </w:rPr>
                    <w:t>34</w:t>
                  </w:r>
                </w:p>
              </w:tc>
              <w:tc>
                <w:tcPr>
                  <w:tcW w:w="1924" w:type="dxa"/>
                  <w:shd w:val="clear" w:color="auto" w:fill="auto"/>
                  <w:vAlign w:val="center"/>
                </w:tcPr>
                <w:p w14:paraId="5D57BED8">
                  <w:pPr>
                    <w:jc w:val="center"/>
                    <w:rPr>
                      <w:rFonts w:eastAsiaTheme="minorEastAsia"/>
                      <w:szCs w:val="21"/>
                    </w:rPr>
                  </w:pPr>
                  <w:r>
                    <w:rPr>
                      <w:rFonts w:eastAsiaTheme="minorEastAsia"/>
                      <w:szCs w:val="21"/>
                    </w:rPr>
                    <w:t>自动化纸管库</w:t>
                  </w:r>
                </w:p>
              </w:tc>
              <w:tc>
                <w:tcPr>
                  <w:tcW w:w="2748" w:type="dxa"/>
                  <w:shd w:val="clear" w:color="auto" w:fill="auto"/>
                  <w:vAlign w:val="center"/>
                </w:tcPr>
                <w:p w14:paraId="0A414A9A">
                  <w:pPr>
                    <w:jc w:val="center"/>
                    <w:rPr>
                      <w:rFonts w:eastAsiaTheme="minorEastAsia"/>
                      <w:szCs w:val="21"/>
                    </w:rPr>
                  </w:pPr>
                </w:p>
              </w:tc>
              <w:tc>
                <w:tcPr>
                  <w:tcW w:w="530" w:type="dxa"/>
                  <w:shd w:val="clear" w:color="auto" w:fill="auto"/>
                  <w:vAlign w:val="center"/>
                </w:tcPr>
                <w:p w14:paraId="05D7992A">
                  <w:pPr>
                    <w:jc w:val="center"/>
                    <w:rPr>
                      <w:rFonts w:eastAsiaTheme="minorEastAsia"/>
                      <w:szCs w:val="21"/>
                    </w:rPr>
                  </w:pPr>
                </w:p>
              </w:tc>
              <w:tc>
                <w:tcPr>
                  <w:tcW w:w="1259" w:type="dxa"/>
                  <w:shd w:val="clear" w:color="auto" w:fill="auto"/>
                  <w:vAlign w:val="center"/>
                </w:tcPr>
                <w:p w14:paraId="3B1BA1F8">
                  <w:pPr>
                    <w:jc w:val="center"/>
                    <w:rPr>
                      <w:rFonts w:eastAsiaTheme="minorEastAsia"/>
                      <w:szCs w:val="21"/>
                    </w:rPr>
                  </w:pPr>
                  <w:r>
                    <w:rPr>
                      <w:rFonts w:eastAsiaTheme="minorEastAsia"/>
                      <w:szCs w:val="21"/>
                    </w:rPr>
                    <w:t>1</w:t>
                  </w:r>
                </w:p>
              </w:tc>
              <w:tc>
                <w:tcPr>
                  <w:tcW w:w="672" w:type="dxa"/>
                  <w:vMerge w:val="continue"/>
                  <w:vAlign w:val="center"/>
                </w:tcPr>
                <w:p w14:paraId="706AFDC9">
                  <w:pPr>
                    <w:jc w:val="center"/>
                    <w:rPr>
                      <w:rFonts w:eastAsiaTheme="minorEastAsia"/>
                      <w:szCs w:val="21"/>
                    </w:rPr>
                  </w:pPr>
                </w:p>
              </w:tc>
            </w:tr>
            <w:tr w14:paraId="656CA7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5813EEB5">
                  <w:pPr>
                    <w:widowControl/>
                    <w:jc w:val="center"/>
                    <w:rPr>
                      <w:rFonts w:eastAsiaTheme="minorEastAsia"/>
                      <w:kern w:val="0"/>
                      <w:szCs w:val="21"/>
                    </w:rPr>
                  </w:pPr>
                  <w:r>
                    <w:rPr>
                      <w:rFonts w:eastAsiaTheme="minorEastAsia"/>
                      <w:kern w:val="0"/>
                      <w:szCs w:val="21"/>
                    </w:rPr>
                    <w:t>35</w:t>
                  </w:r>
                </w:p>
              </w:tc>
              <w:tc>
                <w:tcPr>
                  <w:tcW w:w="1924" w:type="dxa"/>
                  <w:shd w:val="clear" w:color="auto" w:fill="auto"/>
                  <w:vAlign w:val="center"/>
                </w:tcPr>
                <w:p w14:paraId="0FB984CD">
                  <w:pPr>
                    <w:jc w:val="center"/>
                    <w:rPr>
                      <w:rFonts w:eastAsiaTheme="minorEastAsia"/>
                      <w:szCs w:val="21"/>
                    </w:rPr>
                  </w:pPr>
                  <w:r>
                    <w:rPr>
                      <w:rFonts w:eastAsiaTheme="minorEastAsia"/>
                      <w:szCs w:val="21"/>
                    </w:rPr>
                    <w:t>手拉葫芦</w:t>
                  </w:r>
                </w:p>
              </w:tc>
              <w:tc>
                <w:tcPr>
                  <w:tcW w:w="2748" w:type="dxa"/>
                  <w:shd w:val="clear" w:color="auto" w:fill="auto"/>
                  <w:vAlign w:val="center"/>
                </w:tcPr>
                <w:p w14:paraId="5B28674A">
                  <w:pPr>
                    <w:jc w:val="center"/>
                    <w:rPr>
                      <w:rFonts w:eastAsiaTheme="minorEastAsia"/>
                      <w:szCs w:val="21"/>
                    </w:rPr>
                  </w:pPr>
                  <w:r>
                    <w:rPr>
                      <w:rFonts w:eastAsiaTheme="minorEastAsia"/>
                      <w:szCs w:val="21"/>
                    </w:rPr>
                    <w:t>1t×6m 单链</w:t>
                  </w:r>
                </w:p>
              </w:tc>
              <w:tc>
                <w:tcPr>
                  <w:tcW w:w="530" w:type="dxa"/>
                  <w:shd w:val="clear" w:color="auto" w:fill="auto"/>
                  <w:vAlign w:val="center"/>
                </w:tcPr>
                <w:p w14:paraId="380F7247">
                  <w:pPr>
                    <w:jc w:val="center"/>
                    <w:rPr>
                      <w:rFonts w:eastAsiaTheme="minorEastAsia"/>
                      <w:szCs w:val="21"/>
                    </w:rPr>
                  </w:pPr>
                </w:p>
              </w:tc>
              <w:tc>
                <w:tcPr>
                  <w:tcW w:w="1259" w:type="dxa"/>
                  <w:shd w:val="clear" w:color="auto" w:fill="auto"/>
                  <w:vAlign w:val="center"/>
                </w:tcPr>
                <w:p w14:paraId="439FD2F4">
                  <w:pPr>
                    <w:jc w:val="center"/>
                    <w:rPr>
                      <w:rFonts w:eastAsiaTheme="minorEastAsia"/>
                      <w:szCs w:val="21"/>
                    </w:rPr>
                  </w:pPr>
                  <w:r>
                    <w:rPr>
                      <w:rFonts w:eastAsiaTheme="minorEastAsia"/>
                      <w:szCs w:val="21"/>
                    </w:rPr>
                    <w:t>8</w:t>
                  </w:r>
                </w:p>
              </w:tc>
              <w:tc>
                <w:tcPr>
                  <w:tcW w:w="672" w:type="dxa"/>
                  <w:vMerge w:val="continue"/>
                  <w:vAlign w:val="center"/>
                </w:tcPr>
                <w:p w14:paraId="1CA05657">
                  <w:pPr>
                    <w:jc w:val="center"/>
                    <w:rPr>
                      <w:rFonts w:eastAsiaTheme="minorEastAsia"/>
                      <w:szCs w:val="21"/>
                    </w:rPr>
                  </w:pPr>
                </w:p>
              </w:tc>
            </w:tr>
            <w:tr w14:paraId="14A87C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1457DB40">
                  <w:pPr>
                    <w:widowControl/>
                    <w:jc w:val="center"/>
                    <w:rPr>
                      <w:rFonts w:eastAsiaTheme="minorEastAsia"/>
                      <w:kern w:val="0"/>
                      <w:szCs w:val="21"/>
                    </w:rPr>
                  </w:pPr>
                  <w:r>
                    <w:rPr>
                      <w:rFonts w:eastAsiaTheme="minorEastAsia"/>
                      <w:kern w:val="0"/>
                      <w:szCs w:val="21"/>
                    </w:rPr>
                    <w:t>36</w:t>
                  </w:r>
                </w:p>
              </w:tc>
              <w:tc>
                <w:tcPr>
                  <w:tcW w:w="1924" w:type="dxa"/>
                  <w:shd w:val="clear" w:color="auto" w:fill="auto"/>
                  <w:vAlign w:val="center"/>
                </w:tcPr>
                <w:p w14:paraId="0982D9CE">
                  <w:pPr>
                    <w:jc w:val="center"/>
                    <w:rPr>
                      <w:rFonts w:eastAsiaTheme="minorEastAsia"/>
                      <w:szCs w:val="21"/>
                    </w:rPr>
                  </w:pPr>
                  <w:r>
                    <w:rPr>
                      <w:rFonts w:eastAsiaTheme="minorEastAsia"/>
                      <w:szCs w:val="21"/>
                    </w:rPr>
                    <w:t>多轮手动滑车</w:t>
                  </w:r>
                </w:p>
              </w:tc>
              <w:tc>
                <w:tcPr>
                  <w:tcW w:w="2748" w:type="dxa"/>
                  <w:shd w:val="clear" w:color="auto" w:fill="auto"/>
                  <w:vAlign w:val="center"/>
                </w:tcPr>
                <w:p w14:paraId="7BEA661C">
                  <w:pPr>
                    <w:jc w:val="center"/>
                    <w:rPr>
                      <w:rFonts w:eastAsiaTheme="minorEastAsia"/>
                      <w:szCs w:val="21"/>
                    </w:rPr>
                  </w:pPr>
                  <w:r>
                    <w:rPr>
                      <w:rFonts w:eastAsiaTheme="minorEastAsia"/>
                      <w:szCs w:val="21"/>
                    </w:rPr>
                    <w:t>1t×3m 单链</w:t>
                  </w:r>
                </w:p>
              </w:tc>
              <w:tc>
                <w:tcPr>
                  <w:tcW w:w="530" w:type="dxa"/>
                  <w:shd w:val="clear" w:color="auto" w:fill="auto"/>
                  <w:vAlign w:val="center"/>
                </w:tcPr>
                <w:p w14:paraId="6A5C3BCD">
                  <w:pPr>
                    <w:jc w:val="center"/>
                    <w:rPr>
                      <w:rFonts w:eastAsiaTheme="minorEastAsia"/>
                      <w:szCs w:val="21"/>
                    </w:rPr>
                  </w:pPr>
                </w:p>
              </w:tc>
              <w:tc>
                <w:tcPr>
                  <w:tcW w:w="1259" w:type="dxa"/>
                  <w:shd w:val="clear" w:color="auto" w:fill="auto"/>
                  <w:vAlign w:val="center"/>
                </w:tcPr>
                <w:p w14:paraId="6F6F1C95">
                  <w:pPr>
                    <w:jc w:val="center"/>
                    <w:rPr>
                      <w:rFonts w:eastAsiaTheme="minorEastAsia"/>
                      <w:szCs w:val="21"/>
                    </w:rPr>
                  </w:pPr>
                  <w:r>
                    <w:rPr>
                      <w:rFonts w:eastAsiaTheme="minorEastAsia"/>
                      <w:szCs w:val="21"/>
                    </w:rPr>
                    <w:t>8</w:t>
                  </w:r>
                </w:p>
              </w:tc>
              <w:tc>
                <w:tcPr>
                  <w:tcW w:w="672" w:type="dxa"/>
                  <w:vMerge w:val="continue"/>
                  <w:vAlign w:val="center"/>
                </w:tcPr>
                <w:p w14:paraId="31A0CE50">
                  <w:pPr>
                    <w:jc w:val="center"/>
                    <w:rPr>
                      <w:rFonts w:eastAsiaTheme="minorEastAsia"/>
                      <w:szCs w:val="21"/>
                    </w:rPr>
                  </w:pPr>
                </w:p>
              </w:tc>
            </w:tr>
            <w:tr w14:paraId="02895E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80" w:type="dxa"/>
                  <w:vAlign w:val="center"/>
                </w:tcPr>
                <w:p w14:paraId="1EC3350A">
                  <w:pPr>
                    <w:widowControl/>
                    <w:jc w:val="center"/>
                    <w:rPr>
                      <w:rFonts w:eastAsiaTheme="minorEastAsia"/>
                      <w:kern w:val="0"/>
                      <w:szCs w:val="21"/>
                    </w:rPr>
                  </w:pPr>
                  <w:r>
                    <w:rPr>
                      <w:rFonts w:eastAsiaTheme="minorEastAsia"/>
                      <w:kern w:val="0"/>
                      <w:szCs w:val="21"/>
                    </w:rPr>
                    <w:t>37</w:t>
                  </w:r>
                </w:p>
              </w:tc>
              <w:tc>
                <w:tcPr>
                  <w:tcW w:w="1924" w:type="dxa"/>
                  <w:shd w:val="clear" w:color="auto" w:fill="auto"/>
                  <w:vAlign w:val="center"/>
                </w:tcPr>
                <w:p w14:paraId="41D68BB6">
                  <w:pPr>
                    <w:jc w:val="center"/>
                    <w:rPr>
                      <w:rFonts w:eastAsiaTheme="minorEastAsia"/>
                      <w:szCs w:val="21"/>
                    </w:rPr>
                  </w:pPr>
                  <w:r>
                    <w:rPr>
                      <w:rFonts w:eastAsiaTheme="minorEastAsia"/>
                      <w:szCs w:val="21"/>
                    </w:rPr>
                    <w:t>注入系统</w:t>
                  </w:r>
                </w:p>
              </w:tc>
              <w:tc>
                <w:tcPr>
                  <w:tcW w:w="2748" w:type="dxa"/>
                  <w:shd w:val="clear" w:color="auto" w:fill="auto"/>
                  <w:vAlign w:val="center"/>
                </w:tcPr>
                <w:p w14:paraId="5EBA9F1B">
                  <w:pPr>
                    <w:jc w:val="center"/>
                    <w:rPr>
                      <w:rFonts w:eastAsiaTheme="minorEastAsia"/>
                      <w:szCs w:val="21"/>
                    </w:rPr>
                  </w:pPr>
                  <w:r>
                    <w:rPr>
                      <w:rFonts w:eastAsiaTheme="minorEastAsia"/>
                      <w:szCs w:val="21"/>
                    </w:rPr>
                    <w:t>30位</w:t>
                  </w:r>
                </w:p>
              </w:tc>
              <w:tc>
                <w:tcPr>
                  <w:tcW w:w="530" w:type="dxa"/>
                  <w:shd w:val="clear" w:color="auto" w:fill="auto"/>
                  <w:vAlign w:val="center"/>
                </w:tcPr>
                <w:p w14:paraId="3876AE6B">
                  <w:pPr>
                    <w:jc w:val="center"/>
                    <w:rPr>
                      <w:rFonts w:eastAsiaTheme="minorEastAsia"/>
                      <w:szCs w:val="21"/>
                    </w:rPr>
                  </w:pPr>
                </w:p>
              </w:tc>
              <w:tc>
                <w:tcPr>
                  <w:tcW w:w="1259" w:type="dxa"/>
                  <w:shd w:val="clear" w:color="auto" w:fill="auto"/>
                  <w:vAlign w:val="center"/>
                </w:tcPr>
                <w:p w14:paraId="3C0E1005">
                  <w:pPr>
                    <w:jc w:val="center"/>
                    <w:rPr>
                      <w:rFonts w:eastAsiaTheme="minorEastAsia"/>
                      <w:szCs w:val="21"/>
                    </w:rPr>
                  </w:pPr>
                  <w:r>
                    <w:rPr>
                      <w:rFonts w:eastAsiaTheme="minorEastAsia"/>
                      <w:szCs w:val="21"/>
                    </w:rPr>
                    <w:t>1</w:t>
                  </w:r>
                </w:p>
              </w:tc>
              <w:tc>
                <w:tcPr>
                  <w:tcW w:w="672" w:type="dxa"/>
                  <w:vMerge w:val="continue"/>
                  <w:vAlign w:val="center"/>
                </w:tcPr>
                <w:p w14:paraId="49CA322C">
                  <w:pPr>
                    <w:jc w:val="center"/>
                    <w:rPr>
                      <w:rFonts w:eastAsiaTheme="minorEastAsia"/>
                      <w:szCs w:val="21"/>
                    </w:rPr>
                  </w:pPr>
                </w:p>
              </w:tc>
            </w:tr>
            <w:tr w14:paraId="04B4EB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6B065674">
                  <w:pPr>
                    <w:widowControl/>
                    <w:jc w:val="center"/>
                    <w:rPr>
                      <w:rFonts w:eastAsiaTheme="minorEastAsia"/>
                      <w:kern w:val="0"/>
                      <w:szCs w:val="21"/>
                    </w:rPr>
                  </w:pPr>
                  <w:r>
                    <w:rPr>
                      <w:rFonts w:eastAsiaTheme="minorEastAsia"/>
                      <w:kern w:val="0"/>
                      <w:szCs w:val="21"/>
                    </w:rPr>
                    <w:t>60</w:t>
                  </w:r>
                </w:p>
              </w:tc>
              <w:tc>
                <w:tcPr>
                  <w:tcW w:w="1924" w:type="dxa"/>
                  <w:vAlign w:val="center"/>
                </w:tcPr>
                <w:p w14:paraId="6D2F8FA2">
                  <w:pPr>
                    <w:widowControl/>
                    <w:jc w:val="center"/>
                    <w:rPr>
                      <w:rFonts w:eastAsiaTheme="minorEastAsia"/>
                      <w:kern w:val="0"/>
                      <w:szCs w:val="21"/>
                    </w:rPr>
                  </w:pPr>
                  <w:r>
                    <w:rPr>
                      <w:rFonts w:eastAsiaTheme="minorEastAsia"/>
                      <w:kern w:val="0"/>
                      <w:szCs w:val="21"/>
                    </w:rPr>
                    <w:t>涤锦复合干燥系统</w:t>
                  </w:r>
                </w:p>
              </w:tc>
              <w:tc>
                <w:tcPr>
                  <w:tcW w:w="2748" w:type="dxa"/>
                  <w:noWrap/>
                  <w:vAlign w:val="center"/>
                </w:tcPr>
                <w:p w14:paraId="54A6358F">
                  <w:pPr>
                    <w:widowControl/>
                    <w:jc w:val="center"/>
                    <w:rPr>
                      <w:rFonts w:eastAsiaTheme="minorEastAsia"/>
                      <w:kern w:val="0"/>
                      <w:szCs w:val="21"/>
                    </w:rPr>
                  </w:pPr>
                  <w:r>
                    <w:rPr>
                      <w:rFonts w:eastAsiaTheme="minorEastAsia"/>
                      <w:kern w:val="0"/>
                      <w:szCs w:val="21"/>
                    </w:rPr>
                    <w:t>50KW/套</w:t>
                  </w:r>
                </w:p>
              </w:tc>
              <w:tc>
                <w:tcPr>
                  <w:tcW w:w="530" w:type="dxa"/>
                  <w:vAlign w:val="center"/>
                </w:tcPr>
                <w:p w14:paraId="07618499">
                  <w:pPr>
                    <w:widowControl/>
                    <w:jc w:val="center"/>
                    <w:rPr>
                      <w:rFonts w:eastAsiaTheme="minorEastAsia"/>
                      <w:kern w:val="0"/>
                      <w:szCs w:val="21"/>
                    </w:rPr>
                  </w:pPr>
                  <w:r>
                    <w:rPr>
                      <w:rFonts w:eastAsiaTheme="minorEastAsia"/>
                      <w:kern w:val="0"/>
                      <w:szCs w:val="21"/>
                    </w:rPr>
                    <w:t>套</w:t>
                  </w:r>
                </w:p>
              </w:tc>
              <w:tc>
                <w:tcPr>
                  <w:tcW w:w="1259" w:type="dxa"/>
                  <w:vAlign w:val="center"/>
                </w:tcPr>
                <w:p w14:paraId="4328864C">
                  <w:pPr>
                    <w:widowControl/>
                    <w:jc w:val="center"/>
                    <w:rPr>
                      <w:rFonts w:eastAsiaTheme="minorEastAsia"/>
                      <w:kern w:val="0"/>
                      <w:szCs w:val="21"/>
                    </w:rPr>
                  </w:pPr>
                  <w:r>
                    <w:rPr>
                      <w:rFonts w:eastAsiaTheme="minorEastAsia"/>
                      <w:kern w:val="0"/>
                      <w:szCs w:val="21"/>
                    </w:rPr>
                    <w:t>4</w:t>
                  </w:r>
                </w:p>
              </w:tc>
              <w:tc>
                <w:tcPr>
                  <w:tcW w:w="672" w:type="dxa"/>
                  <w:vMerge w:val="continue"/>
                  <w:vAlign w:val="center"/>
                </w:tcPr>
                <w:p w14:paraId="1644E33C">
                  <w:pPr>
                    <w:widowControl/>
                    <w:jc w:val="center"/>
                    <w:rPr>
                      <w:rFonts w:eastAsiaTheme="minorEastAsia"/>
                      <w:kern w:val="0"/>
                      <w:szCs w:val="21"/>
                    </w:rPr>
                  </w:pPr>
                </w:p>
              </w:tc>
            </w:tr>
            <w:tr w14:paraId="0DB3F6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2BBF2C31">
                  <w:pPr>
                    <w:widowControl/>
                    <w:jc w:val="center"/>
                    <w:rPr>
                      <w:rFonts w:eastAsiaTheme="minorEastAsia"/>
                      <w:kern w:val="0"/>
                      <w:szCs w:val="21"/>
                    </w:rPr>
                  </w:pPr>
                  <w:r>
                    <w:rPr>
                      <w:rFonts w:eastAsiaTheme="minorEastAsia"/>
                      <w:kern w:val="0"/>
                      <w:szCs w:val="21"/>
                    </w:rPr>
                    <w:t>61</w:t>
                  </w:r>
                </w:p>
              </w:tc>
              <w:tc>
                <w:tcPr>
                  <w:tcW w:w="1924" w:type="dxa"/>
                  <w:vAlign w:val="center"/>
                </w:tcPr>
                <w:p w14:paraId="600F24F2">
                  <w:pPr>
                    <w:widowControl/>
                    <w:jc w:val="center"/>
                    <w:rPr>
                      <w:rFonts w:eastAsiaTheme="minorEastAsia"/>
                      <w:kern w:val="0"/>
                      <w:szCs w:val="21"/>
                    </w:rPr>
                  </w:pPr>
                  <w:r>
                    <w:rPr>
                      <w:rFonts w:eastAsiaTheme="minorEastAsia"/>
                      <w:kern w:val="0"/>
                      <w:szCs w:val="21"/>
                    </w:rPr>
                    <w:t>涤锦螺杆</w:t>
                  </w:r>
                </w:p>
              </w:tc>
              <w:tc>
                <w:tcPr>
                  <w:tcW w:w="2748" w:type="dxa"/>
                  <w:vAlign w:val="center"/>
                </w:tcPr>
                <w:p w14:paraId="40094D41">
                  <w:pPr>
                    <w:widowControl/>
                    <w:jc w:val="center"/>
                    <w:rPr>
                      <w:rFonts w:eastAsiaTheme="minorEastAsia"/>
                      <w:kern w:val="0"/>
                      <w:szCs w:val="21"/>
                    </w:rPr>
                  </w:pPr>
                  <w:r>
                    <w:rPr>
                      <w:rFonts w:eastAsiaTheme="minorEastAsia"/>
                      <w:kern w:val="0"/>
                      <w:szCs w:val="21"/>
                    </w:rPr>
                    <w:t>Ø135，拖动功率90KW/套，加热功率：63KW/套</w:t>
                  </w:r>
                </w:p>
              </w:tc>
              <w:tc>
                <w:tcPr>
                  <w:tcW w:w="530" w:type="dxa"/>
                  <w:vAlign w:val="center"/>
                </w:tcPr>
                <w:p w14:paraId="3FE57B53">
                  <w:pPr>
                    <w:widowControl/>
                    <w:jc w:val="center"/>
                    <w:rPr>
                      <w:rFonts w:eastAsiaTheme="minorEastAsia"/>
                      <w:kern w:val="0"/>
                      <w:szCs w:val="21"/>
                    </w:rPr>
                  </w:pPr>
                  <w:r>
                    <w:rPr>
                      <w:rFonts w:eastAsiaTheme="minorEastAsia"/>
                      <w:kern w:val="0"/>
                      <w:szCs w:val="21"/>
                    </w:rPr>
                    <w:t>套</w:t>
                  </w:r>
                </w:p>
              </w:tc>
              <w:tc>
                <w:tcPr>
                  <w:tcW w:w="1259" w:type="dxa"/>
                  <w:vAlign w:val="center"/>
                </w:tcPr>
                <w:p w14:paraId="61B8E848">
                  <w:pPr>
                    <w:widowControl/>
                    <w:jc w:val="center"/>
                    <w:rPr>
                      <w:rFonts w:eastAsiaTheme="minorEastAsia"/>
                      <w:kern w:val="0"/>
                      <w:szCs w:val="21"/>
                    </w:rPr>
                  </w:pPr>
                  <w:r>
                    <w:rPr>
                      <w:rFonts w:eastAsiaTheme="minorEastAsia"/>
                      <w:kern w:val="0"/>
                      <w:szCs w:val="21"/>
                    </w:rPr>
                    <w:t>6</w:t>
                  </w:r>
                </w:p>
              </w:tc>
              <w:tc>
                <w:tcPr>
                  <w:tcW w:w="672" w:type="dxa"/>
                  <w:vMerge w:val="continue"/>
                  <w:vAlign w:val="center"/>
                </w:tcPr>
                <w:p w14:paraId="2D8AD712">
                  <w:pPr>
                    <w:widowControl/>
                    <w:jc w:val="center"/>
                    <w:rPr>
                      <w:rFonts w:eastAsiaTheme="minorEastAsia"/>
                      <w:kern w:val="0"/>
                      <w:szCs w:val="21"/>
                    </w:rPr>
                  </w:pPr>
                </w:p>
              </w:tc>
            </w:tr>
            <w:tr w14:paraId="40BDD2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4C0F54AF">
                  <w:pPr>
                    <w:widowControl/>
                    <w:jc w:val="center"/>
                    <w:rPr>
                      <w:rFonts w:eastAsiaTheme="minorEastAsia"/>
                      <w:kern w:val="0"/>
                      <w:szCs w:val="21"/>
                    </w:rPr>
                  </w:pPr>
                  <w:r>
                    <w:rPr>
                      <w:rFonts w:eastAsiaTheme="minorEastAsia"/>
                      <w:kern w:val="0"/>
                      <w:szCs w:val="21"/>
                    </w:rPr>
                    <w:t>62</w:t>
                  </w:r>
                </w:p>
              </w:tc>
              <w:tc>
                <w:tcPr>
                  <w:tcW w:w="1924" w:type="dxa"/>
                  <w:vAlign w:val="center"/>
                </w:tcPr>
                <w:p w14:paraId="0330AB59">
                  <w:pPr>
                    <w:widowControl/>
                    <w:jc w:val="center"/>
                    <w:rPr>
                      <w:rFonts w:eastAsiaTheme="minorEastAsia"/>
                      <w:kern w:val="0"/>
                      <w:szCs w:val="21"/>
                    </w:rPr>
                  </w:pPr>
                  <w:r>
                    <w:rPr>
                      <w:rFonts w:eastAsiaTheme="minorEastAsia"/>
                      <w:kern w:val="0"/>
                      <w:szCs w:val="21"/>
                    </w:rPr>
                    <w:t>BEY干燥系统</w:t>
                  </w:r>
                </w:p>
              </w:tc>
              <w:tc>
                <w:tcPr>
                  <w:tcW w:w="2748" w:type="dxa"/>
                  <w:vAlign w:val="center"/>
                </w:tcPr>
                <w:p w14:paraId="7D2A2CC7">
                  <w:pPr>
                    <w:widowControl/>
                    <w:jc w:val="center"/>
                    <w:rPr>
                      <w:rFonts w:eastAsiaTheme="minorEastAsia"/>
                      <w:kern w:val="0"/>
                      <w:szCs w:val="21"/>
                    </w:rPr>
                  </w:pPr>
                  <w:r>
                    <w:rPr>
                      <w:rFonts w:eastAsiaTheme="minorEastAsia"/>
                      <w:kern w:val="0"/>
                      <w:szCs w:val="21"/>
                    </w:rPr>
                    <w:t>220kg/h（2-1)，106.55kw/套</w:t>
                  </w:r>
                </w:p>
              </w:tc>
              <w:tc>
                <w:tcPr>
                  <w:tcW w:w="530" w:type="dxa"/>
                  <w:vAlign w:val="center"/>
                </w:tcPr>
                <w:p w14:paraId="5604B805">
                  <w:pPr>
                    <w:widowControl/>
                    <w:jc w:val="center"/>
                    <w:rPr>
                      <w:rFonts w:eastAsiaTheme="minorEastAsia"/>
                      <w:kern w:val="0"/>
                      <w:szCs w:val="21"/>
                    </w:rPr>
                  </w:pPr>
                  <w:r>
                    <w:rPr>
                      <w:rFonts w:eastAsiaTheme="minorEastAsia"/>
                      <w:kern w:val="0"/>
                      <w:szCs w:val="21"/>
                    </w:rPr>
                    <w:t>套</w:t>
                  </w:r>
                </w:p>
              </w:tc>
              <w:tc>
                <w:tcPr>
                  <w:tcW w:w="1259" w:type="dxa"/>
                  <w:vAlign w:val="center"/>
                </w:tcPr>
                <w:p w14:paraId="0E146D9D">
                  <w:pPr>
                    <w:widowControl/>
                    <w:jc w:val="center"/>
                    <w:rPr>
                      <w:rFonts w:eastAsiaTheme="minorEastAsia"/>
                      <w:kern w:val="0"/>
                      <w:szCs w:val="21"/>
                    </w:rPr>
                  </w:pPr>
                  <w:r>
                    <w:rPr>
                      <w:rFonts w:eastAsiaTheme="minorEastAsia"/>
                      <w:kern w:val="0"/>
                      <w:szCs w:val="21"/>
                    </w:rPr>
                    <w:t>1</w:t>
                  </w:r>
                </w:p>
              </w:tc>
              <w:tc>
                <w:tcPr>
                  <w:tcW w:w="672" w:type="dxa"/>
                  <w:vMerge w:val="continue"/>
                  <w:vAlign w:val="center"/>
                </w:tcPr>
                <w:p w14:paraId="3F3D4A15">
                  <w:pPr>
                    <w:widowControl/>
                    <w:jc w:val="center"/>
                    <w:rPr>
                      <w:rFonts w:eastAsiaTheme="minorEastAsia"/>
                      <w:kern w:val="0"/>
                      <w:szCs w:val="21"/>
                    </w:rPr>
                  </w:pPr>
                </w:p>
              </w:tc>
            </w:tr>
            <w:tr w14:paraId="25A84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4D487BAF">
                  <w:pPr>
                    <w:widowControl/>
                    <w:jc w:val="center"/>
                    <w:rPr>
                      <w:rFonts w:eastAsiaTheme="minorEastAsia"/>
                      <w:kern w:val="0"/>
                      <w:szCs w:val="21"/>
                    </w:rPr>
                  </w:pPr>
                  <w:r>
                    <w:rPr>
                      <w:rFonts w:eastAsiaTheme="minorEastAsia"/>
                      <w:kern w:val="0"/>
                      <w:szCs w:val="21"/>
                    </w:rPr>
                    <w:t>63</w:t>
                  </w:r>
                </w:p>
              </w:tc>
              <w:tc>
                <w:tcPr>
                  <w:tcW w:w="1924" w:type="dxa"/>
                  <w:vAlign w:val="center"/>
                </w:tcPr>
                <w:p w14:paraId="70BDC8EE">
                  <w:pPr>
                    <w:widowControl/>
                    <w:jc w:val="center"/>
                    <w:rPr>
                      <w:rFonts w:eastAsiaTheme="minorEastAsia"/>
                      <w:kern w:val="0"/>
                      <w:szCs w:val="21"/>
                    </w:rPr>
                  </w:pPr>
                  <w:r>
                    <w:rPr>
                      <w:rFonts w:eastAsiaTheme="minorEastAsia"/>
                      <w:kern w:val="0"/>
                      <w:szCs w:val="21"/>
                    </w:rPr>
                    <w:t>BEY干燥系统</w:t>
                  </w:r>
                </w:p>
              </w:tc>
              <w:tc>
                <w:tcPr>
                  <w:tcW w:w="2748" w:type="dxa"/>
                  <w:vAlign w:val="center"/>
                </w:tcPr>
                <w:p w14:paraId="3BD242EE">
                  <w:pPr>
                    <w:widowControl/>
                    <w:jc w:val="center"/>
                    <w:rPr>
                      <w:rFonts w:eastAsiaTheme="minorEastAsia"/>
                      <w:kern w:val="0"/>
                      <w:szCs w:val="21"/>
                    </w:rPr>
                  </w:pPr>
                  <w:r>
                    <w:rPr>
                      <w:rFonts w:eastAsiaTheme="minorEastAsia"/>
                      <w:kern w:val="0"/>
                      <w:szCs w:val="21"/>
                    </w:rPr>
                    <w:t>400kg/h（4-4)，155.95kw/套</w:t>
                  </w:r>
                </w:p>
              </w:tc>
              <w:tc>
                <w:tcPr>
                  <w:tcW w:w="530" w:type="dxa"/>
                  <w:vAlign w:val="center"/>
                </w:tcPr>
                <w:p w14:paraId="0C5E70AB">
                  <w:pPr>
                    <w:widowControl/>
                    <w:jc w:val="center"/>
                    <w:rPr>
                      <w:rFonts w:eastAsiaTheme="minorEastAsia"/>
                      <w:kern w:val="0"/>
                      <w:szCs w:val="21"/>
                    </w:rPr>
                  </w:pPr>
                  <w:r>
                    <w:rPr>
                      <w:rFonts w:eastAsiaTheme="minorEastAsia"/>
                      <w:kern w:val="0"/>
                      <w:szCs w:val="21"/>
                    </w:rPr>
                    <w:t>套</w:t>
                  </w:r>
                </w:p>
              </w:tc>
              <w:tc>
                <w:tcPr>
                  <w:tcW w:w="1259" w:type="dxa"/>
                  <w:vAlign w:val="center"/>
                </w:tcPr>
                <w:p w14:paraId="1E14F92F">
                  <w:pPr>
                    <w:widowControl/>
                    <w:jc w:val="center"/>
                    <w:rPr>
                      <w:rFonts w:eastAsiaTheme="minorEastAsia"/>
                      <w:kern w:val="0"/>
                      <w:szCs w:val="21"/>
                    </w:rPr>
                  </w:pPr>
                  <w:r>
                    <w:rPr>
                      <w:rFonts w:eastAsiaTheme="minorEastAsia"/>
                      <w:kern w:val="0"/>
                      <w:szCs w:val="21"/>
                    </w:rPr>
                    <w:t>1</w:t>
                  </w:r>
                </w:p>
              </w:tc>
              <w:tc>
                <w:tcPr>
                  <w:tcW w:w="672" w:type="dxa"/>
                  <w:vMerge w:val="continue"/>
                  <w:vAlign w:val="center"/>
                </w:tcPr>
                <w:p w14:paraId="259284E6">
                  <w:pPr>
                    <w:widowControl/>
                    <w:jc w:val="center"/>
                    <w:rPr>
                      <w:rFonts w:eastAsiaTheme="minorEastAsia"/>
                      <w:kern w:val="0"/>
                      <w:szCs w:val="21"/>
                    </w:rPr>
                  </w:pPr>
                </w:p>
              </w:tc>
            </w:tr>
            <w:tr w14:paraId="59C2CB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43E7D633">
                  <w:pPr>
                    <w:widowControl/>
                    <w:jc w:val="center"/>
                    <w:rPr>
                      <w:rFonts w:eastAsiaTheme="minorEastAsia"/>
                      <w:kern w:val="0"/>
                      <w:szCs w:val="21"/>
                    </w:rPr>
                  </w:pPr>
                  <w:r>
                    <w:rPr>
                      <w:rFonts w:eastAsiaTheme="minorEastAsia"/>
                      <w:kern w:val="0"/>
                      <w:szCs w:val="21"/>
                    </w:rPr>
                    <w:t>64</w:t>
                  </w:r>
                </w:p>
              </w:tc>
              <w:tc>
                <w:tcPr>
                  <w:tcW w:w="1924" w:type="dxa"/>
                  <w:vAlign w:val="center"/>
                </w:tcPr>
                <w:p w14:paraId="30114968">
                  <w:pPr>
                    <w:widowControl/>
                    <w:jc w:val="center"/>
                    <w:rPr>
                      <w:rFonts w:eastAsiaTheme="minorEastAsia"/>
                      <w:kern w:val="0"/>
                      <w:szCs w:val="21"/>
                    </w:rPr>
                  </w:pPr>
                  <w:r>
                    <w:rPr>
                      <w:rFonts w:eastAsiaTheme="minorEastAsia"/>
                      <w:kern w:val="0"/>
                      <w:szCs w:val="21"/>
                    </w:rPr>
                    <w:t>BEY干燥系统</w:t>
                  </w:r>
                </w:p>
              </w:tc>
              <w:tc>
                <w:tcPr>
                  <w:tcW w:w="2748" w:type="dxa"/>
                  <w:vAlign w:val="center"/>
                </w:tcPr>
                <w:p w14:paraId="2239DD52">
                  <w:pPr>
                    <w:widowControl/>
                    <w:jc w:val="center"/>
                    <w:rPr>
                      <w:rFonts w:eastAsiaTheme="minorEastAsia"/>
                      <w:kern w:val="0"/>
                      <w:szCs w:val="21"/>
                    </w:rPr>
                  </w:pPr>
                  <w:r>
                    <w:rPr>
                      <w:rFonts w:eastAsiaTheme="minorEastAsia"/>
                      <w:kern w:val="0"/>
                      <w:szCs w:val="21"/>
                    </w:rPr>
                    <w:t>450kg/h(2-2,2-3)，155.95kw/套</w:t>
                  </w:r>
                </w:p>
              </w:tc>
              <w:tc>
                <w:tcPr>
                  <w:tcW w:w="530" w:type="dxa"/>
                  <w:vAlign w:val="center"/>
                </w:tcPr>
                <w:p w14:paraId="20EC51A8">
                  <w:pPr>
                    <w:widowControl/>
                    <w:jc w:val="center"/>
                    <w:rPr>
                      <w:rFonts w:eastAsiaTheme="minorEastAsia"/>
                      <w:kern w:val="0"/>
                      <w:szCs w:val="21"/>
                    </w:rPr>
                  </w:pPr>
                  <w:r>
                    <w:rPr>
                      <w:rFonts w:eastAsiaTheme="minorEastAsia"/>
                      <w:kern w:val="0"/>
                      <w:szCs w:val="21"/>
                    </w:rPr>
                    <w:t>套</w:t>
                  </w:r>
                </w:p>
              </w:tc>
              <w:tc>
                <w:tcPr>
                  <w:tcW w:w="1259" w:type="dxa"/>
                  <w:vAlign w:val="center"/>
                </w:tcPr>
                <w:p w14:paraId="25055CB8">
                  <w:pPr>
                    <w:widowControl/>
                    <w:jc w:val="center"/>
                    <w:rPr>
                      <w:rFonts w:eastAsiaTheme="minorEastAsia"/>
                      <w:kern w:val="0"/>
                      <w:szCs w:val="21"/>
                    </w:rPr>
                  </w:pPr>
                  <w:r>
                    <w:rPr>
                      <w:rFonts w:eastAsiaTheme="minorEastAsia"/>
                      <w:kern w:val="0"/>
                      <w:szCs w:val="21"/>
                    </w:rPr>
                    <w:t>1</w:t>
                  </w:r>
                </w:p>
              </w:tc>
              <w:tc>
                <w:tcPr>
                  <w:tcW w:w="672" w:type="dxa"/>
                  <w:vMerge w:val="continue"/>
                  <w:vAlign w:val="center"/>
                </w:tcPr>
                <w:p w14:paraId="174941EE">
                  <w:pPr>
                    <w:widowControl/>
                    <w:jc w:val="center"/>
                    <w:rPr>
                      <w:rFonts w:eastAsiaTheme="minorEastAsia"/>
                      <w:kern w:val="0"/>
                      <w:szCs w:val="21"/>
                    </w:rPr>
                  </w:pPr>
                </w:p>
              </w:tc>
            </w:tr>
            <w:tr w14:paraId="1EB8C6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210B59C0">
                  <w:pPr>
                    <w:widowControl/>
                    <w:jc w:val="center"/>
                    <w:rPr>
                      <w:rFonts w:eastAsiaTheme="minorEastAsia"/>
                      <w:kern w:val="0"/>
                      <w:szCs w:val="21"/>
                    </w:rPr>
                  </w:pPr>
                  <w:r>
                    <w:rPr>
                      <w:rFonts w:eastAsiaTheme="minorEastAsia"/>
                      <w:kern w:val="0"/>
                      <w:szCs w:val="21"/>
                    </w:rPr>
                    <w:t>65</w:t>
                  </w:r>
                </w:p>
              </w:tc>
              <w:tc>
                <w:tcPr>
                  <w:tcW w:w="1924" w:type="dxa"/>
                  <w:vAlign w:val="center"/>
                </w:tcPr>
                <w:p w14:paraId="4B7EE84D">
                  <w:pPr>
                    <w:widowControl/>
                    <w:jc w:val="center"/>
                    <w:rPr>
                      <w:rFonts w:eastAsiaTheme="minorEastAsia"/>
                      <w:kern w:val="0"/>
                      <w:szCs w:val="21"/>
                    </w:rPr>
                  </w:pPr>
                  <w:r>
                    <w:rPr>
                      <w:rFonts w:eastAsiaTheme="minorEastAsia"/>
                      <w:kern w:val="0"/>
                      <w:szCs w:val="21"/>
                    </w:rPr>
                    <w:t>BEY干燥系统</w:t>
                  </w:r>
                </w:p>
              </w:tc>
              <w:tc>
                <w:tcPr>
                  <w:tcW w:w="2748" w:type="dxa"/>
                  <w:vAlign w:val="center"/>
                </w:tcPr>
                <w:p w14:paraId="5EA2ABBC">
                  <w:pPr>
                    <w:widowControl/>
                    <w:jc w:val="center"/>
                    <w:rPr>
                      <w:rFonts w:eastAsiaTheme="minorEastAsia"/>
                      <w:kern w:val="0"/>
                      <w:szCs w:val="21"/>
                    </w:rPr>
                  </w:pPr>
                  <w:r>
                    <w:rPr>
                      <w:rFonts w:eastAsiaTheme="minorEastAsia"/>
                      <w:kern w:val="0"/>
                      <w:szCs w:val="21"/>
                    </w:rPr>
                    <w:t>700kg/h(1-1,1-2,1-3,1-4,4-5)，188.75kw/套</w:t>
                  </w:r>
                </w:p>
              </w:tc>
              <w:tc>
                <w:tcPr>
                  <w:tcW w:w="530" w:type="dxa"/>
                  <w:vAlign w:val="center"/>
                </w:tcPr>
                <w:p w14:paraId="21A33C5E">
                  <w:pPr>
                    <w:widowControl/>
                    <w:jc w:val="center"/>
                    <w:rPr>
                      <w:rFonts w:eastAsiaTheme="minorEastAsia"/>
                      <w:kern w:val="0"/>
                      <w:szCs w:val="21"/>
                    </w:rPr>
                  </w:pPr>
                  <w:r>
                    <w:rPr>
                      <w:rFonts w:eastAsiaTheme="minorEastAsia"/>
                      <w:kern w:val="0"/>
                      <w:szCs w:val="21"/>
                    </w:rPr>
                    <w:t>套</w:t>
                  </w:r>
                </w:p>
              </w:tc>
              <w:tc>
                <w:tcPr>
                  <w:tcW w:w="1259" w:type="dxa"/>
                  <w:vAlign w:val="center"/>
                </w:tcPr>
                <w:p w14:paraId="0E4F994D">
                  <w:pPr>
                    <w:widowControl/>
                    <w:jc w:val="center"/>
                    <w:rPr>
                      <w:rFonts w:eastAsiaTheme="minorEastAsia"/>
                      <w:kern w:val="0"/>
                      <w:szCs w:val="21"/>
                    </w:rPr>
                  </w:pPr>
                  <w:r>
                    <w:rPr>
                      <w:rFonts w:eastAsiaTheme="minorEastAsia"/>
                      <w:kern w:val="0"/>
                      <w:szCs w:val="21"/>
                    </w:rPr>
                    <w:t>3</w:t>
                  </w:r>
                </w:p>
              </w:tc>
              <w:tc>
                <w:tcPr>
                  <w:tcW w:w="672" w:type="dxa"/>
                  <w:vMerge w:val="continue"/>
                  <w:vAlign w:val="center"/>
                </w:tcPr>
                <w:p w14:paraId="1288F3E0">
                  <w:pPr>
                    <w:widowControl/>
                    <w:jc w:val="center"/>
                    <w:rPr>
                      <w:rFonts w:eastAsiaTheme="minorEastAsia"/>
                      <w:kern w:val="0"/>
                      <w:szCs w:val="21"/>
                    </w:rPr>
                  </w:pPr>
                </w:p>
              </w:tc>
            </w:tr>
            <w:tr w14:paraId="63A3E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31A26C24">
                  <w:pPr>
                    <w:widowControl/>
                    <w:jc w:val="center"/>
                    <w:rPr>
                      <w:rFonts w:eastAsiaTheme="minorEastAsia"/>
                      <w:kern w:val="0"/>
                      <w:szCs w:val="21"/>
                    </w:rPr>
                  </w:pPr>
                  <w:r>
                    <w:rPr>
                      <w:rFonts w:eastAsiaTheme="minorEastAsia"/>
                      <w:kern w:val="0"/>
                      <w:szCs w:val="21"/>
                    </w:rPr>
                    <w:t>66</w:t>
                  </w:r>
                </w:p>
              </w:tc>
              <w:tc>
                <w:tcPr>
                  <w:tcW w:w="1924" w:type="dxa"/>
                  <w:vAlign w:val="center"/>
                </w:tcPr>
                <w:p w14:paraId="3F1B81A9">
                  <w:pPr>
                    <w:widowControl/>
                    <w:jc w:val="center"/>
                    <w:rPr>
                      <w:rFonts w:eastAsiaTheme="minorEastAsia"/>
                      <w:kern w:val="0"/>
                      <w:szCs w:val="21"/>
                    </w:rPr>
                  </w:pPr>
                  <w:r>
                    <w:rPr>
                      <w:rFonts w:eastAsiaTheme="minorEastAsia"/>
                      <w:kern w:val="0"/>
                      <w:szCs w:val="21"/>
                    </w:rPr>
                    <w:t>BEY干燥系统</w:t>
                  </w:r>
                </w:p>
              </w:tc>
              <w:tc>
                <w:tcPr>
                  <w:tcW w:w="2748" w:type="dxa"/>
                  <w:vAlign w:val="center"/>
                </w:tcPr>
                <w:p w14:paraId="1D4A0F68">
                  <w:pPr>
                    <w:widowControl/>
                    <w:jc w:val="center"/>
                    <w:rPr>
                      <w:rFonts w:eastAsiaTheme="minorEastAsia"/>
                      <w:kern w:val="0"/>
                      <w:szCs w:val="21"/>
                    </w:rPr>
                  </w:pPr>
                  <w:r>
                    <w:rPr>
                      <w:rFonts w:eastAsiaTheme="minorEastAsia"/>
                      <w:kern w:val="0"/>
                      <w:szCs w:val="21"/>
                    </w:rPr>
                    <w:t>1000kg/h(2-4.4-3,2-5,4-2,2-6,4-1)，197.75kw/套</w:t>
                  </w:r>
                </w:p>
              </w:tc>
              <w:tc>
                <w:tcPr>
                  <w:tcW w:w="530" w:type="dxa"/>
                  <w:vAlign w:val="center"/>
                </w:tcPr>
                <w:p w14:paraId="3D3DC88C">
                  <w:pPr>
                    <w:widowControl/>
                    <w:jc w:val="center"/>
                    <w:rPr>
                      <w:rFonts w:eastAsiaTheme="minorEastAsia"/>
                      <w:kern w:val="0"/>
                      <w:szCs w:val="21"/>
                    </w:rPr>
                  </w:pPr>
                  <w:r>
                    <w:rPr>
                      <w:rFonts w:eastAsiaTheme="minorEastAsia"/>
                      <w:kern w:val="0"/>
                      <w:szCs w:val="21"/>
                    </w:rPr>
                    <w:t>套</w:t>
                  </w:r>
                </w:p>
              </w:tc>
              <w:tc>
                <w:tcPr>
                  <w:tcW w:w="1259" w:type="dxa"/>
                  <w:vAlign w:val="center"/>
                </w:tcPr>
                <w:p w14:paraId="06436C71">
                  <w:pPr>
                    <w:widowControl/>
                    <w:jc w:val="center"/>
                    <w:rPr>
                      <w:rFonts w:eastAsiaTheme="minorEastAsia"/>
                      <w:kern w:val="0"/>
                      <w:szCs w:val="21"/>
                    </w:rPr>
                  </w:pPr>
                  <w:r>
                    <w:rPr>
                      <w:rFonts w:eastAsiaTheme="minorEastAsia"/>
                      <w:kern w:val="0"/>
                      <w:szCs w:val="21"/>
                    </w:rPr>
                    <w:t>3</w:t>
                  </w:r>
                </w:p>
              </w:tc>
              <w:tc>
                <w:tcPr>
                  <w:tcW w:w="672" w:type="dxa"/>
                  <w:vMerge w:val="continue"/>
                  <w:vAlign w:val="center"/>
                </w:tcPr>
                <w:p w14:paraId="54FECA23">
                  <w:pPr>
                    <w:widowControl/>
                    <w:jc w:val="center"/>
                    <w:rPr>
                      <w:rFonts w:eastAsiaTheme="minorEastAsia"/>
                      <w:kern w:val="0"/>
                      <w:szCs w:val="21"/>
                    </w:rPr>
                  </w:pPr>
                </w:p>
              </w:tc>
            </w:tr>
            <w:tr w14:paraId="152DF0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22BEDA25">
                  <w:pPr>
                    <w:widowControl/>
                    <w:jc w:val="center"/>
                    <w:rPr>
                      <w:rFonts w:eastAsiaTheme="minorEastAsia"/>
                      <w:kern w:val="0"/>
                      <w:szCs w:val="21"/>
                    </w:rPr>
                  </w:pPr>
                  <w:r>
                    <w:rPr>
                      <w:rFonts w:eastAsiaTheme="minorEastAsia"/>
                      <w:kern w:val="0"/>
                      <w:szCs w:val="21"/>
                    </w:rPr>
                    <w:t>67</w:t>
                  </w:r>
                </w:p>
              </w:tc>
              <w:tc>
                <w:tcPr>
                  <w:tcW w:w="1924" w:type="dxa"/>
                  <w:vAlign w:val="center"/>
                </w:tcPr>
                <w:p w14:paraId="0EC38719">
                  <w:pPr>
                    <w:widowControl/>
                    <w:jc w:val="center"/>
                    <w:rPr>
                      <w:rFonts w:eastAsiaTheme="minorEastAsia"/>
                      <w:kern w:val="0"/>
                      <w:szCs w:val="21"/>
                    </w:rPr>
                  </w:pPr>
                  <w:r>
                    <w:rPr>
                      <w:rFonts w:eastAsiaTheme="minorEastAsia"/>
                      <w:kern w:val="0"/>
                      <w:szCs w:val="21"/>
                    </w:rPr>
                    <w:t>BEY输送系统</w:t>
                  </w:r>
                </w:p>
              </w:tc>
              <w:tc>
                <w:tcPr>
                  <w:tcW w:w="2748" w:type="dxa"/>
                  <w:vAlign w:val="center"/>
                </w:tcPr>
                <w:p w14:paraId="7E2292C2">
                  <w:pPr>
                    <w:widowControl/>
                    <w:jc w:val="center"/>
                    <w:rPr>
                      <w:rFonts w:eastAsiaTheme="minorEastAsia"/>
                      <w:kern w:val="0"/>
                      <w:szCs w:val="21"/>
                    </w:rPr>
                  </w:pPr>
                  <w:r>
                    <w:rPr>
                      <w:rFonts w:eastAsiaTheme="minorEastAsia"/>
                      <w:kern w:val="0"/>
                      <w:szCs w:val="21"/>
                    </w:rPr>
                    <w:t>13KW/套</w:t>
                  </w:r>
                </w:p>
              </w:tc>
              <w:tc>
                <w:tcPr>
                  <w:tcW w:w="530" w:type="dxa"/>
                  <w:vAlign w:val="center"/>
                </w:tcPr>
                <w:p w14:paraId="0F652406">
                  <w:pPr>
                    <w:widowControl/>
                    <w:jc w:val="center"/>
                    <w:rPr>
                      <w:rFonts w:eastAsiaTheme="minorEastAsia"/>
                      <w:kern w:val="0"/>
                      <w:szCs w:val="21"/>
                    </w:rPr>
                  </w:pPr>
                  <w:r>
                    <w:rPr>
                      <w:rFonts w:eastAsiaTheme="minorEastAsia"/>
                      <w:kern w:val="0"/>
                      <w:szCs w:val="21"/>
                    </w:rPr>
                    <w:t>套</w:t>
                  </w:r>
                </w:p>
              </w:tc>
              <w:tc>
                <w:tcPr>
                  <w:tcW w:w="1259" w:type="dxa"/>
                  <w:vAlign w:val="center"/>
                </w:tcPr>
                <w:p w14:paraId="3623C449">
                  <w:pPr>
                    <w:widowControl/>
                    <w:jc w:val="center"/>
                    <w:rPr>
                      <w:rFonts w:eastAsiaTheme="minorEastAsia"/>
                      <w:kern w:val="0"/>
                      <w:szCs w:val="21"/>
                    </w:rPr>
                  </w:pPr>
                  <w:r>
                    <w:rPr>
                      <w:rFonts w:eastAsiaTheme="minorEastAsia"/>
                      <w:kern w:val="0"/>
                      <w:szCs w:val="21"/>
                    </w:rPr>
                    <w:t>9</w:t>
                  </w:r>
                </w:p>
              </w:tc>
              <w:tc>
                <w:tcPr>
                  <w:tcW w:w="672" w:type="dxa"/>
                  <w:vMerge w:val="continue"/>
                  <w:vAlign w:val="center"/>
                </w:tcPr>
                <w:p w14:paraId="67CB74E8">
                  <w:pPr>
                    <w:widowControl/>
                    <w:jc w:val="center"/>
                    <w:rPr>
                      <w:rFonts w:eastAsiaTheme="minorEastAsia"/>
                      <w:kern w:val="0"/>
                      <w:szCs w:val="21"/>
                    </w:rPr>
                  </w:pPr>
                </w:p>
              </w:tc>
            </w:tr>
            <w:tr w14:paraId="15F242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1E75D8C3">
                  <w:pPr>
                    <w:widowControl/>
                    <w:jc w:val="center"/>
                    <w:rPr>
                      <w:rFonts w:eastAsiaTheme="minorEastAsia"/>
                      <w:kern w:val="0"/>
                      <w:szCs w:val="21"/>
                    </w:rPr>
                  </w:pPr>
                  <w:r>
                    <w:rPr>
                      <w:rFonts w:eastAsiaTheme="minorEastAsia"/>
                      <w:kern w:val="0"/>
                      <w:szCs w:val="21"/>
                    </w:rPr>
                    <w:t>68</w:t>
                  </w:r>
                </w:p>
              </w:tc>
              <w:tc>
                <w:tcPr>
                  <w:tcW w:w="1924" w:type="dxa"/>
                  <w:vAlign w:val="center"/>
                </w:tcPr>
                <w:p w14:paraId="2A097D1E">
                  <w:pPr>
                    <w:widowControl/>
                    <w:jc w:val="center"/>
                    <w:rPr>
                      <w:rFonts w:eastAsiaTheme="minorEastAsia"/>
                      <w:kern w:val="0"/>
                      <w:szCs w:val="21"/>
                    </w:rPr>
                  </w:pPr>
                  <w:r>
                    <w:rPr>
                      <w:rFonts w:eastAsiaTheme="minorEastAsia"/>
                      <w:kern w:val="0"/>
                      <w:szCs w:val="21"/>
                    </w:rPr>
                    <w:t>BEY螺杆</w:t>
                  </w:r>
                </w:p>
              </w:tc>
              <w:tc>
                <w:tcPr>
                  <w:tcW w:w="2748" w:type="dxa"/>
                  <w:vAlign w:val="center"/>
                </w:tcPr>
                <w:p w14:paraId="4911BE4A">
                  <w:pPr>
                    <w:widowControl/>
                    <w:jc w:val="center"/>
                    <w:rPr>
                      <w:rFonts w:eastAsiaTheme="minorEastAsia"/>
                      <w:kern w:val="0"/>
                      <w:szCs w:val="21"/>
                    </w:rPr>
                  </w:pPr>
                  <w:r>
                    <w:rPr>
                      <w:rFonts w:eastAsiaTheme="minorEastAsia"/>
                      <w:kern w:val="0"/>
                      <w:szCs w:val="21"/>
                    </w:rPr>
                    <w:t>Ø120，拖动功率75KW/套，加热功率：54KW/套</w:t>
                  </w:r>
                </w:p>
              </w:tc>
              <w:tc>
                <w:tcPr>
                  <w:tcW w:w="530" w:type="dxa"/>
                  <w:vAlign w:val="center"/>
                </w:tcPr>
                <w:p w14:paraId="48BE0748">
                  <w:pPr>
                    <w:widowControl/>
                    <w:jc w:val="center"/>
                    <w:rPr>
                      <w:rFonts w:eastAsiaTheme="minorEastAsia"/>
                      <w:kern w:val="0"/>
                      <w:szCs w:val="21"/>
                    </w:rPr>
                  </w:pPr>
                  <w:r>
                    <w:rPr>
                      <w:rFonts w:eastAsiaTheme="minorEastAsia"/>
                      <w:kern w:val="0"/>
                      <w:szCs w:val="21"/>
                    </w:rPr>
                    <w:t>套</w:t>
                  </w:r>
                </w:p>
              </w:tc>
              <w:tc>
                <w:tcPr>
                  <w:tcW w:w="1259" w:type="dxa"/>
                  <w:vAlign w:val="center"/>
                </w:tcPr>
                <w:p w14:paraId="3D2A2C4C">
                  <w:pPr>
                    <w:widowControl/>
                    <w:jc w:val="center"/>
                    <w:rPr>
                      <w:rFonts w:eastAsiaTheme="minorEastAsia"/>
                      <w:kern w:val="0"/>
                      <w:szCs w:val="21"/>
                    </w:rPr>
                  </w:pPr>
                  <w:r>
                    <w:rPr>
                      <w:rFonts w:eastAsiaTheme="minorEastAsia"/>
                      <w:kern w:val="0"/>
                      <w:szCs w:val="21"/>
                    </w:rPr>
                    <w:t>4</w:t>
                  </w:r>
                </w:p>
              </w:tc>
              <w:tc>
                <w:tcPr>
                  <w:tcW w:w="672" w:type="dxa"/>
                  <w:vMerge w:val="continue"/>
                  <w:vAlign w:val="center"/>
                </w:tcPr>
                <w:p w14:paraId="705F7410">
                  <w:pPr>
                    <w:widowControl/>
                    <w:jc w:val="center"/>
                    <w:rPr>
                      <w:rFonts w:eastAsiaTheme="minorEastAsia"/>
                      <w:kern w:val="0"/>
                      <w:szCs w:val="21"/>
                    </w:rPr>
                  </w:pPr>
                </w:p>
              </w:tc>
            </w:tr>
            <w:tr w14:paraId="2B3268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09FFD207">
                  <w:pPr>
                    <w:widowControl/>
                    <w:jc w:val="center"/>
                    <w:rPr>
                      <w:rFonts w:eastAsiaTheme="minorEastAsia"/>
                      <w:kern w:val="0"/>
                      <w:szCs w:val="21"/>
                    </w:rPr>
                  </w:pPr>
                  <w:r>
                    <w:rPr>
                      <w:rFonts w:eastAsiaTheme="minorEastAsia"/>
                      <w:kern w:val="0"/>
                      <w:szCs w:val="21"/>
                    </w:rPr>
                    <w:t>69</w:t>
                  </w:r>
                </w:p>
              </w:tc>
              <w:tc>
                <w:tcPr>
                  <w:tcW w:w="1924" w:type="dxa"/>
                  <w:vAlign w:val="center"/>
                </w:tcPr>
                <w:p w14:paraId="36291748">
                  <w:pPr>
                    <w:widowControl/>
                    <w:jc w:val="center"/>
                    <w:rPr>
                      <w:rFonts w:eastAsiaTheme="minorEastAsia"/>
                      <w:kern w:val="0"/>
                      <w:szCs w:val="21"/>
                    </w:rPr>
                  </w:pPr>
                  <w:r>
                    <w:rPr>
                      <w:rFonts w:eastAsiaTheme="minorEastAsia"/>
                      <w:kern w:val="0"/>
                      <w:szCs w:val="21"/>
                    </w:rPr>
                    <w:t>BEY螺杆</w:t>
                  </w:r>
                </w:p>
              </w:tc>
              <w:tc>
                <w:tcPr>
                  <w:tcW w:w="2748" w:type="dxa"/>
                  <w:vAlign w:val="center"/>
                </w:tcPr>
                <w:p w14:paraId="616EFC99">
                  <w:pPr>
                    <w:widowControl/>
                    <w:jc w:val="center"/>
                    <w:rPr>
                      <w:rFonts w:eastAsiaTheme="minorEastAsia"/>
                      <w:kern w:val="0"/>
                      <w:szCs w:val="21"/>
                    </w:rPr>
                  </w:pPr>
                  <w:r>
                    <w:rPr>
                      <w:rFonts w:eastAsiaTheme="minorEastAsia"/>
                      <w:kern w:val="0"/>
                      <w:szCs w:val="21"/>
                    </w:rPr>
                    <w:t>Ø135，拖动功率90KW/套，加热功率：63KW/套</w:t>
                  </w:r>
                </w:p>
              </w:tc>
              <w:tc>
                <w:tcPr>
                  <w:tcW w:w="530" w:type="dxa"/>
                  <w:vAlign w:val="center"/>
                </w:tcPr>
                <w:p w14:paraId="79DD5272">
                  <w:pPr>
                    <w:widowControl/>
                    <w:jc w:val="center"/>
                    <w:rPr>
                      <w:rFonts w:eastAsiaTheme="minorEastAsia"/>
                      <w:kern w:val="0"/>
                      <w:szCs w:val="21"/>
                    </w:rPr>
                  </w:pPr>
                  <w:r>
                    <w:rPr>
                      <w:rFonts w:eastAsiaTheme="minorEastAsia"/>
                      <w:kern w:val="0"/>
                      <w:szCs w:val="21"/>
                    </w:rPr>
                    <w:t>套</w:t>
                  </w:r>
                </w:p>
              </w:tc>
              <w:tc>
                <w:tcPr>
                  <w:tcW w:w="1259" w:type="dxa"/>
                  <w:noWrap/>
                  <w:vAlign w:val="center"/>
                </w:tcPr>
                <w:p w14:paraId="3AB0C997">
                  <w:pPr>
                    <w:widowControl/>
                    <w:jc w:val="center"/>
                    <w:rPr>
                      <w:rFonts w:eastAsiaTheme="minorEastAsia"/>
                      <w:kern w:val="0"/>
                      <w:szCs w:val="21"/>
                    </w:rPr>
                  </w:pPr>
                  <w:r>
                    <w:rPr>
                      <w:rFonts w:eastAsiaTheme="minorEastAsia"/>
                      <w:kern w:val="0"/>
                      <w:szCs w:val="21"/>
                    </w:rPr>
                    <w:t>6</w:t>
                  </w:r>
                </w:p>
              </w:tc>
              <w:tc>
                <w:tcPr>
                  <w:tcW w:w="672" w:type="dxa"/>
                  <w:vMerge w:val="continue"/>
                  <w:vAlign w:val="center"/>
                </w:tcPr>
                <w:p w14:paraId="69D5578A">
                  <w:pPr>
                    <w:widowControl/>
                    <w:jc w:val="center"/>
                    <w:rPr>
                      <w:rFonts w:eastAsiaTheme="minorEastAsia"/>
                      <w:kern w:val="0"/>
                      <w:szCs w:val="21"/>
                    </w:rPr>
                  </w:pPr>
                </w:p>
              </w:tc>
            </w:tr>
            <w:tr w14:paraId="238870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47D309F2">
                  <w:pPr>
                    <w:widowControl/>
                    <w:jc w:val="center"/>
                    <w:rPr>
                      <w:rFonts w:eastAsiaTheme="minorEastAsia"/>
                      <w:kern w:val="0"/>
                      <w:szCs w:val="21"/>
                    </w:rPr>
                  </w:pPr>
                  <w:r>
                    <w:rPr>
                      <w:rFonts w:eastAsiaTheme="minorEastAsia"/>
                      <w:kern w:val="0"/>
                      <w:szCs w:val="21"/>
                    </w:rPr>
                    <w:t>70</w:t>
                  </w:r>
                </w:p>
              </w:tc>
              <w:tc>
                <w:tcPr>
                  <w:tcW w:w="1924" w:type="dxa"/>
                  <w:vAlign w:val="center"/>
                </w:tcPr>
                <w:p w14:paraId="063157F8">
                  <w:pPr>
                    <w:widowControl/>
                    <w:jc w:val="center"/>
                    <w:rPr>
                      <w:rFonts w:eastAsiaTheme="minorEastAsia"/>
                      <w:kern w:val="0"/>
                      <w:szCs w:val="21"/>
                    </w:rPr>
                  </w:pPr>
                  <w:r>
                    <w:rPr>
                      <w:rFonts w:eastAsiaTheme="minorEastAsia"/>
                      <w:kern w:val="0"/>
                      <w:szCs w:val="21"/>
                    </w:rPr>
                    <w:t>BEY螺杆</w:t>
                  </w:r>
                </w:p>
              </w:tc>
              <w:tc>
                <w:tcPr>
                  <w:tcW w:w="2748" w:type="dxa"/>
                  <w:vAlign w:val="center"/>
                </w:tcPr>
                <w:p w14:paraId="2E086A69">
                  <w:pPr>
                    <w:widowControl/>
                    <w:jc w:val="center"/>
                    <w:rPr>
                      <w:rFonts w:eastAsiaTheme="minorEastAsia"/>
                      <w:kern w:val="0"/>
                      <w:szCs w:val="21"/>
                    </w:rPr>
                  </w:pPr>
                  <w:r>
                    <w:rPr>
                      <w:rFonts w:eastAsiaTheme="minorEastAsia"/>
                      <w:kern w:val="0"/>
                      <w:szCs w:val="21"/>
                    </w:rPr>
                    <w:t>Ø105，拖动功率:55KW/套，加热功率：45KW/套</w:t>
                  </w:r>
                </w:p>
              </w:tc>
              <w:tc>
                <w:tcPr>
                  <w:tcW w:w="530" w:type="dxa"/>
                  <w:vAlign w:val="center"/>
                </w:tcPr>
                <w:p w14:paraId="13E70328">
                  <w:pPr>
                    <w:widowControl/>
                    <w:jc w:val="center"/>
                    <w:rPr>
                      <w:rFonts w:eastAsiaTheme="minorEastAsia"/>
                      <w:kern w:val="0"/>
                      <w:szCs w:val="21"/>
                    </w:rPr>
                  </w:pPr>
                  <w:r>
                    <w:rPr>
                      <w:rFonts w:eastAsiaTheme="minorEastAsia"/>
                      <w:kern w:val="0"/>
                      <w:szCs w:val="21"/>
                    </w:rPr>
                    <w:t>套</w:t>
                  </w:r>
                </w:p>
              </w:tc>
              <w:tc>
                <w:tcPr>
                  <w:tcW w:w="1259" w:type="dxa"/>
                  <w:noWrap/>
                  <w:vAlign w:val="center"/>
                </w:tcPr>
                <w:p w14:paraId="2070D42C">
                  <w:pPr>
                    <w:widowControl/>
                    <w:jc w:val="center"/>
                    <w:rPr>
                      <w:rFonts w:eastAsiaTheme="minorEastAsia"/>
                      <w:kern w:val="0"/>
                      <w:szCs w:val="21"/>
                    </w:rPr>
                  </w:pPr>
                  <w:r>
                    <w:rPr>
                      <w:rFonts w:eastAsiaTheme="minorEastAsia"/>
                      <w:kern w:val="0"/>
                      <w:szCs w:val="21"/>
                    </w:rPr>
                    <w:t>3</w:t>
                  </w:r>
                </w:p>
              </w:tc>
              <w:tc>
                <w:tcPr>
                  <w:tcW w:w="672" w:type="dxa"/>
                  <w:vMerge w:val="continue"/>
                  <w:vAlign w:val="center"/>
                </w:tcPr>
                <w:p w14:paraId="78F279DA">
                  <w:pPr>
                    <w:widowControl/>
                    <w:jc w:val="center"/>
                    <w:rPr>
                      <w:rFonts w:eastAsiaTheme="minorEastAsia"/>
                      <w:kern w:val="0"/>
                      <w:szCs w:val="21"/>
                    </w:rPr>
                  </w:pPr>
                </w:p>
              </w:tc>
            </w:tr>
            <w:tr w14:paraId="5457EE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44427B27">
                  <w:pPr>
                    <w:widowControl/>
                    <w:jc w:val="center"/>
                    <w:rPr>
                      <w:rFonts w:eastAsiaTheme="minorEastAsia"/>
                      <w:kern w:val="0"/>
                      <w:szCs w:val="21"/>
                    </w:rPr>
                  </w:pPr>
                  <w:r>
                    <w:rPr>
                      <w:rFonts w:eastAsiaTheme="minorEastAsia"/>
                      <w:kern w:val="0"/>
                      <w:szCs w:val="21"/>
                    </w:rPr>
                    <w:t>71</w:t>
                  </w:r>
                </w:p>
              </w:tc>
              <w:tc>
                <w:tcPr>
                  <w:tcW w:w="1924" w:type="dxa"/>
                  <w:vAlign w:val="center"/>
                </w:tcPr>
                <w:p w14:paraId="457B66DA">
                  <w:pPr>
                    <w:widowControl/>
                    <w:jc w:val="center"/>
                    <w:rPr>
                      <w:rFonts w:eastAsiaTheme="minorEastAsia"/>
                      <w:kern w:val="0"/>
                      <w:szCs w:val="21"/>
                    </w:rPr>
                  </w:pPr>
                  <w:r>
                    <w:rPr>
                      <w:rFonts w:eastAsiaTheme="minorEastAsia"/>
                      <w:kern w:val="0"/>
                      <w:szCs w:val="21"/>
                    </w:rPr>
                    <w:t>BEY螺杆</w:t>
                  </w:r>
                </w:p>
              </w:tc>
              <w:tc>
                <w:tcPr>
                  <w:tcW w:w="2748" w:type="dxa"/>
                  <w:vAlign w:val="center"/>
                </w:tcPr>
                <w:p w14:paraId="2A259150">
                  <w:pPr>
                    <w:widowControl/>
                    <w:jc w:val="center"/>
                    <w:rPr>
                      <w:rFonts w:eastAsiaTheme="minorEastAsia"/>
                      <w:kern w:val="0"/>
                      <w:szCs w:val="21"/>
                    </w:rPr>
                  </w:pPr>
                  <w:r>
                    <w:rPr>
                      <w:rFonts w:eastAsiaTheme="minorEastAsia"/>
                      <w:kern w:val="0"/>
                      <w:szCs w:val="21"/>
                    </w:rPr>
                    <w:t>Ø120，拖动功率75KW/套，加热功率：54KW/套</w:t>
                  </w:r>
                </w:p>
              </w:tc>
              <w:tc>
                <w:tcPr>
                  <w:tcW w:w="530" w:type="dxa"/>
                  <w:vAlign w:val="center"/>
                </w:tcPr>
                <w:p w14:paraId="7E4474EA">
                  <w:pPr>
                    <w:widowControl/>
                    <w:jc w:val="center"/>
                    <w:rPr>
                      <w:rFonts w:eastAsiaTheme="minorEastAsia"/>
                      <w:kern w:val="0"/>
                      <w:szCs w:val="21"/>
                    </w:rPr>
                  </w:pPr>
                  <w:r>
                    <w:rPr>
                      <w:rFonts w:eastAsiaTheme="minorEastAsia"/>
                      <w:kern w:val="0"/>
                      <w:szCs w:val="21"/>
                    </w:rPr>
                    <w:t>套</w:t>
                  </w:r>
                </w:p>
              </w:tc>
              <w:tc>
                <w:tcPr>
                  <w:tcW w:w="1259" w:type="dxa"/>
                  <w:noWrap/>
                  <w:vAlign w:val="center"/>
                </w:tcPr>
                <w:p w14:paraId="23462075">
                  <w:pPr>
                    <w:widowControl/>
                    <w:jc w:val="center"/>
                    <w:rPr>
                      <w:rFonts w:eastAsiaTheme="minorEastAsia"/>
                      <w:kern w:val="0"/>
                      <w:szCs w:val="21"/>
                    </w:rPr>
                  </w:pPr>
                  <w:r>
                    <w:rPr>
                      <w:rFonts w:eastAsiaTheme="minorEastAsia"/>
                      <w:kern w:val="0"/>
                      <w:szCs w:val="21"/>
                    </w:rPr>
                    <w:t>6</w:t>
                  </w:r>
                </w:p>
              </w:tc>
              <w:tc>
                <w:tcPr>
                  <w:tcW w:w="672" w:type="dxa"/>
                  <w:vMerge w:val="continue"/>
                  <w:vAlign w:val="center"/>
                </w:tcPr>
                <w:p w14:paraId="55AAD879">
                  <w:pPr>
                    <w:widowControl/>
                    <w:jc w:val="center"/>
                    <w:rPr>
                      <w:rFonts w:eastAsiaTheme="minorEastAsia"/>
                      <w:kern w:val="0"/>
                      <w:szCs w:val="21"/>
                    </w:rPr>
                  </w:pPr>
                </w:p>
              </w:tc>
            </w:tr>
            <w:tr w14:paraId="0E9A81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1" w:type="dxa"/>
                  <w:gridSpan w:val="5"/>
                  <w:vAlign w:val="center"/>
                </w:tcPr>
                <w:p w14:paraId="4C5C5E4D">
                  <w:pPr>
                    <w:widowControl/>
                    <w:rPr>
                      <w:rFonts w:eastAsiaTheme="minorEastAsia"/>
                      <w:kern w:val="0"/>
                      <w:szCs w:val="21"/>
                    </w:rPr>
                  </w:pPr>
                  <w:r>
                    <w:rPr>
                      <w:rFonts w:eastAsiaTheme="minorEastAsia"/>
                      <w:kern w:val="0"/>
                      <w:szCs w:val="21"/>
                    </w:rPr>
                    <w:t>三、三期项目——废丝回收单元</w:t>
                  </w:r>
                </w:p>
              </w:tc>
              <w:tc>
                <w:tcPr>
                  <w:tcW w:w="672" w:type="dxa"/>
                  <w:vAlign w:val="center"/>
                </w:tcPr>
                <w:p w14:paraId="1AFC22A4">
                  <w:pPr>
                    <w:widowControl/>
                    <w:rPr>
                      <w:rFonts w:eastAsiaTheme="minorEastAsia"/>
                      <w:kern w:val="0"/>
                      <w:szCs w:val="21"/>
                    </w:rPr>
                  </w:pPr>
                </w:p>
              </w:tc>
            </w:tr>
            <w:tr w14:paraId="32B5EB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noWrap/>
                  <w:vAlign w:val="center"/>
                </w:tcPr>
                <w:p w14:paraId="585E10FA">
                  <w:pPr>
                    <w:widowControl/>
                    <w:jc w:val="center"/>
                    <w:rPr>
                      <w:rFonts w:eastAsiaTheme="minorEastAsia"/>
                      <w:kern w:val="0"/>
                      <w:szCs w:val="21"/>
                    </w:rPr>
                  </w:pPr>
                  <w:r>
                    <w:rPr>
                      <w:rFonts w:eastAsiaTheme="minorEastAsia"/>
                      <w:kern w:val="0"/>
                      <w:szCs w:val="21"/>
                    </w:rPr>
                    <w:t>1</w:t>
                  </w:r>
                </w:p>
              </w:tc>
              <w:tc>
                <w:tcPr>
                  <w:tcW w:w="1924" w:type="dxa"/>
                  <w:noWrap/>
                  <w:vAlign w:val="center"/>
                </w:tcPr>
                <w:p w14:paraId="2BBE29A7">
                  <w:pPr>
                    <w:widowControl/>
                    <w:jc w:val="center"/>
                    <w:rPr>
                      <w:rFonts w:eastAsiaTheme="minorEastAsia"/>
                      <w:kern w:val="0"/>
                      <w:szCs w:val="21"/>
                    </w:rPr>
                  </w:pPr>
                  <w:r>
                    <w:rPr>
                      <w:rFonts w:eastAsiaTheme="minorEastAsia"/>
                      <w:kern w:val="0"/>
                      <w:szCs w:val="21"/>
                    </w:rPr>
                    <w:t>软料撕碎系统</w:t>
                  </w:r>
                </w:p>
              </w:tc>
              <w:tc>
                <w:tcPr>
                  <w:tcW w:w="2748" w:type="dxa"/>
                  <w:noWrap/>
                  <w:vAlign w:val="center"/>
                </w:tcPr>
                <w:p w14:paraId="3950B58C">
                  <w:pPr>
                    <w:widowControl/>
                    <w:jc w:val="center"/>
                    <w:rPr>
                      <w:rFonts w:eastAsiaTheme="minorEastAsia"/>
                      <w:kern w:val="0"/>
                      <w:szCs w:val="21"/>
                    </w:rPr>
                  </w:pPr>
                  <w:r>
                    <w:rPr>
                      <w:rFonts w:eastAsiaTheme="minorEastAsia"/>
                      <w:kern w:val="0"/>
                      <w:szCs w:val="21"/>
                    </w:rPr>
                    <w:t>1200型 110 KW</w:t>
                  </w:r>
                </w:p>
              </w:tc>
              <w:tc>
                <w:tcPr>
                  <w:tcW w:w="530" w:type="dxa"/>
                  <w:noWrap/>
                  <w:vAlign w:val="center"/>
                </w:tcPr>
                <w:p w14:paraId="68519971">
                  <w:pPr>
                    <w:widowControl/>
                    <w:jc w:val="center"/>
                    <w:rPr>
                      <w:rFonts w:eastAsiaTheme="minorEastAsia"/>
                      <w:kern w:val="0"/>
                      <w:szCs w:val="21"/>
                    </w:rPr>
                  </w:pPr>
                  <w:r>
                    <w:rPr>
                      <w:rFonts w:eastAsiaTheme="minorEastAsia"/>
                      <w:kern w:val="0"/>
                      <w:szCs w:val="21"/>
                    </w:rPr>
                    <w:t>台</w:t>
                  </w:r>
                </w:p>
              </w:tc>
              <w:tc>
                <w:tcPr>
                  <w:tcW w:w="1259" w:type="dxa"/>
                  <w:noWrap/>
                  <w:vAlign w:val="center"/>
                </w:tcPr>
                <w:p w14:paraId="1D787F3C">
                  <w:pPr>
                    <w:widowControl/>
                    <w:jc w:val="center"/>
                    <w:rPr>
                      <w:rFonts w:eastAsiaTheme="minorEastAsia"/>
                      <w:kern w:val="0"/>
                      <w:szCs w:val="21"/>
                    </w:rPr>
                  </w:pPr>
                  <w:r>
                    <w:rPr>
                      <w:rFonts w:eastAsiaTheme="minorEastAsia"/>
                      <w:kern w:val="0"/>
                      <w:szCs w:val="21"/>
                    </w:rPr>
                    <w:t>2</w:t>
                  </w:r>
                </w:p>
              </w:tc>
              <w:tc>
                <w:tcPr>
                  <w:tcW w:w="672" w:type="dxa"/>
                  <w:vMerge w:val="restart"/>
                  <w:vAlign w:val="center"/>
                </w:tcPr>
                <w:p w14:paraId="311A239A">
                  <w:pPr>
                    <w:widowControl/>
                    <w:jc w:val="center"/>
                    <w:rPr>
                      <w:rFonts w:eastAsiaTheme="minorEastAsia"/>
                      <w:kern w:val="0"/>
                      <w:szCs w:val="21"/>
                    </w:rPr>
                  </w:pPr>
                  <w:r>
                    <w:rPr>
                      <w:rFonts w:eastAsiaTheme="minorEastAsia"/>
                      <w:kern w:val="0"/>
                      <w:szCs w:val="21"/>
                    </w:rPr>
                    <w:t>新建</w:t>
                  </w:r>
                </w:p>
              </w:tc>
            </w:tr>
            <w:tr w14:paraId="5A08D3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noWrap/>
                  <w:vAlign w:val="center"/>
                </w:tcPr>
                <w:p w14:paraId="0829AA3D">
                  <w:pPr>
                    <w:widowControl/>
                    <w:jc w:val="center"/>
                    <w:rPr>
                      <w:rFonts w:eastAsiaTheme="minorEastAsia"/>
                      <w:kern w:val="0"/>
                      <w:szCs w:val="21"/>
                    </w:rPr>
                  </w:pPr>
                  <w:r>
                    <w:rPr>
                      <w:rFonts w:eastAsiaTheme="minorEastAsia"/>
                      <w:kern w:val="0"/>
                      <w:szCs w:val="21"/>
                    </w:rPr>
                    <w:t>2</w:t>
                  </w:r>
                </w:p>
              </w:tc>
              <w:tc>
                <w:tcPr>
                  <w:tcW w:w="1924" w:type="dxa"/>
                  <w:noWrap/>
                  <w:vAlign w:val="center"/>
                </w:tcPr>
                <w:p w14:paraId="41749B49">
                  <w:pPr>
                    <w:widowControl/>
                    <w:jc w:val="center"/>
                    <w:rPr>
                      <w:rFonts w:eastAsiaTheme="minorEastAsia"/>
                      <w:kern w:val="0"/>
                      <w:szCs w:val="21"/>
                    </w:rPr>
                  </w:pPr>
                  <w:r>
                    <w:rPr>
                      <w:rFonts w:eastAsiaTheme="minorEastAsia"/>
                      <w:kern w:val="0"/>
                      <w:szCs w:val="21"/>
                    </w:rPr>
                    <w:t>提升式皮带输送机</w:t>
                  </w:r>
                </w:p>
              </w:tc>
              <w:tc>
                <w:tcPr>
                  <w:tcW w:w="2748" w:type="dxa"/>
                  <w:noWrap/>
                  <w:vAlign w:val="center"/>
                </w:tcPr>
                <w:p w14:paraId="3176110B">
                  <w:pPr>
                    <w:widowControl/>
                    <w:jc w:val="center"/>
                    <w:rPr>
                      <w:rFonts w:eastAsiaTheme="minorEastAsia"/>
                      <w:kern w:val="0"/>
                      <w:szCs w:val="21"/>
                    </w:rPr>
                  </w:pPr>
                  <w:r>
                    <w:rPr>
                      <w:rFonts w:eastAsiaTheme="minorEastAsia"/>
                      <w:kern w:val="0"/>
                      <w:szCs w:val="21"/>
                    </w:rPr>
                    <w:t>5.5 KW</w:t>
                  </w:r>
                </w:p>
              </w:tc>
              <w:tc>
                <w:tcPr>
                  <w:tcW w:w="530" w:type="dxa"/>
                  <w:noWrap/>
                  <w:vAlign w:val="center"/>
                </w:tcPr>
                <w:p w14:paraId="19789E74">
                  <w:pPr>
                    <w:widowControl/>
                    <w:jc w:val="center"/>
                    <w:rPr>
                      <w:rFonts w:eastAsiaTheme="minorEastAsia"/>
                      <w:kern w:val="0"/>
                      <w:szCs w:val="21"/>
                    </w:rPr>
                  </w:pPr>
                  <w:r>
                    <w:rPr>
                      <w:rFonts w:eastAsiaTheme="minorEastAsia"/>
                      <w:kern w:val="0"/>
                      <w:szCs w:val="21"/>
                    </w:rPr>
                    <w:t>台</w:t>
                  </w:r>
                </w:p>
              </w:tc>
              <w:tc>
                <w:tcPr>
                  <w:tcW w:w="1259" w:type="dxa"/>
                  <w:noWrap/>
                  <w:vAlign w:val="center"/>
                </w:tcPr>
                <w:p w14:paraId="4363783F">
                  <w:pPr>
                    <w:widowControl/>
                    <w:jc w:val="center"/>
                    <w:rPr>
                      <w:rFonts w:eastAsiaTheme="minorEastAsia"/>
                      <w:kern w:val="0"/>
                      <w:szCs w:val="21"/>
                    </w:rPr>
                  </w:pPr>
                  <w:r>
                    <w:rPr>
                      <w:rFonts w:eastAsiaTheme="minorEastAsia"/>
                      <w:kern w:val="0"/>
                      <w:szCs w:val="21"/>
                    </w:rPr>
                    <w:t>6</w:t>
                  </w:r>
                </w:p>
              </w:tc>
              <w:tc>
                <w:tcPr>
                  <w:tcW w:w="672" w:type="dxa"/>
                  <w:vMerge w:val="continue"/>
                  <w:vAlign w:val="center"/>
                </w:tcPr>
                <w:p w14:paraId="02294E2F">
                  <w:pPr>
                    <w:widowControl/>
                    <w:jc w:val="center"/>
                    <w:rPr>
                      <w:rFonts w:eastAsiaTheme="minorEastAsia"/>
                      <w:kern w:val="0"/>
                      <w:szCs w:val="21"/>
                    </w:rPr>
                  </w:pPr>
                </w:p>
              </w:tc>
            </w:tr>
            <w:tr w14:paraId="7F7DA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noWrap/>
                  <w:vAlign w:val="center"/>
                </w:tcPr>
                <w:p w14:paraId="1FB5A4DA">
                  <w:pPr>
                    <w:widowControl/>
                    <w:jc w:val="center"/>
                    <w:rPr>
                      <w:rFonts w:eastAsiaTheme="minorEastAsia"/>
                      <w:kern w:val="0"/>
                      <w:szCs w:val="21"/>
                    </w:rPr>
                  </w:pPr>
                  <w:r>
                    <w:rPr>
                      <w:rFonts w:eastAsiaTheme="minorEastAsia"/>
                      <w:kern w:val="0"/>
                      <w:szCs w:val="21"/>
                    </w:rPr>
                    <w:t>3</w:t>
                  </w:r>
                </w:p>
              </w:tc>
              <w:tc>
                <w:tcPr>
                  <w:tcW w:w="1924" w:type="dxa"/>
                  <w:noWrap/>
                  <w:vAlign w:val="center"/>
                </w:tcPr>
                <w:p w14:paraId="1681FC90">
                  <w:pPr>
                    <w:widowControl/>
                    <w:jc w:val="center"/>
                    <w:rPr>
                      <w:rFonts w:eastAsiaTheme="minorEastAsia"/>
                      <w:kern w:val="0"/>
                      <w:szCs w:val="21"/>
                    </w:rPr>
                  </w:pPr>
                  <w:r>
                    <w:rPr>
                      <w:rFonts w:eastAsiaTheme="minorEastAsia"/>
                      <w:kern w:val="0"/>
                      <w:szCs w:val="21"/>
                    </w:rPr>
                    <w:t>细粉粉碎机</w:t>
                  </w:r>
                </w:p>
              </w:tc>
              <w:tc>
                <w:tcPr>
                  <w:tcW w:w="2748" w:type="dxa"/>
                  <w:noWrap/>
                  <w:vAlign w:val="center"/>
                </w:tcPr>
                <w:p w14:paraId="13C2F117">
                  <w:pPr>
                    <w:widowControl/>
                    <w:jc w:val="center"/>
                    <w:rPr>
                      <w:rFonts w:eastAsiaTheme="minorEastAsia"/>
                      <w:kern w:val="0"/>
                      <w:szCs w:val="21"/>
                    </w:rPr>
                  </w:pPr>
                  <w:r>
                    <w:rPr>
                      <w:rFonts w:eastAsiaTheme="minorEastAsia"/>
                      <w:kern w:val="0"/>
                      <w:szCs w:val="21"/>
                    </w:rPr>
                    <w:t>1500D型 160KW</w:t>
                  </w:r>
                </w:p>
              </w:tc>
              <w:tc>
                <w:tcPr>
                  <w:tcW w:w="530" w:type="dxa"/>
                  <w:noWrap/>
                  <w:vAlign w:val="center"/>
                </w:tcPr>
                <w:p w14:paraId="38A7AB7D">
                  <w:pPr>
                    <w:widowControl/>
                    <w:jc w:val="center"/>
                    <w:rPr>
                      <w:rFonts w:eastAsiaTheme="minorEastAsia"/>
                      <w:kern w:val="0"/>
                      <w:szCs w:val="21"/>
                    </w:rPr>
                  </w:pPr>
                  <w:r>
                    <w:rPr>
                      <w:rFonts w:eastAsiaTheme="minorEastAsia"/>
                      <w:kern w:val="0"/>
                      <w:szCs w:val="21"/>
                    </w:rPr>
                    <w:t>台</w:t>
                  </w:r>
                </w:p>
              </w:tc>
              <w:tc>
                <w:tcPr>
                  <w:tcW w:w="1259" w:type="dxa"/>
                  <w:noWrap/>
                  <w:vAlign w:val="center"/>
                </w:tcPr>
                <w:p w14:paraId="136AB3BA">
                  <w:pPr>
                    <w:widowControl/>
                    <w:jc w:val="center"/>
                    <w:rPr>
                      <w:rFonts w:eastAsiaTheme="minorEastAsia"/>
                      <w:kern w:val="0"/>
                      <w:szCs w:val="21"/>
                    </w:rPr>
                  </w:pPr>
                  <w:r>
                    <w:rPr>
                      <w:rFonts w:eastAsiaTheme="minorEastAsia"/>
                      <w:kern w:val="0"/>
                      <w:szCs w:val="21"/>
                    </w:rPr>
                    <w:t>2</w:t>
                  </w:r>
                </w:p>
              </w:tc>
              <w:tc>
                <w:tcPr>
                  <w:tcW w:w="672" w:type="dxa"/>
                  <w:vMerge w:val="continue"/>
                  <w:vAlign w:val="center"/>
                </w:tcPr>
                <w:p w14:paraId="56CFFA1B">
                  <w:pPr>
                    <w:widowControl/>
                    <w:jc w:val="center"/>
                    <w:rPr>
                      <w:rFonts w:eastAsiaTheme="minorEastAsia"/>
                      <w:kern w:val="0"/>
                      <w:szCs w:val="21"/>
                    </w:rPr>
                  </w:pPr>
                </w:p>
              </w:tc>
            </w:tr>
            <w:tr w14:paraId="3F24AA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noWrap/>
                  <w:vAlign w:val="center"/>
                </w:tcPr>
                <w:p w14:paraId="13826DE4">
                  <w:pPr>
                    <w:widowControl/>
                    <w:jc w:val="center"/>
                    <w:rPr>
                      <w:rFonts w:eastAsiaTheme="minorEastAsia"/>
                      <w:kern w:val="0"/>
                      <w:szCs w:val="21"/>
                    </w:rPr>
                  </w:pPr>
                  <w:r>
                    <w:rPr>
                      <w:rFonts w:eastAsiaTheme="minorEastAsia"/>
                      <w:kern w:val="0"/>
                      <w:szCs w:val="21"/>
                    </w:rPr>
                    <w:t>4</w:t>
                  </w:r>
                </w:p>
              </w:tc>
              <w:tc>
                <w:tcPr>
                  <w:tcW w:w="1924" w:type="dxa"/>
                  <w:noWrap/>
                  <w:vAlign w:val="center"/>
                </w:tcPr>
                <w:p w14:paraId="0DBE8F96">
                  <w:pPr>
                    <w:widowControl/>
                    <w:jc w:val="center"/>
                    <w:rPr>
                      <w:rFonts w:eastAsiaTheme="minorEastAsia"/>
                      <w:kern w:val="0"/>
                      <w:szCs w:val="21"/>
                    </w:rPr>
                  </w:pPr>
                  <w:r>
                    <w:rPr>
                      <w:rFonts w:eastAsiaTheme="minorEastAsia"/>
                      <w:kern w:val="0"/>
                      <w:szCs w:val="21"/>
                    </w:rPr>
                    <w:t>螺杆喂料系统</w:t>
                  </w:r>
                </w:p>
              </w:tc>
              <w:tc>
                <w:tcPr>
                  <w:tcW w:w="2748" w:type="dxa"/>
                  <w:noWrap/>
                  <w:vAlign w:val="center"/>
                </w:tcPr>
                <w:p w14:paraId="6297131B">
                  <w:pPr>
                    <w:widowControl/>
                    <w:jc w:val="center"/>
                    <w:rPr>
                      <w:rFonts w:eastAsiaTheme="minorEastAsia"/>
                      <w:kern w:val="0"/>
                      <w:szCs w:val="21"/>
                    </w:rPr>
                  </w:pPr>
                  <w:r>
                    <w:rPr>
                      <w:rFonts w:eastAsiaTheme="minorEastAsia"/>
                      <w:kern w:val="0"/>
                      <w:szCs w:val="21"/>
                    </w:rPr>
                    <w:t>1000型 37KW</w:t>
                  </w:r>
                </w:p>
              </w:tc>
              <w:tc>
                <w:tcPr>
                  <w:tcW w:w="530" w:type="dxa"/>
                  <w:noWrap/>
                  <w:vAlign w:val="center"/>
                </w:tcPr>
                <w:p w14:paraId="58C4D3B1">
                  <w:pPr>
                    <w:widowControl/>
                    <w:jc w:val="center"/>
                    <w:rPr>
                      <w:rFonts w:eastAsiaTheme="minorEastAsia"/>
                      <w:kern w:val="0"/>
                      <w:szCs w:val="21"/>
                    </w:rPr>
                  </w:pPr>
                  <w:r>
                    <w:rPr>
                      <w:rFonts w:eastAsiaTheme="minorEastAsia"/>
                      <w:kern w:val="0"/>
                      <w:szCs w:val="21"/>
                    </w:rPr>
                    <w:t>台</w:t>
                  </w:r>
                </w:p>
              </w:tc>
              <w:tc>
                <w:tcPr>
                  <w:tcW w:w="1259" w:type="dxa"/>
                  <w:noWrap/>
                  <w:vAlign w:val="center"/>
                </w:tcPr>
                <w:p w14:paraId="11FA01D3">
                  <w:pPr>
                    <w:widowControl/>
                    <w:jc w:val="center"/>
                    <w:rPr>
                      <w:rFonts w:eastAsiaTheme="minorEastAsia"/>
                      <w:kern w:val="0"/>
                      <w:szCs w:val="21"/>
                    </w:rPr>
                  </w:pPr>
                  <w:r>
                    <w:rPr>
                      <w:rFonts w:eastAsiaTheme="minorEastAsia"/>
                      <w:kern w:val="0"/>
                      <w:szCs w:val="21"/>
                    </w:rPr>
                    <w:t>2</w:t>
                  </w:r>
                </w:p>
              </w:tc>
              <w:tc>
                <w:tcPr>
                  <w:tcW w:w="672" w:type="dxa"/>
                  <w:vMerge w:val="continue"/>
                  <w:vAlign w:val="center"/>
                </w:tcPr>
                <w:p w14:paraId="06A05BBF">
                  <w:pPr>
                    <w:widowControl/>
                    <w:jc w:val="center"/>
                    <w:rPr>
                      <w:rFonts w:eastAsiaTheme="minorEastAsia"/>
                      <w:kern w:val="0"/>
                      <w:szCs w:val="21"/>
                    </w:rPr>
                  </w:pPr>
                </w:p>
              </w:tc>
            </w:tr>
            <w:tr w14:paraId="039A3A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noWrap/>
                  <w:vAlign w:val="center"/>
                </w:tcPr>
                <w:p w14:paraId="7CBE5DE6">
                  <w:pPr>
                    <w:widowControl/>
                    <w:jc w:val="center"/>
                    <w:rPr>
                      <w:rFonts w:eastAsiaTheme="minorEastAsia"/>
                      <w:kern w:val="0"/>
                      <w:szCs w:val="21"/>
                    </w:rPr>
                  </w:pPr>
                  <w:r>
                    <w:rPr>
                      <w:rFonts w:eastAsiaTheme="minorEastAsia"/>
                      <w:kern w:val="0"/>
                      <w:szCs w:val="21"/>
                    </w:rPr>
                    <w:t>5</w:t>
                  </w:r>
                </w:p>
              </w:tc>
              <w:tc>
                <w:tcPr>
                  <w:tcW w:w="1924" w:type="dxa"/>
                  <w:noWrap/>
                  <w:vAlign w:val="center"/>
                </w:tcPr>
                <w:p w14:paraId="2E2540E9">
                  <w:pPr>
                    <w:widowControl/>
                    <w:jc w:val="center"/>
                    <w:rPr>
                      <w:rFonts w:eastAsiaTheme="minorEastAsia"/>
                      <w:kern w:val="0"/>
                      <w:szCs w:val="21"/>
                    </w:rPr>
                  </w:pPr>
                  <w:r>
                    <w:rPr>
                      <w:rFonts w:eastAsiaTheme="minorEastAsia"/>
                      <w:kern w:val="0"/>
                      <w:szCs w:val="21"/>
                    </w:rPr>
                    <w:t>0#送料风机</w:t>
                  </w:r>
                </w:p>
              </w:tc>
              <w:tc>
                <w:tcPr>
                  <w:tcW w:w="2748" w:type="dxa"/>
                  <w:noWrap/>
                  <w:vAlign w:val="center"/>
                </w:tcPr>
                <w:p w14:paraId="6637E3F6">
                  <w:pPr>
                    <w:widowControl/>
                    <w:jc w:val="center"/>
                    <w:rPr>
                      <w:rFonts w:eastAsiaTheme="minorEastAsia"/>
                      <w:kern w:val="0"/>
                      <w:szCs w:val="21"/>
                    </w:rPr>
                  </w:pPr>
                  <w:r>
                    <w:rPr>
                      <w:rFonts w:eastAsiaTheme="minorEastAsia"/>
                      <w:kern w:val="0"/>
                      <w:szCs w:val="21"/>
                    </w:rPr>
                    <w:t>11KW</w:t>
                  </w:r>
                </w:p>
              </w:tc>
              <w:tc>
                <w:tcPr>
                  <w:tcW w:w="530" w:type="dxa"/>
                  <w:noWrap/>
                  <w:vAlign w:val="center"/>
                </w:tcPr>
                <w:p w14:paraId="093152DA">
                  <w:pPr>
                    <w:widowControl/>
                    <w:jc w:val="center"/>
                    <w:rPr>
                      <w:rFonts w:eastAsiaTheme="minorEastAsia"/>
                      <w:kern w:val="0"/>
                      <w:szCs w:val="21"/>
                    </w:rPr>
                  </w:pPr>
                  <w:r>
                    <w:rPr>
                      <w:rFonts w:eastAsiaTheme="minorEastAsia"/>
                      <w:kern w:val="0"/>
                      <w:szCs w:val="21"/>
                    </w:rPr>
                    <w:t>台</w:t>
                  </w:r>
                </w:p>
              </w:tc>
              <w:tc>
                <w:tcPr>
                  <w:tcW w:w="1259" w:type="dxa"/>
                  <w:noWrap/>
                  <w:vAlign w:val="center"/>
                </w:tcPr>
                <w:p w14:paraId="444419AF">
                  <w:pPr>
                    <w:widowControl/>
                    <w:jc w:val="center"/>
                    <w:rPr>
                      <w:rFonts w:eastAsiaTheme="minorEastAsia"/>
                      <w:kern w:val="0"/>
                      <w:szCs w:val="21"/>
                    </w:rPr>
                  </w:pPr>
                  <w:r>
                    <w:rPr>
                      <w:rFonts w:eastAsiaTheme="minorEastAsia"/>
                      <w:kern w:val="0"/>
                      <w:szCs w:val="21"/>
                    </w:rPr>
                    <w:t>2</w:t>
                  </w:r>
                </w:p>
              </w:tc>
              <w:tc>
                <w:tcPr>
                  <w:tcW w:w="672" w:type="dxa"/>
                  <w:vMerge w:val="continue"/>
                  <w:vAlign w:val="center"/>
                </w:tcPr>
                <w:p w14:paraId="3D8D279C">
                  <w:pPr>
                    <w:widowControl/>
                    <w:jc w:val="center"/>
                    <w:rPr>
                      <w:rFonts w:eastAsiaTheme="minorEastAsia"/>
                      <w:kern w:val="0"/>
                      <w:szCs w:val="21"/>
                    </w:rPr>
                  </w:pPr>
                </w:p>
              </w:tc>
            </w:tr>
            <w:tr w14:paraId="281BE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80" w:type="dxa"/>
                  <w:noWrap/>
                  <w:vAlign w:val="center"/>
                </w:tcPr>
                <w:p w14:paraId="4EB0BDCA">
                  <w:pPr>
                    <w:widowControl/>
                    <w:jc w:val="center"/>
                    <w:rPr>
                      <w:rFonts w:eastAsiaTheme="minorEastAsia"/>
                      <w:kern w:val="0"/>
                      <w:szCs w:val="21"/>
                    </w:rPr>
                  </w:pPr>
                  <w:r>
                    <w:rPr>
                      <w:rFonts w:eastAsiaTheme="minorEastAsia"/>
                      <w:kern w:val="0"/>
                      <w:szCs w:val="21"/>
                    </w:rPr>
                    <w:t>6</w:t>
                  </w:r>
                </w:p>
              </w:tc>
              <w:tc>
                <w:tcPr>
                  <w:tcW w:w="1924" w:type="dxa"/>
                  <w:noWrap/>
                  <w:vAlign w:val="center"/>
                </w:tcPr>
                <w:p w14:paraId="6D6DBE67">
                  <w:pPr>
                    <w:widowControl/>
                    <w:jc w:val="center"/>
                    <w:rPr>
                      <w:rFonts w:eastAsiaTheme="minorEastAsia"/>
                      <w:kern w:val="0"/>
                      <w:szCs w:val="21"/>
                    </w:rPr>
                  </w:pPr>
                  <w:r>
                    <w:rPr>
                      <w:rFonts w:eastAsiaTheme="minorEastAsia"/>
                      <w:kern w:val="0"/>
                      <w:szCs w:val="21"/>
                    </w:rPr>
                    <w:t>1#送料风机</w:t>
                  </w:r>
                </w:p>
              </w:tc>
              <w:tc>
                <w:tcPr>
                  <w:tcW w:w="2748" w:type="dxa"/>
                  <w:noWrap/>
                  <w:vAlign w:val="center"/>
                </w:tcPr>
                <w:p w14:paraId="262E7553">
                  <w:pPr>
                    <w:widowControl/>
                    <w:jc w:val="center"/>
                    <w:rPr>
                      <w:rFonts w:eastAsiaTheme="minorEastAsia"/>
                      <w:kern w:val="0"/>
                      <w:szCs w:val="21"/>
                    </w:rPr>
                  </w:pPr>
                  <w:r>
                    <w:rPr>
                      <w:rFonts w:eastAsiaTheme="minorEastAsia"/>
                      <w:kern w:val="0"/>
                      <w:szCs w:val="21"/>
                    </w:rPr>
                    <w:t>18.5KW</w:t>
                  </w:r>
                </w:p>
              </w:tc>
              <w:tc>
                <w:tcPr>
                  <w:tcW w:w="530" w:type="dxa"/>
                  <w:noWrap/>
                  <w:vAlign w:val="center"/>
                </w:tcPr>
                <w:p w14:paraId="5F57A706">
                  <w:pPr>
                    <w:widowControl/>
                    <w:jc w:val="center"/>
                    <w:rPr>
                      <w:rFonts w:eastAsiaTheme="minorEastAsia"/>
                      <w:kern w:val="0"/>
                      <w:szCs w:val="21"/>
                    </w:rPr>
                  </w:pPr>
                  <w:r>
                    <w:rPr>
                      <w:rFonts w:eastAsiaTheme="minorEastAsia"/>
                      <w:kern w:val="0"/>
                      <w:szCs w:val="21"/>
                    </w:rPr>
                    <w:t>台</w:t>
                  </w:r>
                </w:p>
              </w:tc>
              <w:tc>
                <w:tcPr>
                  <w:tcW w:w="1259" w:type="dxa"/>
                  <w:noWrap/>
                  <w:vAlign w:val="center"/>
                </w:tcPr>
                <w:p w14:paraId="40AF8206">
                  <w:pPr>
                    <w:widowControl/>
                    <w:jc w:val="center"/>
                    <w:rPr>
                      <w:rFonts w:eastAsiaTheme="minorEastAsia"/>
                      <w:kern w:val="0"/>
                      <w:szCs w:val="21"/>
                    </w:rPr>
                  </w:pPr>
                  <w:r>
                    <w:rPr>
                      <w:rFonts w:eastAsiaTheme="minorEastAsia"/>
                      <w:kern w:val="0"/>
                      <w:szCs w:val="21"/>
                    </w:rPr>
                    <w:t>2</w:t>
                  </w:r>
                </w:p>
              </w:tc>
              <w:tc>
                <w:tcPr>
                  <w:tcW w:w="672" w:type="dxa"/>
                  <w:vMerge w:val="continue"/>
                  <w:vAlign w:val="center"/>
                </w:tcPr>
                <w:p w14:paraId="4FC8DD80">
                  <w:pPr>
                    <w:widowControl/>
                    <w:jc w:val="center"/>
                    <w:rPr>
                      <w:rFonts w:eastAsiaTheme="minorEastAsia"/>
                      <w:kern w:val="0"/>
                      <w:szCs w:val="21"/>
                    </w:rPr>
                  </w:pPr>
                </w:p>
              </w:tc>
            </w:tr>
            <w:tr w14:paraId="1DA6DF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noWrap/>
                  <w:vAlign w:val="center"/>
                </w:tcPr>
                <w:p w14:paraId="51BE413C">
                  <w:pPr>
                    <w:widowControl/>
                    <w:jc w:val="center"/>
                    <w:rPr>
                      <w:rFonts w:eastAsiaTheme="minorEastAsia"/>
                      <w:kern w:val="0"/>
                      <w:szCs w:val="21"/>
                    </w:rPr>
                  </w:pPr>
                  <w:r>
                    <w:rPr>
                      <w:rFonts w:eastAsiaTheme="minorEastAsia"/>
                      <w:kern w:val="0"/>
                      <w:szCs w:val="21"/>
                    </w:rPr>
                    <w:t>7</w:t>
                  </w:r>
                </w:p>
              </w:tc>
              <w:tc>
                <w:tcPr>
                  <w:tcW w:w="1924" w:type="dxa"/>
                  <w:noWrap/>
                  <w:vAlign w:val="center"/>
                </w:tcPr>
                <w:p w14:paraId="0AD968F3">
                  <w:pPr>
                    <w:widowControl/>
                    <w:jc w:val="center"/>
                    <w:rPr>
                      <w:rFonts w:eastAsiaTheme="minorEastAsia"/>
                      <w:kern w:val="0"/>
                      <w:szCs w:val="21"/>
                    </w:rPr>
                  </w:pPr>
                  <w:r>
                    <w:rPr>
                      <w:rFonts w:eastAsiaTheme="minorEastAsia"/>
                      <w:kern w:val="0"/>
                      <w:szCs w:val="21"/>
                    </w:rPr>
                    <w:t>2#送料风机</w:t>
                  </w:r>
                </w:p>
              </w:tc>
              <w:tc>
                <w:tcPr>
                  <w:tcW w:w="2748" w:type="dxa"/>
                  <w:noWrap/>
                  <w:vAlign w:val="center"/>
                </w:tcPr>
                <w:p w14:paraId="519BF710">
                  <w:pPr>
                    <w:widowControl/>
                    <w:jc w:val="center"/>
                    <w:rPr>
                      <w:rFonts w:eastAsiaTheme="minorEastAsia"/>
                      <w:kern w:val="0"/>
                      <w:szCs w:val="21"/>
                    </w:rPr>
                  </w:pPr>
                  <w:r>
                    <w:rPr>
                      <w:rFonts w:eastAsiaTheme="minorEastAsia"/>
                      <w:kern w:val="0"/>
                      <w:szCs w:val="21"/>
                    </w:rPr>
                    <w:t>11KW</w:t>
                  </w:r>
                </w:p>
              </w:tc>
              <w:tc>
                <w:tcPr>
                  <w:tcW w:w="530" w:type="dxa"/>
                  <w:noWrap/>
                  <w:vAlign w:val="center"/>
                </w:tcPr>
                <w:p w14:paraId="6761F0E9">
                  <w:pPr>
                    <w:widowControl/>
                    <w:jc w:val="center"/>
                    <w:rPr>
                      <w:rFonts w:eastAsiaTheme="minorEastAsia"/>
                      <w:kern w:val="0"/>
                      <w:szCs w:val="21"/>
                    </w:rPr>
                  </w:pPr>
                  <w:r>
                    <w:rPr>
                      <w:rFonts w:eastAsiaTheme="minorEastAsia"/>
                      <w:kern w:val="0"/>
                      <w:szCs w:val="21"/>
                    </w:rPr>
                    <w:t>台</w:t>
                  </w:r>
                </w:p>
              </w:tc>
              <w:tc>
                <w:tcPr>
                  <w:tcW w:w="1259" w:type="dxa"/>
                  <w:noWrap/>
                  <w:vAlign w:val="center"/>
                </w:tcPr>
                <w:p w14:paraId="3363FB27">
                  <w:pPr>
                    <w:widowControl/>
                    <w:jc w:val="center"/>
                    <w:rPr>
                      <w:rFonts w:eastAsiaTheme="minorEastAsia"/>
                      <w:kern w:val="0"/>
                      <w:szCs w:val="21"/>
                    </w:rPr>
                  </w:pPr>
                  <w:r>
                    <w:rPr>
                      <w:rFonts w:eastAsiaTheme="minorEastAsia"/>
                      <w:kern w:val="0"/>
                      <w:szCs w:val="21"/>
                    </w:rPr>
                    <w:t>2</w:t>
                  </w:r>
                </w:p>
              </w:tc>
              <w:tc>
                <w:tcPr>
                  <w:tcW w:w="672" w:type="dxa"/>
                  <w:vMerge w:val="continue"/>
                  <w:vAlign w:val="center"/>
                </w:tcPr>
                <w:p w14:paraId="68A17A18">
                  <w:pPr>
                    <w:widowControl/>
                    <w:jc w:val="center"/>
                    <w:rPr>
                      <w:rFonts w:eastAsiaTheme="minorEastAsia"/>
                      <w:kern w:val="0"/>
                      <w:szCs w:val="21"/>
                    </w:rPr>
                  </w:pPr>
                </w:p>
              </w:tc>
            </w:tr>
            <w:tr w14:paraId="1C089D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noWrap/>
                  <w:vAlign w:val="center"/>
                </w:tcPr>
                <w:p w14:paraId="25CDDE81">
                  <w:pPr>
                    <w:widowControl/>
                    <w:jc w:val="center"/>
                    <w:rPr>
                      <w:rFonts w:eastAsiaTheme="minorEastAsia"/>
                      <w:kern w:val="0"/>
                      <w:szCs w:val="21"/>
                    </w:rPr>
                  </w:pPr>
                  <w:r>
                    <w:rPr>
                      <w:rFonts w:eastAsiaTheme="minorEastAsia"/>
                      <w:kern w:val="0"/>
                      <w:szCs w:val="21"/>
                    </w:rPr>
                    <w:t>8</w:t>
                  </w:r>
                </w:p>
              </w:tc>
              <w:tc>
                <w:tcPr>
                  <w:tcW w:w="1924" w:type="dxa"/>
                  <w:noWrap/>
                  <w:vAlign w:val="center"/>
                </w:tcPr>
                <w:p w14:paraId="65DDC411">
                  <w:pPr>
                    <w:widowControl/>
                    <w:jc w:val="center"/>
                    <w:rPr>
                      <w:rFonts w:eastAsiaTheme="minorEastAsia"/>
                      <w:kern w:val="0"/>
                      <w:szCs w:val="21"/>
                    </w:rPr>
                  </w:pPr>
                  <w:r>
                    <w:rPr>
                      <w:rFonts w:eastAsiaTheme="minorEastAsia"/>
                      <w:kern w:val="0"/>
                      <w:szCs w:val="21"/>
                    </w:rPr>
                    <w:t>摩擦聚粒主机</w:t>
                  </w:r>
                </w:p>
              </w:tc>
              <w:tc>
                <w:tcPr>
                  <w:tcW w:w="2748" w:type="dxa"/>
                  <w:noWrap/>
                  <w:vAlign w:val="center"/>
                </w:tcPr>
                <w:p w14:paraId="07B7ABC7">
                  <w:pPr>
                    <w:widowControl/>
                    <w:jc w:val="center"/>
                    <w:rPr>
                      <w:rFonts w:eastAsiaTheme="minorEastAsia"/>
                      <w:kern w:val="0"/>
                      <w:szCs w:val="21"/>
                    </w:rPr>
                  </w:pPr>
                  <w:r>
                    <w:rPr>
                      <w:rFonts w:eastAsiaTheme="minorEastAsia"/>
                      <w:kern w:val="0"/>
                      <w:szCs w:val="21"/>
                    </w:rPr>
                    <w:t>250KW</w:t>
                  </w:r>
                </w:p>
              </w:tc>
              <w:tc>
                <w:tcPr>
                  <w:tcW w:w="530" w:type="dxa"/>
                  <w:noWrap/>
                  <w:vAlign w:val="center"/>
                </w:tcPr>
                <w:p w14:paraId="2C459E7A">
                  <w:pPr>
                    <w:widowControl/>
                    <w:jc w:val="center"/>
                    <w:rPr>
                      <w:rFonts w:eastAsiaTheme="minorEastAsia"/>
                      <w:kern w:val="0"/>
                      <w:szCs w:val="21"/>
                    </w:rPr>
                  </w:pPr>
                  <w:r>
                    <w:rPr>
                      <w:rFonts w:eastAsiaTheme="minorEastAsia"/>
                      <w:kern w:val="0"/>
                      <w:szCs w:val="21"/>
                    </w:rPr>
                    <w:t>套</w:t>
                  </w:r>
                </w:p>
              </w:tc>
              <w:tc>
                <w:tcPr>
                  <w:tcW w:w="1259" w:type="dxa"/>
                  <w:noWrap/>
                  <w:vAlign w:val="center"/>
                </w:tcPr>
                <w:p w14:paraId="05DD761B">
                  <w:pPr>
                    <w:widowControl/>
                    <w:jc w:val="center"/>
                    <w:rPr>
                      <w:rFonts w:eastAsiaTheme="minorEastAsia"/>
                      <w:kern w:val="0"/>
                      <w:szCs w:val="21"/>
                    </w:rPr>
                  </w:pPr>
                  <w:r>
                    <w:rPr>
                      <w:rFonts w:eastAsiaTheme="minorEastAsia"/>
                      <w:kern w:val="0"/>
                      <w:szCs w:val="21"/>
                    </w:rPr>
                    <w:t>2</w:t>
                  </w:r>
                </w:p>
              </w:tc>
              <w:tc>
                <w:tcPr>
                  <w:tcW w:w="672" w:type="dxa"/>
                  <w:vMerge w:val="continue"/>
                  <w:vAlign w:val="center"/>
                </w:tcPr>
                <w:p w14:paraId="425F059F">
                  <w:pPr>
                    <w:widowControl/>
                    <w:jc w:val="center"/>
                    <w:rPr>
                      <w:rFonts w:eastAsiaTheme="minorEastAsia"/>
                      <w:kern w:val="0"/>
                      <w:szCs w:val="21"/>
                    </w:rPr>
                  </w:pPr>
                </w:p>
              </w:tc>
            </w:tr>
            <w:tr w14:paraId="2DDF35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noWrap/>
                  <w:vAlign w:val="center"/>
                </w:tcPr>
                <w:p w14:paraId="11980A6B">
                  <w:pPr>
                    <w:widowControl/>
                    <w:jc w:val="center"/>
                    <w:rPr>
                      <w:rFonts w:eastAsiaTheme="minorEastAsia"/>
                      <w:kern w:val="0"/>
                      <w:szCs w:val="21"/>
                    </w:rPr>
                  </w:pPr>
                  <w:r>
                    <w:rPr>
                      <w:rFonts w:eastAsiaTheme="minorEastAsia"/>
                      <w:kern w:val="0"/>
                      <w:szCs w:val="21"/>
                    </w:rPr>
                    <w:t>9</w:t>
                  </w:r>
                </w:p>
              </w:tc>
              <w:tc>
                <w:tcPr>
                  <w:tcW w:w="1924" w:type="dxa"/>
                  <w:noWrap/>
                  <w:vAlign w:val="center"/>
                </w:tcPr>
                <w:p w14:paraId="10D46B8A">
                  <w:pPr>
                    <w:widowControl/>
                    <w:jc w:val="center"/>
                    <w:rPr>
                      <w:rFonts w:eastAsiaTheme="minorEastAsia"/>
                      <w:kern w:val="0"/>
                      <w:szCs w:val="21"/>
                    </w:rPr>
                  </w:pPr>
                  <w:r>
                    <w:rPr>
                      <w:rFonts w:eastAsiaTheme="minorEastAsia"/>
                      <w:kern w:val="0"/>
                      <w:szCs w:val="21"/>
                    </w:rPr>
                    <w:t>切粒机</w:t>
                  </w:r>
                </w:p>
              </w:tc>
              <w:tc>
                <w:tcPr>
                  <w:tcW w:w="2748" w:type="dxa"/>
                  <w:noWrap/>
                  <w:vAlign w:val="center"/>
                </w:tcPr>
                <w:p w14:paraId="402E373E">
                  <w:pPr>
                    <w:widowControl/>
                    <w:jc w:val="center"/>
                    <w:rPr>
                      <w:rFonts w:eastAsiaTheme="minorEastAsia"/>
                      <w:kern w:val="0"/>
                      <w:szCs w:val="21"/>
                    </w:rPr>
                  </w:pPr>
                  <w:r>
                    <w:rPr>
                      <w:rFonts w:eastAsiaTheme="minorEastAsia"/>
                      <w:kern w:val="0"/>
                      <w:szCs w:val="21"/>
                    </w:rPr>
                    <w:t>1100型 55KW</w:t>
                  </w:r>
                </w:p>
              </w:tc>
              <w:tc>
                <w:tcPr>
                  <w:tcW w:w="530" w:type="dxa"/>
                  <w:noWrap/>
                  <w:vAlign w:val="center"/>
                </w:tcPr>
                <w:p w14:paraId="480A2282">
                  <w:pPr>
                    <w:widowControl/>
                    <w:jc w:val="center"/>
                    <w:rPr>
                      <w:rFonts w:eastAsiaTheme="minorEastAsia"/>
                      <w:kern w:val="0"/>
                      <w:szCs w:val="21"/>
                    </w:rPr>
                  </w:pPr>
                  <w:r>
                    <w:rPr>
                      <w:rFonts w:eastAsiaTheme="minorEastAsia"/>
                      <w:kern w:val="0"/>
                      <w:szCs w:val="21"/>
                    </w:rPr>
                    <w:t>台</w:t>
                  </w:r>
                </w:p>
              </w:tc>
              <w:tc>
                <w:tcPr>
                  <w:tcW w:w="1259" w:type="dxa"/>
                  <w:noWrap/>
                  <w:vAlign w:val="center"/>
                </w:tcPr>
                <w:p w14:paraId="47DABF06">
                  <w:pPr>
                    <w:widowControl/>
                    <w:jc w:val="center"/>
                    <w:rPr>
                      <w:rFonts w:eastAsiaTheme="minorEastAsia"/>
                      <w:kern w:val="0"/>
                      <w:szCs w:val="21"/>
                    </w:rPr>
                  </w:pPr>
                  <w:r>
                    <w:rPr>
                      <w:rFonts w:eastAsiaTheme="minorEastAsia"/>
                      <w:kern w:val="0"/>
                      <w:szCs w:val="21"/>
                    </w:rPr>
                    <w:t>2</w:t>
                  </w:r>
                </w:p>
              </w:tc>
              <w:tc>
                <w:tcPr>
                  <w:tcW w:w="672" w:type="dxa"/>
                  <w:vMerge w:val="continue"/>
                  <w:vAlign w:val="center"/>
                </w:tcPr>
                <w:p w14:paraId="1259089C">
                  <w:pPr>
                    <w:widowControl/>
                    <w:jc w:val="center"/>
                    <w:rPr>
                      <w:rFonts w:eastAsiaTheme="minorEastAsia"/>
                      <w:kern w:val="0"/>
                      <w:szCs w:val="21"/>
                    </w:rPr>
                  </w:pPr>
                </w:p>
              </w:tc>
            </w:tr>
            <w:tr w14:paraId="7071A9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noWrap/>
                  <w:vAlign w:val="center"/>
                </w:tcPr>
                <w:p w14:paraId="670CA8EE">
                  <w:pPr>
                    <w:widowControl/>
                    <w:jc w:val="center"/>
                    <w:rPr>
                      <w:rFonts w:eastAsiaTheme="minorEastAsia"/>
                      <w:kern w:val="0"/>
                      <w:szCs w:val="21"/>
                    </w:rPr>
                  </w:pPr>
                  <w:r>
                    <w:rPr>
                      <w:rFonts w:eastAsiaTheme="minorEastAsia"/>
                      <w:kern w:val="0"/>
                      <w:szCs w:val="21"/>
                    </w:rPr>
                    <w:t>10</w:t>
                  </w:r>
                </w:p>
              </w:tc>
              <w:tc>
                <w:tcPr>
                  <w:tcW w:w="1924" w:type="dxa"/>
                  <w:noWrap/>
                  <w:vAlign w:val="center"/>
                </w:tcPr>
                <w:p w14:paraId="6BB9AA1E">
                  <w:pPr>
                    <w:widowControl/>
                    <w:jc w:val="center"/>
                    <w:rPr>
                      <w:rFonts w:eastAsiaTheme="minorEastAsia"/>
                      <w:kern w:val="0"/>
                      <w:szCs w:val="21"/>
                    </w:rPr>
                  </w:pPr>
                  <w:r>
                    <w:rPr>
                      <w:rFonts w:eastAsiaTheme="minorEastAsia"/>
                      <w:kern w:val="0"/>
                      <w:szCs w:val="21"/>
                    </w:rPr>
                    <w:t>下料回收系统架</w:t>
                  </w:r>
                </w:p>
              </w:tc>
              <w:tc>
                <w:tcPr>
                  <w:tcW w:w="2748" w:type="dxa"/>
                  <w:noWrap/>
                  <w:vAlign w:val="center"/>
                </w:tcPr>
                <w:p w14:paraId="4CC0442C">
                  <w:pPr>
                    <w:widowControl/>
                    <w:jc w:val="center"/>
                    <w:rPr>
                      <w:rFonts w:eastAsiaTheme="minorEastAsia"/>
                      <w:kern w:val="0"/>
                      <w:szCs w:val="21"/>
                    </w:rPr>
                  </w:pPr>
                  <w:r>
                    <w:rPr>
                      <w:rFonts w:eastAsiaTheme="minorEastAsia"/>
                      <w:kern w:val="0"/>
                      <w:szCs w:val="21"/>
                    </w:rPr>
                    <w:t>含3#送料风机 3KW</w:t>
                  </w:r>
                </w:p>
              </w:tc>
              <w:tc>
                <w:tcPr>
                  <w:tcW w:w="530" w:type="dxa"/>
                  <w:noWrap/>
                  <w:vAlign w:val="center"/>
                </w:tcPr>
                <w:p w14:paraId="07042ED2">
                  <w:pPr>
                    <w:widowControl/>
                    <w:jc w:val="center"/>
                    <w:rPr>
                      <w:rFonts w:eastAsiaTheme="minorEastAsia"/>
                      <w:kern w:val="0"/>
                      <w:szCs w:val="21"/>
                    </w:rPr>
                  </w:pPr>
                  <w:r>
                    <w:rPr>
                      <w:rFonts w:eastAsiaTheme="minorEastAsia"/>
                      <w:kern w:val="0"/>
                      <w:szCs w:val="21"/>
                    </w:rPr>
                    <w:t>套</w:t>
                  </w:r>
                </w:p>
              </w:tc>
              <w:tc>
                <w:tcPr>
                  <w:tcW w:w="1259" w:type="dxa"/>
                  <w:noWrap/>
                  <w:vAlign w:val="center"/>
                </w:tcPr>
                <w:p w14:paraId="4684D1CE">
                  <w:pPr>
                    <w:widowControl/>
                    <w:jc w:val="center"/>
                    <w:rPr>
                      <w:rFonts w:eastAsiaTheme="minorEastAsia"/>
                      <w:kern w:val="0"/>
                      <w:szCs w:val="21"/>
                    </w:rPr>
                  </w:pPr>
                  <w:r>
                    <w:rPr>
                      <w:rFonts w:eastAsiaTheme="minorEastAsia"/>
                      <w:kern w:val="0"/>
                      <w:szCs w:val="21"/>
                    </w:rPr>
                    <w:t>2</w:t>
                  </w:r>
                </w:p>
              </w:tc>
              <w:tc>
                <w:tcPr>
                  <w:tcW w:w="672" w:type="dxa"/>
                  <w:vMerge w:val="continue"/>
                  <w:vAlign w:val="center"/>
                </w:tcPr>
                <w:p w14:paraId="668791BE">
                  <w:pPr>
                    <w:widowControl/>
                    <w:jc w:val="center"/>
                    <w:rPr>
                      <w:rFonts w:eastAsiaTheme="minorEastAsia"/>
                      <w:kern w:val="0"/>
                      <w:szCs w:val="21"/>
                    </w:rPr>
                  </w:pPr>
                </w:p>
              </w:tc>
            </w:tr>
            <w:tr w14:paraId="76774D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noWrap/>
                  <w:vAlign w:val="center"/>
                </w:tcPr>
                <w:p w14:paraId="537D690D">
                  <w:pPr>
                    <w:widowControl/>
                    <w:jc w:val="center"/>
                    <w:rPr>
                      <w:rFonts w:eastAsiaTheme="minorEastAsia"/>
                      <w:kern w:val="0"/>
                      <w:szCs w:val="21"/>
                    </w:rPr>
                  </w:pPr>
                  <w:r>
                    <w:rPr>
                      <w:rFonts w:eastAsiaTheme="minorEastAsia"/>
                      <w:kern w:val="0"/>
                      <w:szCs w:val="21"/>
                    </w:rPr>
                    <w:t>11</w:t>
                  </w:r>
                </w:p>
              </w:tc>
              <w:tc>
                <w:tcPr>
                  <w:tcW w:w="1924" w:type="dxa"/>
                  <w:noWrap/>
                  <w:vAlign w:val="center"/>
                </w:tcPr>
                <w:p w14:paraId="0D34093E">
                  <w:pPr>
                    <w:widowControl/>
                    <w:jc w:val="center"/>
                    <w:rPr>
                      <w:rFonts w:eastAsiaTheme="minorEastAsia"/>
                      <w:kern w:val="0"/>
                      <w:szCs w:val="21"/>
                    </w:rPr>
                  </w:pPr>
                  <w:r>
                    <w:rPr>
                      <w:rFonts w:eastAsiaTheme="minorEastAsia"/>
                      <w:kern w:val="0"/>
                      <w:szCs w:val="21"/>
                    </w:rPr>
                    <w:t>油烟净化系统</w:t>
                  </w:r>
                </w:p>
              </w:tc>
              <w:tc>
                <w:tcPr>
                  <w:tcW w:w="2748" w:type="dxa"/>
                  <w:noWrap/>
                  <w:vAlign w:val="center"/>
                </w:tcPr>
                <w:p w14:paraId="20534A1F">
                  <w:pPr>
                    <w:widowControl/>
                    <w:jc w:val="center"/>
                    <w:rPr>
                      <w:rFonts w:eastAsiaTheme="minorEastAsia"/>
                      <w:kern w:val="0"/>
                      <w:szCs w:val="21"/>
                    </w:rPr>
                  </w:pPr>
                  <w:r>
                    <w:rPr>
                      <w:rFonts w:eastAsiaTheme="minorEastAsia"/>
                      <w:kern w:val="0"/>
                      <w:szCs w:val="21"/>
                    </w:rPr>
                    <w:t>风量9000m³/h 15KW</w:t>
                  </w:r>
                </w:p>
              </w:tc>
              <w:tc>
                <w:tcPr>
                  <w:tcW w:w="530" w:type="dxa"/>
                  <w:noWrap/>
                  <w:vAlign w:val="center"/>
                </w:tcPr>
                <w:p w14:paraId="364F3C63">
                  <w:pPr>
                    <w:widowControl/>
                    <w:jc w:val="center"/>
                    <w:rPr>
                      <w:rFonts w:eastAsiaTheme="minorEastAsia"/>
                      <w:kern w:val="0"/>
                      <w:szCs w:val="21"/>
                    </w:rPr>
                  </w:pPr>
                  <w:r>
                    <w:rPr>
                      <w:rFonts w:eastAsiaTheme="minorEastAsia"/>
                      <w:kern w:val="0"/>
                      <w:szCs w:val="21"/>
                    </w:rPr>
                    <w:t>套</w:t>
                  </w:r>
                </w:p>
              </w:tc>
              <w:tc>
                <w:tcPr>
                  <w:tcW w:w="1259" w:type="dxa"/>
                  <w:noWrap/>
                  <w:vAlign w:val="center"/>
                </w:tcPr>
                <w:p w14:paraId="18CC737D">
                  <w:pPr>
                    <w:widowControl/>
                    <w:jc w:val="center"/>
                    <w:rPr>
                      <w:rFonts w:eastAsiaTheme="minorEastAsia"/>
                      <w:kern w:val="0"/>
                      <w:szCs w:val="21"/>
                    </w:rPr>
                  </w:pPr>
                  <w:r>
                    <w:rPr>
                      <w:rFonts w:eastAsiaTheme="minorEastAsia"/>
                      <w:kern w:val="0"/>
                      <w:szCs w:val="21"/>
                    </w:rPr>
                    <w:t>2</w:t>
                  </w:r>
                </w:p>
              </w:tc>
              <w:tc>
                <w:tcPr>
                  <w:tcW w:w="672" w:type="dxa"/>
                  <w:vMerge w:val="continue"/>
                  <w:vAlign w:val="center"/>
                </w:tcPr>
                <w:p w14:paraId="2CAFA9BD">
                  <w:pPr>
                    <w:widowControl/>
                    <w:jc w:val="center"/>
                    <w:rPr>
                      <w:rFonts w:eastAsiaTheme="minorEastAsia"/>
                      <w:kern w:val="0"/>
                      <w:szCs w:val="21"/>
                    </w:rPr>
                  </w:pPr>
                </w:p>
              </w:tc>
            </w:tr>
            <w:tr w14:paraId="63637B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noWrap/>
                  <w:vAlign w:val="center"/>
                </w:tcPr>
                <w:p w14:paraId="59F2EDC0">
                  <w:pPr>
                    <w:widowControl/>
                    <w:jc w:val="center"/>
                    <w:rPr>
                      <w:rFonts w:eastAsiaTheme="minorEastAsia"/>
                      <w:kern w:val="0"/>
                      <w:szCs w:val="21"/>
                    </w:rPr>
                  </w:pPr>
                  <w:r>
                    <w:rPr>
                      <w:rFonts w:eastAsiaTheme="minorEastAsia"/>
                      <w:kern w:val="0"/>
                      <w:szCs w:val="21"/>
                    </w:rPr>
                    <w:t>12</w:t>
                  </w:r>
                </w:p>
              </w:tc>
              <w:tc>
                <w:tcPr>
                  <w:tcW w:w="1924" w:type="dxa"/>
                  <w:noWrap/>
                  <w:vAlign w:val="center"/>
                </w:tcPr>
                <w:p w14:paraId="5797D044">
                  <w:pPr>
                    <w:widowControl/>
                    <w:jc w:val="center"/>
                    <w:rPr>
                      <w:rFonts w:eastAsiaTheme="minorEastAsia"/>
                      <w:kern w:val="0"/>
                      <w:szCs w:val="21"/>
                    </w:rPr>
                  </w:pPr>
                  <w:r>
                    <w:rPr>
                      <w:rFonts w:eastAsiaTheme="minorEastAsia"/>
                      <w:kern w:val="0"/>
                      <w:szCs w:val="21"/>
                    </w:rPr>
                    <w:t>冷却搅拌桶</w:t>
                  </w:r>
                </w:p>
              </w:tc>
              <w:tc>
                <w:tcPr>
                  <w:tcW w:w="2748" w:type="dxa"/>
                  <w:noWrap/>
                  <w:vAlign w:val="center"/>
                </w:tcPr>
                <w:p w14:paraId="761DA1A8">
                  <w:pPr>
                    <w:widowControl/>
                    <w:jc w:val="center"/>
                    <w:rPr>
                      <w:rFonts w:eastAsiaTheme="minorEastAsia"/>
                      <w:kern w:val="0"/>
                      <w:szCs w:val="21"/>
                    </w:rPr>
                  </w:pPr>
                  <w:r>
                    <w:rPr>
                      <w:rFonts w:eastAsiaTheme="minorEastAsia"/>
                      <w:kern w:val="0"/>
                      <w:szCs w:val="21"/>
                    </w:rPr>
                    <w:t>5.5KW</w:t>
                  </w:r>
                </w:p>
              </w:tc>
              <w:tc>
                <w:tcPr>
                  <w:tcW w:w="530" w:type="dxa"/>
                  <w:noWrap/>
                  <w:vAlign w:val="center"/>
                </w:tcPr>
                <w:p w14:paraId="69CFABE1">
                  <w:pPr>
                    <w:widowControl/>
                    <w:jc w:val="center"/>
                    <w:rPr>
                      <w:rFonts w:eastAsiaTheme="minorEastAsia"/>
                      <w:kern w:val="0"/>
                      <w:szCs w:val="21"/>
                    </w:rPr>
                  </w:pPr>
                  <w:r>
                    <w:rPr>
                      <w:rFonts w:eastAsiaTheme="minorEastAsia"/>
                      <w:kern w:val="0"/>
                      <w:szCs w:val="21"/>
                    </w:rPr>
                    <w:t>台</w:t>
                  </w:r>
                </w:p>
              </w:tc>
              <w:tc>
                <w:tcPr>
                  <w:tcW w:w="1259" w:type="dxa"/>
                  <w:noWrap/>
                  <w:vAlign w:val="center"/>
                </w:tcPr>
                <w:p w14:paraId="5F01CEB2">
                  <w:pPr>
                    <w:widowControl/>
                    <w:jc w:val="center"/>
                    <w:rPr>
                      <w:rFonts w:eastAsiaTheme="minorEastAsia"/>
                      <w:kern w:val="0"/>
                      <w:szCs w:val="21"/>
                    </w:rPr>
                  </w:pPr>
                  <w:r>
                    <w:rPr>
                      <w:rFonts w:eastAsiaTheme="minorEastAsia"/>
                      <w:kern w:val="0"/>
                      <w:szCs w:val="21"/>
                    </w:rPr>
                    <w:t>2</w:t>
                  </w:r>
                </w:p>
              </w:tc>
              <w:tc>
                <w:tcPr>
                  <w:tcW w:w="672" w:type="dxa"/>
                  <w:vMerge w:val="continue"/>
                  <w:vAlign w:val="center"/>
                </w:tcPr>
                <w:p w14:paraId="2CFEAEAE">
                  <w:pPr>
                    <w:widowControl/>
                    <w:jc w:val="center"/>
                    <w:rPr>
                      <w:rFonts w:eastAsiaTheme="minorEastAsia"/>
                      <w:kern w:val="0"/>
                      <w:szCs w:val="21"/>
                    </w:rPr>
                  </w:pPr>
                </w:p>
              </w:tc>
            </w:tr>
            <w:tr w14:paraId="0DC781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noWrap/>
                  <w:vAlign w:val="center"/>
                </w:tcPr>
                <w:p w14:paraId="7A83BD1F">
                  <w:pPr>
                    <w:widowControl/>
                    <w:jc w:val="center"/>
                    <w:rPr>
                      <w:rFonts w:eastAsiaTheme="minorEastAsia"/>
                      <w:kern w:val="0"/>
                      <w:szCs w:val="21"/>
                    </w:rPr>
                  </w:pPr>
                  <w:r>
                    <w:rPr>
                      <w:rFonts w:eastAsiaTheme="minorEastAsia"/>
                      <w:kern w:val="0"/>
                      <w:szCs w:val="21"/>
                    </w:rPr>
                    <w:t>13</w:t>
                  </w:r>
                </w:p>
              </w:tc>
              <w:tc>
                <w:tcPr>
                  <w:tcW w:w="1924" w:type="dxa"/>
                  <w:noWrap/>
                  <w:vAlign w:val="center"/>
                </w:tcPr>
                <w:p w14:paraId="2AFB4001">
                  <w:pPr>
                    <w:widowControl/>
                    <w:jc w:val="center"/>
                    <w:rPr>
                      <w:rFonts w:eastAsiaTheme="minorEastAsia"/>
                      <w:kern w:val="0"/>
                      <w:szCs w:val="21"/>
                    </w:rPr>
                  </w:pPr>
                  <w:r>
                    <w:rPr>
                      <w:rFonts w:eastAsiaTheme="minorEastAsia"/>
                      <w:kern w:val="0"/>
                      <w:szCs w:val="21"/>
                    </w:rPr>
                    <w:t>换袋衔接料仓含风机</w:t>
                  </w:r>
                </w:p>
              </w:tc>
              <w:tc>
                <w:tcPr>
                  <w:tcW w:w="2748" w:type="dxa"/>
                  <w:noWrap/>
                  <w:vAlign w:val="center"/>
                </w:tcPr>
                <w:p w14:paraId="03D33604">
                  <w:pPr>
                    <w:widowControl/>
                    <w:jc w:val="center"/>
                    <w:rPr>
                      <w:rFonts w:eastAsiaTheme="minorEastAsia"/>
                      <w:kern w:val="0"/>
                      <w:szCs w:val="21"/>
                    </w:rPr>
                  </w:pPr>
                  <w:r>
                    <w:rPr>
                      <w:rFonts w:eastAsiaTheme="minorEastAsia"/>
                      <w:kern w:val="0"/>
                      <w:szCs w:val="21"/>
                    </w:rPr>
                    <w:t>5.5KW</w:t>
                  </w:r>
                </w:p>
              </w:tc>
              <w:tc>
                <w:tcPr>
                  <w:tcW w:w="530" w:type="dxa"/>
                  <w:noWrap/>
                  <w:vAlign w:val="center"/>
                </w:tcPr>
                <w:p w14:paraId="58CBEE26">
                  <w:pPr>
                    <w:widowControl/>
                    <w:jc w:val="center"/>
                    <w:rPr>
                      <w:rFonts w:eastAsiaTheme="minorEastAsia"/>
                      <w:kern w:val="0"/>
                      <w:szCs w:val="21"/>
                    </w:rPr>
                  </w:pPr>
                  <w:r>
                    <w:rPr>
                      <w:rFonts w:eastAsiaTheme="minorEastAsia"/>
                      <w:kern w:val="0"/>
                      <w:szCs w:val="21"/>
                    </w:rPr>
                    <w:t>套</w:t>
                  </w:r>
                </w:p>
              </w:tc>
              <w:tc>
                <w:tcPr>
                  <w:tcW w:w="1259" w:type="dxa"/>
                  <w:noWrap/>
                  <w:vAlign w:val="center"/>
                </w:tcPr>
                <w:p w14:paraId="227C1893">
                  <w:pPr>
                    <w:widowControl/>
                    <w:jc w:val="center"/>
                    <w:rPr>
                      <w:rFonts w:eastAsiaTheme="minorEastAsia"/>
                      <w:kern w:val="0"/>
                      <w:szCs w:val="21"/>
                    </w:rPr>
                  </w:pPr>
                  <w:r>
                    <w:rPr>
                      <w:rFonts w:eastAsiaTheme="minorEastAsia"/>
                      <w:kern w:val="0"/>
                      <w:szCs w:val="21"/>
                    </w:rPr>
                    <w:t>2</w:t>
                  </w:r>
                </w:p>
              </w:tc>
              <w:tc>
                <w:tcPr>
                  <w:tcW w:w="672" w:type="dxa"/>
                  <w:vMerge w:val="continue"/>
                  <w:vAlign w:val="center"/>
                </w:tcPr>
                <w:p w14:paraId="5AB8DE1D">
                  <w:pPr>
                    <w:widowControl/>
                    <w:jc w:val="center"/>
                    <w:rPr>
                      <w:rFonts w:eastAsiaTheme="minorEastAsia"/>
                      <w:kern w:val="0"/>
                      <w:szCs w:val="21"/>
                    </w:rPr>
                  </w:pPr>
                </w:p>
              </w:tc>
            </w:tr>
            <w:tr w14:paraId="592157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noWrap/>
                  <w:vAlign w:val="center"/>
                </w:tcPr>
                <w:p w14:paraId="39AE3AF8">
                  <w:pPr>
                    <w:widowControl/>
                    <w:jc w:val="center"/>
                    <w:rPr>
                      <w:rFonts w:eastAsiaTheme="minorEastAsia"/>
                      <w:kern w:val="0"/>
                      <w:szCs w:val="21"/>
                    </w:rPr>
                  </w:pPr>
                  <w:r>
                    <w:rPr>
                      <w:rFonts w:eastAsiaTheme="minorEastAsia"/>
                      <w:kern w:val="0"/>
                      <w:szCs w:val="21"/>
                    </w:rPr>
                    <w:t>14</w:t>
                  </w:r>
                </w:p>
              </w:tc>
              <w:tc>
                <w:tcPr>
                  <w:tcW w:w="1924" w:type="dxa"/>
                  <w:noWrap/>
                  <w:vAlign w:val="center"/>
                </w:tcPr>
                <w:p w14:paraId="6C1909DE">
                  <w:pPr>
                    <w:widowControl/>
                    <w:jc w:val="center"/>
                    <w:rPr>
                      <w:rFonts w:eastAsiaTheme="minorEastAsia"/>
                      <w:kern w:val="0"/>
                      <w:szCs w:val="21"/>
                    </w:rPr>
                  </w:pPr>
                  <w:r>
                    <w:rPr>
                      <w:rFonts w:eastAsiaTheme="minorEastAsia"/>
                      <w:kern w:val="0"/>
                      <w:szCs w:val="21"/>
                    </w:rPr>
                    <w:t>2吨电动葫芦</w:t>
                  </w:r>
                </w:p>
              </w:tc>
              <w:tc>
                <w:tcPr>
                  <w:tcW w:w="2748" w:type="dxa"/>
                  <w:noWrap/>
                  <w:vAlign w:val="center"/>
                </w:tcPr>
                <w:p w14:paraId="179C7852">
                  <w:pPr>
                    <w:widowControl/>
                    <w:jc w:val="center"/>
                    <w:rPr>
                      <w:rFonts w:eastAsiaTheme="minorEastAsia"/>
                      <w:kern w:val="0"/>
                      <w:szCs w:val="21"/>
                    </w:rPr>
                  </w:pPr>
                  <w:r>
                    <w:rPr>
                      <w:rFonts w:eastAsiaTheme="minorEastAsia"/>
                      <w:kern w:val="0"/>
                      <w:szCs w:val="21"/>
                    </w:rPr>
                    <w:t>5.5KW</w:t>
                  </w:r>
                </w:p>
              </w:tc>
              <w:tc>
                <w:tcPr>
                  <w:tcW w:w="530" w:type="dxa"/>
                  <w:noWrap/>
                  <w:vAlign w:val="center"/>
                </w:tcPr>
                <w:p w14:paraId="68C0A034">
                  <w:pPr>
                    <w:widowControl/>
                    <w:jc w:val="center"/>
                    <w:rPr>
                      <w:rFonts w:eastAsiaTheme="minorEastAsia"/>
                      <w:kern w:val="0"/>
                      <w:szCs w:val="21"/>
                    </w:rPr>
                  </w:pPr>
                  <w:r>
                    <w:rPr>
                      <w:rFonts w:eastAsiaTheme="minorEastAsia"/>
                      <w:kern w:val="0"/>
                      <w:szCs w:val="21"/>
                    </w:rPr>
                    <w:t>台</w:t>
                  </w:r>
                </w:p>
              </w:tc>
              <w:tc>
                <w:tcPr>
                  <w:tcW w:w="1259" w:type="dxa"/>
                  <w:noWrap/>
                  <w:vAlign w:val="center"/>
                </w:tcPr>
                <w:p w14:paraId="40CED07E">
                  <w:pPr>
                    <w:widowControl/>
                    <w:jc w:val="center"/>
                    <w:rPr>
                      <w:rFonts w:eastAsiaTheme="minorEastAsia"/>
                      <w:kern w:val="0"/>
                      <w:szCs w:val="21"/>
                    </w:rPr>
                  </w:pPr>
                  <w:r>
                    <w:rPr>
                      <w:rFonts w:eastAsiaTheme="minorEastAsia"/>
                      <w:kern w:val="0"/>
                      <w:szCs w:val="21"/>
                    </w:rPr>
                    <w:t>2</w:t>
                  </w:r>
                </w:p>
              </w:tc>
              <w:tc>
                <w:tcPr>
                  <w:tcW w:w="672" w:type="dxa"/>
                  <w:vMerge w:val="continue"/>
                  <w:vAlign w:val="center"/>
                </w:tcPr>
                <w:p w14:paraId="7A021F00">
                  <w:pPr>
                    <w:widowControl/>
                    <w:jc w:val="center"/>
                    <w:rPr>
                      <w:rFonts w:eastAsiaTheme="minorEastAsia"/>
                      <w:kern w:val="0"/>
                      <w:szCs w:val="21"/>
                    </w:rPr>
                  </w:pPr>
                </w:p>
              </w:tc>
            </w:tr>
            <w:tr w14:paraId="13D75B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1" w:type="dxa"/>
                  <w:gridSpan w:val="5"/>
                  <w:noWrap/>
                  <w:vAlign w:val="center"/>
                </w:tcPr>
                <w:p w14:paraId="6F1F0388">
                  <w:pPr>
                    <w:widowControl/>
                    <w:rPr>
                      <w:rFonts w:eastAsiaTheme="minorEastAsia"/>
                      <w:kern w:val="0"/>
                      <w:szCs w:val="21"/>
                    </w:rPr>
                  </w:pPr>
                  <w:r>
                    <w:rPr>
                      <w:rFonts w:eastAsiaTheme="minorEastAsia"/>
                      <w:kern w:val="0"/>
                      <w:szCs w:val="21"/>
                    </w:rPr>
                    <w:t>四、公共工程</w:t>
                  </w:r>
                </w:p>
              </w:tc>
              <w:tc>
                <w:tcPr>
                  <w:tcW w:w="672" w:type="dxa"/>
                  <w:vAlign w:val="center"/>
                </w:tcPr>
                <w:p w14:paraId="6F72BE05">
                  <w:pPr>
                    <w:widowControl/>
                    <w:rPr>
                      <w:rFonts w:eastAsiaTheme="minorEastAsia"/>
                      <w:kern w:val="0"/>
                      <w:szCs w:val="21"/>
                    </w:rPr>
                  </w:pPr>
                </w:p>
              </w:tc>
            </w:tr>
            <w:tr w14:paraId="015F15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47CE3D5F">
                  <w:pPr>
                    <w:widowControl/>
                    <w:jc w:val="center"/>
                    <w:rPr>
                      <w:rFonts w:eastAsiaTheme="minorEastAsia"/>
                      <w:kern w:val="0"/>
                      <w:szCs w:val="21"/>
                    </w:rPr>
                  </w:pPr>
                  <w:r>
                    <w:rPr>
                      <w:rFonts w:eastAsiaTheme="minorEastAsia"/>
                      <w:kern w:val="0"/>
                      <w:szCs w:val="21"/>
                    </w:rPr>
                    <w:t>1</w:t>
                  </w:r>
                </w:p>
              </w:tc>
              <w:tc>
                <w:tcPr>
                  <w:tcW w:w="1924" w:type="dxa"/>
                  <w:vAlign w:val="center"/>
                </w:tcPr>
                <w:p w14:paraId="4E15524F">
                  <w:pPr>
                    <w:widowControl/>
                    <w:jc w:val="center"/>
                    <w:rPr>
                      <w:rFonts w:eastAsiaTheme="minorEastAsia"/>
                      <w:kern w:val="0"/>
                      <w:szCs w:val="21"/>
                    </w:rPr>
                  </w:pPr>
                  <w:r>
                    <w:rPr>
                      <w:rFonts w:eastAsiaTheme="minorEastAsia"/>
                      <w:kern w:val="0"/>
                      <w:szCs w:val="21"/>
                    </w:rPr>
                    <w:t>全自动单纱强力机</w:t>
                  </w:r>
                </w:p>
              </w:tc>
              <w:tc>
                <w:tcPr>
                  <w:tcW w:w="2748" w:type="dxa"/>
                  <w:vAlign w:val="center"/>
                </w:tcPr>
                <w:p w14:paraId="230370A6">
                  <w:pPr>
                    <w:widowControl/>
                    <w:jc w:val="center"/>
                    <w:rPr>
                      <w:rFonts w:eastAsiaTheme="minorEastAsia"/>
                      <w:kern w:val="0"/>
                      <w:szCs w:val="21"/>
                    </w:rPr>
                  </w:pPr>
                  <w:r>
                    <w:rPr>
                      <w:rFonts w:eastAsiaTheme="minorEastAsia"/>
                      <w:kern w:val="0"/>
                      <w:szCs w:val="21"/>
                    </w:rPr>
                    <w:t>强伸仪\常纺仪 YG023B-III</w:t>
                  </w:r>
                </w:p>
              </w:tc>
              <w:tc>
                <w:tcPr>
                  <w:tcW w:w="530" w:type="dxa"/>
                  <w:vAlign w:val="center"/>
                </w:tcPr>
                <w:p w14:paraId="560562E0">
                  <w:pPr>
                    <w:widowControl/>
                    <w:jc w:val="center"/>
                    <w:rPr>
                      <w:rFonts w:eastAsiaTheme="minorEastAsia"/>
                      <w:kern w:val="0"/>
                      <w:szCs w:val="21"/>
                    </w:rPr>
                  </w:pPr>
                  <w:r>
                    <w:rPr>
                      <w:rFonts w:eastAsiaTheme="minorEastAsia"/>
                      <w:kern w:val="0"/>
                      <w:szCs w:val="21"/>
                    </w:rPr>
                    <w:t>台</w:t>
                  </w:r>
                </w:p>
              </w:tc>
              <w:tc>
                <w:tcPr>
                  <w:tcW w:w="1259" w:type="dxa"/>
                  <w:vAlign w:val="center"/>
                </w:tcPr>
                <w:p w14:paraId="27AF0BA9">
                  <w:pPr>
                    <w:widowControl/>
                    <w:jc w:val="center"/>
                    <w:rPr>
                      <w:rFonts w:eastAsiaTheme="minorEastAsia"/>
                      <w:kern w:val="0"/>
                      <w:szCs w:val="21"/>
                    </w:rPr>
                  </w:pPr>
                  <w:r>
                    <w:rPr>
                      <w:rFonts w:eastAsiaTheme="minorEastAsia"/>
                      <w:kern w:val="0"/>
                      <w:szCs w:val="21"/>
                    </w:rPr>
                    <w:t>2</w:t>
                  </w:r>
                </w:p>
              </w:tc>
              <w:tc>
                <w:tcPr>
                  <w:tcW w:w="672" w:type="dxa"/>
                  <w:vMerge w:val="restart"/>
                  <w:vAlign w:val="center"/>
                </w:tcPr>
                <w:p w14:paraId="77C2AF86">
                  <w:pPr>
                    <w:widowControl/>
                    <w:jc w:val="center"/>
                    <w:rPr>
                      <w:rFonts w:eastAsiaTheme="minorEastAsia"/>
                      <w:kern w:val="0"/>
                      <w:szCs w:val="21"/>
                    </w:rPr>
                  </w:pPr>
                  <w:r>
                    <w:rPr>
                      <w:rFonts w:eastAsiaTheme="minorEastAsia"/>
                      <w:kern w:val="0"/>
                      <w:szCs w:val="21"/>
                    </w:rPr>
                    <w:t>新建</w:t>
                  </w:r>
                </w:p>
              </w:tc>
            </w:tr>
            <w:tr w14:paraId="38479A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37C9D2A8">
                  <w:pPr>
                    <w:widowControl/>
                    <w:jc w:val="center"/>
                    <w:rPr>
                      <w:rFonts w:eastAsiaTheme="minorEastAsia"/>
                      <w:kern w:val="0"/>
                      <w:szCs w:val="21"/>
                    </w:rPr>
                  </w:pPr>
                  <w:r>
                    <w:rPr>
                      <w:rFonts w:eastAsiaTheme="minorEastAsia"/>
                      <w:kern w:val="0"/>
                      <w:szCs w:val="21"/>
                    </w:rPr>
                    <w:t>2</w:t>
                  </w:r>
                </w:p>
              </w:tc>
              <w:tc>
                <w:tcPr>
                  <w:tcW w:w="1924" w:type="dxa"/>
                  <w:vAlign w:val="center"/>
                </w:tcPr>
                <w:p w14:paraId="54A33F1D">
                  <w:pPr>
                    <w:widowControl/>
                    <w:jc w:val="center"/>
                    <w:rPr>
                      <w:rFonts w:eastAsiaTheme="minorEastAsia"/>
                      <w:kern w:val="0"/>
                      <w:szCs w:val="21"/>
                    </w:rPr>
                  </w:pPr>
                  <w:r>
                    <w:rPr>
                      <w:rFonts w:eastAsiaTheme="minorEastAsia"/>
                      <w:kern w:val="0"/>
                      <w:szCs w:val="21"/>
                    </w:rPr>
                    <w:t>全自动强伸度测试仪</w:t>
                  </w:r>
                </w:p>
              </w:tc>
              <w:tc>
                <w:tcPr>
                  <w:tcW w:w="2748" w:type="dxa"/>
                  <w:vAlign w:val="center"/>
                </w:tcPr>
                <w:p w14:paraId="15B916CD">
                  <w:pPr>
                    <w:widowControl/>
                    <w:jc w:val="center"/>
                    <w:rPr>
                      <w:rFonts w:eastAsiaTheme="minorEastAsia"/>
                      <w:kern w:val="0"/>
                      <w:szCs w:val="21"/>
                    </w:rPr>
                  </w:pPr>
                  <w:r>
                    <w:rPr>
                      <w:rFonts w:eastAsiaTheme="minorEastAsia"/>
                      <w:kern w:val="0"/>
                      <w:szCs w:val="21"/>
                    </w:rPr>
                    <w:t>纤维强伸度仪\GELLOWEN EMATER630</w:t>
                  </w:r>
                </w:p>
              </w:tc>
              <w:tc>
                <w:tcPr>
                  <w:tcW w:w="530" w:type="dxa"/>
                  <w:vAlign w:val="center"/>
                </w:tcPr>
                <w:p w14:paraId="78AC7316">
                  <w:pPr>
                    <w:widowControl/>
                    <w:jc w:val="center"/>
                    <w:rPr>
                      <w:rFonts w:eastAsiaTheme="minorEastAsia"/>
                      <w:kern w:val="0"/>
                      <w:szCs w:val="21"/>
                    </w:rPr>
                  </w:pPr>
                  <w:r>
                    <w:rPr>
                      <w:rFonts w:eastAsiaTheme="minorEastAsia"/>
                      <w:kern w:val="0"/>
                      <w:szCs w:val="21"/>
                    </w:rPr>
                    <w:t>台</w:t>
                  </w:r>
                </w:p>
              </w:tc>
              <w:tc>
                <w:tcPr>
                  <w:tcW w:w="1259" w:type="dxa"/>
                  <w:vAlign w:val="center"/>
                </w:tcPr>
                <w:p w14:paraId="0AC8112D">
                  <w:pPr>
                    <w:widowControl/>
                    <w:jc w:val="center"/>
                    <w:rPr>
                      <w:rFonts w:eastAsiaTheme="minorEastAsia"/>
                      <w:kern w:val="0"/>
                      <w:szCs w:val="21"/>
                    </w:rPr>
                  </w:pPr>
                  <w:r>
                    <w:rPr>
                      <w:rFonts w:eastAsiaTheme="minorEastAsia"/>
                      <w:kern w:val="0"/>
                      <w:szCs w:val="21"/>
                    </w:rPr>
                    <w:t>2</w:t>
                  </w:r>
                </w:p>
              </w:tc>
              <w:tc>
                <w:tcPr>
                  <w:tcW w:w="672" w:type="dxa"/>
                  <w:vMerge w:val="continue"/>
                  <w:vAlign w:val="center"/>
                </w:tcPr>
                <w:p w14:paraId="7F977006">
                  <w:pPr>
                    <w:widowControl/>
                    <w:jc w:val="center"/>
                    <w:rPr>
                      <w:rFonts w:eastAsiaTheme="minorEastAsia"/>
                      <w:kern w:val="0"/>
                      <w:szCs w:val="21"/>
                    </w:rPr>
                  </w:pPr>
                </w:p>
              </w:tc>
            </w:tr>
            <w:tr w14:paraId="2A9EF1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2DF85E16">
                  <w:pPr>
                    <w:widowControl/>
                    <w:jc w:val="center"/>
                    <w:rPr>
                      <w:rFonts w:eastAsiaTheme="minorEastAsia"/>
                      <w:kern w:val="0"/>
                      <w:szCs w:val="21"/>
                    </w:rPr>
                  </w:pPr>
                  <w:r>
                    <w:rPr>
                      <w:rFonts w:eastAsiaTheme="minorEastAsia"/>
                      <w:kern w:val="0"/>
                      <w:szCs w:val="21"/>
                    </w:rPr>
                    <w:t>3</w:t>
                  </w:r>
                </w:p>
              </w:tc>
              <w:tc>
                <w:tcPr>
                  <w:tcW w:w="1924" w:type="dxa"/>
                  <w:vAlign w:val="center"/>
                </w:tcPr>
                <w:p w14:paraId="2C3E361B">
                  <w:pPr>
                    <w:widowControl/>
                    <w:jc w:val="center"/>
                    <w:rPr>
                      <w:rFonts w:eastAsiaTheme="minorEastAsia"/>
                      <w:kern w:val="0"/>
                      <w:szCs w:val="21"/>
                    </w:rPr>
                  </w:pPr>
                  <w:r>
                    <w:rPr>
                      <w:rFonts w:eastAsiaTheme="minorEastAsia"/>
                      <w:kern w:val="0"/>
                      <w:szCs w:val="21"/>
                    </w:rPr>
                    <w:t>含油仪</w:t>
                  </w:r>
                </w:p>
              </w:tc>
              <w:tc>
                <w:tcPr>
                  <w:tcW w:w="2748" w:type="dxa"/>
                  <w:vAlign w:val="center"/>
                </w:tcPr>
                <w:p w14:paraId="69AE618E">
                  <w:pPr>
                    <w:widowControl/>
                    <w:jc w:val="center"/>
                    <w:rPr>
                      <w:rFonts w:eastAsiaTheme="minorEastAsia"/>
                      <w:kern w:val="0"/>
                      <w:szCs w:val="21"/>
                    </w:rPr>
                  </w:pPr>
                  <w:r>
                    <w:rPr>
                      <w:rFonts w:eastAsiaTheme="minorEastAsia"/>
                      <w:kern w:val="0"/>
                      <w:szCs w:val="21"/>
                    </w:rPr>
                    <w:t>纤维含油率测定仪\牛津 MQC23-10</w:t>
                  </w:r>
                </w:p>
              </w:tc>
              <w:tc>
                <w:tcPr>
                  <w:tcW w:w="530" w:type="dxa"/>
                  <w:vAlign w:val="center"/>
                </w:tcPr>
                <w:p w14:paraId="61E163D1">
                  <w:pPr>
                    <w:widowControl/>
                    <w:jc w:val="center"/>
                    <w:rPr>
                      <w:rFonts w:eastAsiaTheme="minorEastAsia"/>
                      <w:kern w:val="0"/>
                      <w:szCs w:val="21"/>
                    </w:rPr>
                  </w:pPr>
                  <w:r>
                    <w:rPr>
                      <w:rFonts w:eastAsiaTheme="minorEastAsia"/>
                      <w:kern w:val="0"/>
                      <w:szCs w:val="21"/>
                    </w:rPr>
                    <w:t>台</w:t>
                  </w:r>
                </w:p>
              </w:tc>
              <w:tc>
                <w:tcPr>
                  <w:tcW w:w="1259" w:type="dxa"/>
                  <w:vAlign w:val="center"/>
                </w:tcPr>
                <w:p w14:paraId="1EBF43F6">
                  <w:pPr>
                    <w:widowControl/>
                    <w:jc w:val="center"/>
                    <w:rPr>
                      <w:rFonts w:eastAsiaTheme="minorEastAsia"/>
                      <w:kern w:val="0"/>
                      <w:szCs w:val="21"/>
                    </w:rPr>
                  </w:pPr>
                  <w:r>
                    <w:rPr>
                      <w:rFonts w:eastAsiaTheme="minorEastAsia"/>
                      <w:kern w:val="0"/>
                      <w:szCs w:val="21"/>
                    </w:rPr>
                    <w:t>1</w:t>
                  </w:r>
                </w:p>
              </w:tc>
              <w:tc>
                <w:tcPr>
                  <w:tcW w:w="672" w:type="dxa"/>
                  <w:vMerge w:val="continue"/>
                  <w:vAlign w:val="center"/>
                </w:tcPr>
                <w:p w14:paraId="69322F73">
                  <w:pPr>
                    <w:widowControl/>
                    <w:jc w:val="center"/>
                    <w:rPr>
                      <w:rFonts w:eastAsiaTheme="minorEastAsia"/>
                      <w:kern w:val="0"/>
                      <w:szCs w:val="21"/>
                    </w:rPr>
                  </w:pPr>
                </w:p>
              </w:tc>
            </w:tr>
            <w:tr w14:paraId="0578C0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2EA6CA54">
                  <w:pPr>
                    <w:widowControl/>
                    <w:jc w:val="center"/>
                    <w:rPr>
                      <w:rFonts w:eastAsiaTheme="minorEastAsia"/>
                      <w:kern w:val="0"/>
                      <w:szCs w:val="21"/>
                    </w:rPr>
                  </w:pPr>
                  <w:r>
                    <w:rPr>
                      <w:rFonts w:eastAsiaTheme="minorEastAsia"/>
                      <w:kern w:val="0"/>
                      <w:szCs w:val="21"/>
                    </w:rPr>
                    <w:t>4</w:t>
                  </w:r>
                </w:p>
              </w:tc>
              <w:tc>
                <w:tcPr>
                  <w:tcW w:w="1924" w:type="dxa"/>
                  <w:vAlign w:val="center"/>
                </w:tcPr>
                <w:p w14:paraId="4FACD341">
                  <w:pPr>
                    <w:widowControl/>
                    <w:jc w:val="center"/>
                    <w:rPr>
                      <w:rFonts w:eastAsiaTheme="minorEastAsia"/>
                      <w:kern w:val="0"/>
                      <w:szCs w:val="21"/>
                    </w:rPr>
                  </w:pPr>
                  <w:r>
                    <w:rPr>
                      <w:rFonts w:eastAsiaTheme="minorEastAsia"/>
                      <w:kern w:val="0"/>
                      <w:szCs w:val="21"/>
                    </w:rPr>
                    <w:t>实验室精密绕纱机</w:t>
                  </w:r>
                </w:p>
              </w:tc>
              <w:tc>
                <w:tcPr>
                  <w:tcW w:w="2748" w:type="dxa"/>
                  <w:vAlign w:val="center"/>
                </w:tcPr>
                <w:p w14:paraId="34313D2E">
                  <w:pPr>
                    <w:widowControl/>
                    <w:jc w:val="center"/>
                    <w:rPr>
                      <w:rFonts w:eastAsiaTheme="minorEastAsia"/>
                      <w:kern w:val="0"/>
                      <w:szCs w:val="21"/>
                    </w:rPr>
                  </w:pPr>
                  <w:r>
                    <w:rPr>
                      <w:rFonts w:eastAsiaTheme="minorEastAsia"/>
                      <w:kern w:val="0"/>
                      <w:szCs w:val="21"/>
                    </w:rPr>
                    <w:t>精密绕纱机\EASON EA-218</w:t>
                  </w:r>
                </w:p>
              </w:tc>
              <w:tc>
                <w:tcPr>
                  <w:tcW w:w="530" w:type="dxa"/>
                  <w:vAlign w:val="center"/>
                </w:tcPr>
                <w:p w14:paraId="6004DC02">
                  <w:pPr>
                    <w:widowControl/>
                    <w:jc w:val="center"/>
                    <w:rPr>
                      <w:rFonts w:eastAsiaTheme="minorEastAsia"/>
                      <w:kern w:val="0"/>
                      <w:szCs w:val="21"/>
                    </w:rPr>
                  </w:pPr>
                  <w:r>
                    <w:rPr>
                      <w:rFonts w:eastAsiaTheme="minorEastAsia"/>
                      <w:kern w:val="0"/>
                      <w:szCs w:val="21"/>
                    </w:rPr>
                    <w:t>台</w:t>
                  </w:r>
                </w:p>
              </w:tc>
              <w:tc>
                <w:tcPr>
                  <w:tcW w:w="1259" w:type="dxa"/>
                  <w:vAlign w:val="center"/>
                </w:tcPr>
                <w:p w14:paraId="357931D0">
                  <w:pPr>
                    <w:widowControl/>
                    <w:jc w:val="center"/>
                    <w:rPr>
                      <w:rFonts w:eastAsiaTheme="minorEastAsia"/>
                      <w:kern w:val="0"/>
                      <w:szCs w:val="21"/>
                    </w:rPr>
                  </w:pPr>
                  <w:r>
                    <w:rPr>
                      <w:rFonts w:eastAsiaTheme="minorEastAsia"/>
                      <w:kern w:val="0"/>
                      <w:szCs w:val="21"/>
                    </w:rPr>
                    <w:t>3</w:t>
                  </w:r>
                </w:p>
              </w:tc>
              <w:tc>
                <w:tcPr>
                  <w:tcW w:w="672" w:type="dxa"/>
                  <w:vMerge w:val="continue"/>
                  <w:vAlign w:val="center"/>
                </w:tcPr>
                <w:p w14:paraId="74214482">
                  <w:pPr>
                    <w:widowControl/>
                    <w:jc w:val="center"/>
                    <w:rPr>
                      <w:rFonts w:eastAsiaTheme="minorEastAsia"/>
                      <w:kern w:val="0"/>
                      <w:szCs w:val="21"/>
                    </w:rPr>
                  </w:pPr>
                </w:p>
              </w:tc>
            </w:tr>
            <w:tr w14:paraId="5FA4FF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047AAA22">
                  <w:pPr>
                    <w:widowControl/>
                    <w:jc w:val="center"/>
                    <w:rPr>
                      <w:rFonts w:eastAsiaTheme="minorEastAsia"/>
                      <w:kern w:val="0"/>
                      <w:szCs w:val="21"/>
                    </w:rPr>
                  </w:pPr>
                  <w:r>
                    <w:rPr>
                      <w:rFonts w:eastAsiaTheme="minorEastAsia"/>
                      <w:kern w:val="0"/>
                      <w:szCs w:val="21"/>
                    </w:rPr>
                    <w:t>5</w:t>
                  </w:r>
                </w:p>
              </w:tc>
              <w:tc>
                <w:tcPr>
                  <w:tcW w:w="1924" w:type="dxa"/>
                  <w:vAlign w:val="center"/>
                </w:tcPr>
                <w:p w14:paraId="70DD84FC">
                  <w:pPr>
                    <w:widowControl/>
                    <w:jc w:val="center"/>
                    <w:rPr>
                      <w:rFonts w:eastAsiaTheme="minorEastAsia"/>
                      <w:kern w:val="0"/>
                      <w:szCs w:val="21"/>
                    </w:rPr>
                  </w:pPr>
                  <w:r>
                    <w:rPr>
                      <w:rFonts w:eastAsiaTheme="minorEastAsia"/>
                      <w:kern w:val="0"/>
                      <w:szCs w:val="21"/>
                    </w:rPr>
                    <w:t>全自动长丝热应力测试仪</w:t>
                  </w:r>
                </w:p>
              </w:tc>
              <w:tc>
                <w:tcPr>
                  <w:tcW w:w="2748" w:type="dxa"/>
                  <w:vAlign w:val="center"/>
                </w:tcPr>
                <w:p w14:paraId="7D439EF2">
                  <w:pPr>
                    <w:widowControl/>
                    <w:jc w:val="center"/>
                    <w:rPr>
                      <w:rFonts w:eastAsiaTheme="minorEastAsia"/>
                      <w:kern w:val="0"/>
                      <w:szCs w:val="21"/>
                    </w:rPr>
                  </w:pPr>
                  <w:r>
                    <w:rPr>
                      <w:rFonts w:eastAsiaTheme="minorEastAsia"/>
                      <w:kern w:val="0"/>
                      <w:szCs w:val="21"/>
                    </w:rPr>
                    <w:t>热应力测试仪\常纺仪 YG367</w:t>
                  </w:r>
                </w:p>
              </w:tc>
              <w:tc>
                <w:tcPr>
                  <w:tcW w:w="530" w:type="dxa"/>
                  <w:vAlign w:val="center"/>
                </w:tcPr>
                <w:p w14:paraId="26359D3B">
                  <w:pPr>
                    <w:widowControl/>
                    <w:jc w:val="center"/>
                    <w:rPr>
                      <w:rFonts w:eastAsiaTheme="minorEastAsia"/>
                      <w:kern w:val="0"/>
                      <w:szCs w:val="21"/>
                    </w:rPr>
                  </w:pPr>
                  <w:r>
                    <w:rPr>
                      <w:rFonts w:eastAsiaTheme="minorEastAsia"/>
                      <w:kern w:val="0"/>
                      <w:szCs w:val="21"/>
                    </w:rPr>
                    <w:t>台</w:t>
                  </w:r>
                </w:p>
              </w:tc>
              <w:tc>
                <w:tcPr>
                  <w:tcW w:w="1259" w:type="dxa"/>
                  <w:vAlign w:val="center"/>
                </w:tcPr>
                <w:p w14:paraId="71DDA8E3">
                  <w:pPr>
                    <w:widowControl/>
                    <w:jc w:val="center"/>
                    <w:rPr>
                      <w:rFonts w:eastAsiaTheme="minorEastAsia"/>
                      <w:kern w:val="0"/>
                      <w:szCs w:val="21"/>
                    </w:rPr>
                  </w:pPr>
                  <w:r>
                    <w:rPr>
                      <w:rFonts w:eastAsiaTheme="minorEastAsia"/>
                      <w:kern w:val="0"/>
                      <w:szCs w:val="21"/>
                    </w:rPr>
                    <w:t>2</w:t>
                  </w:r>
                </w:p>
              </w:tc>
              <w:tc>
                <w:tcPr>
                  <w:tcW w:w="672" w:type="dxa"/>
                  <w:vMerge w:val="continue"/>
                  <w:vAlign w:val="center"/>
                </w:tcPr>
                <w:p w14:paraId="026856E2">
                  <w:pPr>
                    <w:widowControl/>
                    <w:jc w:val="center"/>
                    <w:rPr>
                      <w:rFonts w:eastAsiaTheme="minorEastAsia"/>
                      <w:kern w:val="0"/>
                      <w:szCs w:val="21"/>
                    </w:rPr>
                  </w:pPr>
                </w:p>
              </w:tc>
            </w:tr>
            <w:tr w14:paraId="0133DE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57DB855A">
                  <w:pPr>
                    <w:widowControl/>
                    <w:jc w:val="center"/>
                    <w:rPr>
                      <w:rFonts w:eastAsiaTheme="minorEastAsia"/>
                      <w:kern w:val="0"/>
                      <w:szCs w:val="21"/>
                    </w:rPr>
                  </w:pPr>
                  <w:r>
                    <w:rPr>
                      <w:rFonts w:eastAsiaTheme="minorEastAsia"/>
                      <w:kern w:val="0"/>
                      <w:szCs w:val="21"/>
                    </w:rPr>
                    <w:t>6</w:t>
                  </w:r>
                </w:p>
              </w:tc>
              <w:tc>
                <w:tcPr>
                  <w:tcW w:w="1924" w:type="dxa"/>
                  <w:vAlign w:val="center"/>
                </w:tcPr>
                <w:p w14:paraId="1B979FAB">
                  <w:pPr>
                    <w:widowControl/>
                    <w:jc w:val="center"/>
                    <w:rPr>
                      <w:rFonts w:eastAsiaTheme="minorEastAsia"/>
                      <w:kern w:val="0"/>
                      <w:szCs w:val="21"/>
                    </w:rPr>
                  </w:pPr>
                  <w:r>
                    <w:rPr>
                      <w:rFonts w:eastAsiaTheme="minorEastAsia"/>
                      <w:kern w:val="0"/>
                      <w:szCs w:val="21"/>
                    </w:rPr>
                    <w:t>全自动卷缩率测试仪</w:t>
                  </w:r>
                </w:p>
              </w:tc>
              <w:tc>
                <w:tcPr>
                  <w:tcW w:w="2748" w:type="dxa"/>
                  <w:vAlign w:val="center"/>
                </w:tcPr>
                <w:p w14:paraId="22D53206">
                  <w:pPr>
                    <w:widowControl/>
                    <w:jc w:val="center"/>
                    <w:rPr>
                      <w:rFonts w:eastAsiaTheme="minorEastAsia"/>
                      <w:kern w:val="0"/>
                      <w:szCs w:val="21"/>
                    </w:rPr>
                  </w:pPr>
                  <w:r>
                    <w:rPr>
                      <w:rFonts w:eastAsiaTheme="minorEastAsia"/>
                      <w:kern w:val="0"/>
                      <w:szCs w:val="21"/>
                    </w:rPr>
                    <w:t>卷缩仪\上海意承 ACSTER860</w:t>
                  </w:r>
                </w:p>
              </w:tc>
              <w:tc>
                <w:tcPr>
                  <w:tcW w:w="530" w:type="dxa"/>
                  <w:vAlign w:val="center"/>
                </w:tcPr>
                <w:p w14:paraId="67ECCDEB">
                  <w:pPr>
                    <w:widowControl/>
                    <w:jc w:val="center"/>
                    <w:rPr>
                      <w:rFonts w:eastAsiaTheme="minorEastAsia"/>
                      <w:kern w:val="0"/>
                      <w:szCs w:val="21"/>
                    </w:rPr>
                  </w:pPr>
                  <w:r>
                    <w:rPr>
                      <w:rFonts w:eastAsiaTheme="minorEastAsia"/>
                      <w:kern w:val="0"/>
                      <w:szCs w:val="21"/>
                    </w:rPr>
                    <w:t>台</w:t>
                  </w:r>
                </w:p>
              </w:tc>
              <w:tc>
                <w:tcPr>
                  <w:tcW w:w="1259" w:type="dxa"/>
                  <w:vAlign w:val="center"/>
                </w:tcPr>
                <w:p w14:paraId="02A4A3FD">
                  <w:pPr>
                    <w:widowControl/>
                    <w:jc w:val="center"/>
                    <w:rPr>
                      <w:rFonts w:eastAsiaTheme="minorEastAsia"/>
                      <w:kern w:val="0"/>
                      <w:szCs w:val="21"/>
                    </w:rPr>
                  </w:pPr>
                  <w:r>
                    <w:rPr>
                      <w:rFonts w:eastAsiaTheme="minorEastAsia"/>
                      <w:kern w:val="0"/>
                      <w:szCs w:val="21"/>
                    </w:rPr>
                    <w:t>2</w:t>
                  </w:r>
                </w:p>
              </w:tc>
              <w:tc>
                <w:tcPr>
                  <w:tcW w:w="672" w:type="dxa"/>
                  <w:vMerge w:val="continue"/>
                  <w:vAlign w:val="center"/>
                </w:tcPr>
                <w:p w14:paraId="29F70E6B">
                  <w:pPr>
                    <w:widowControl/>
                    <w:jc w:val="center"/>
                    <w:rPr>
                      <w:rFonts w:eastAsiaTheme="minorEastAsia"/>
                      <w:kern w:val="0"/>
                      <w:szCs w:val="21"/>
                    </w:rPr>
                  </w:pPr>
                </w:p>
              </w:tc>
            </w:tr>
            <w:tr w14:paraId="076486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3DF739AA">
                  <w:pPr>
                    <w:widowControl/>
                    <w:jc w:val="center"/>
                    <w:rPr>
                      <w:rFonts w:eastAsiaTheme="minorEastAsia"/>
                      <w:kern w:val="0"/>
                      <w:szCs w:val="21"/>
                    </w:rPr>
                  </w:pPr>
                  <w:r>
                    <w:rPr>
                      <w:rFonts w:eastAsiaTheme="minorEastAsia"/>
                      <w:kern w:val="0"/>
                      <w:szCs w:val="21"/>
                    </w:rPr>
                    <w:t>7</w:t>
                  </w:r>
                </w:p>
              </w:tc>
              <w:tc>
                <w:tcPr>
                  <w:tcW w:w="1924" w:type="dxa"/>
                  <w:vAlign w:val="center"/>
                </w:tcPr>
                <w:p w14:paraId="506BFB67">
                  <w:pPr>
                    <w:widowControl/>
                    <w:jc w:val="center"/>
                    <w:rPr>
                      <w:rFonts w:eastAsiaTheme="minorEastAsia"/>
                      <w:kern w:val="0"/>
                      <w:szCs w:val="21"/>
                    </w:rPr>
                  </w:pPr>
                  <w:r>
                    <w:rPr>
                      <w:rFonts w:eastAsiaTheme="minorEastAsia"/>
                      <w:kern w:val="0"/>
                      <w:szCs w:val="21"/>
                    </w:rPr>
                    <w:t>全自动条干仪</w:t>
                  </w:r>
                </w:p>
              </w:tc>
              <w:tc>
                <w:tcPr>
                  <w:tcW w:w="2748" w:type="dxa"/>
                  <w:vAlign w:val="center"/>
                </w:tcPr>
                <w:p w14:paraId="5998848B">
                  <w:pPr>
                    <w:widowControl/>
                    <w:jc w:val="center"/>
                    <w:rPr>
                      <w:rFonts w:eastAsiaTheme="minorEastAsia"/>
                      <w:kern w:val="0"/>
                      <w:szCs w:val="21"/>
                    </w:rPr>
                  </w:pPr>
                  <w:r>
                    <w:rPr>
                      <w:rFonts w:eastAsiaTheme="minorEastAsia"/>
                      <w:kern w:val="0"/>
                      <w:szCs w:val="21"/>
                    </w:rPr>
                    <w:t>条干仪\USTER UT6-800</w:t>
                  </w:r>
                </w:p>
              </w:tc>
              <w:tc>
                <w:tcPr>
                  <w:tcW w:w="530" w:type="dxa"/>
                  <w:vAlign w:val="center"/>
                </w:tcPr>
                <w:p w14:paraId="4B21B870">
                  <w:pPr>
                    <w:widowControl/>
                    <w:jc w:val="center"/>
                    <w:rPr>
                      <w:rFonts w:eastAsiaTheme="minorEastAsia"/>
                      <w:kern w:val="0"/>
                      <w:szCs w:val="21"/>
                    </w:rPr>
                  </w:pPr>
                  <w:r>
                    <w:rPr>
                      <w:rFonts w:eastAsiaTheme="minorEastAsia"/>
                      <w:kern w:val="0"/>
                      <w:szCs w:val="21"/>
                    </w:rPr>
                    <w:t>台</w:t>
                  </w:r>
                </w:p>
              </w:tc>
              <w:tc>
                <w:tcPr>
                  <w:tcW w:w="1259" w:type="dxa"/>
                  <w:vAlign w:val="center"/>
                </w:tcPr>
                <w:p w14:paraId="67AD88C3">
                  <w:pPr>
                    <w:widowControl/>
                    <w:jc w:val="center"/>
                    <w:rPr>
                      <w:rFonts w:eastAsiaTheme="minorEastAsia"/>
                      <w:kern w:val="0"/>
                      <w:szCs w:val="21"/>
                    </w:rPr>
                  </w:pPr>
                  <w:r>
                    <w:rPr>
                      <w:rFonts w:eastAsiaTheme="minorEastAsia"/>
                      <w:kern w:val="0"/>
                      <w:szCs w:val="21"/>
                    </w:rPr>
                    <w:t>2</w:t>
                  </w:r>
                </w:p>
              </w:tc>
              <w:tc>
                <w:tcPr>
                  <w:tcW w:w="672" w:type="dxa"/>
                  <w:vMerge w:val="continue"/>
                  <w:vAlign w:val="center"/>
                </w:tcPr>
                <w:p w14:paraId="41157880">
                  <w:pPr>
                    <w:widowControl/>
                    <w:jc w:val="center"/>
                    <w:rPr>
                      <w:rFonts w:eastAsiaTheme="minorEastAsia"/>
                      <w:kern w:val="0"/>
                      <w:szCs w:val="21"/>
                    </w:rPr>
                  </w:pPr>
                </w:p>
              </w:tc>
            </w:tr>
            <w:tr w14:paraId="7C1D3A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367B0319">
                  <w:pPr>
                    <w:widowControl/>
                    <w:jc w:val="center"/>
                    <w:rPr>
                      <w:rFonts w:eastAsiaTheme="minorEastAsia"/>
                      <w:kern w:val="0"/>
                      <w:szCs w:val="21"/>
                    </w:rPr>
                  </w:pPr>
                  <w:r>
                    <w:rPr>
                      <w:rFonts w:eastAsiaTheme="minorEastAsia"/>
                      <w:kern w:val="0"/>
                      <w:szCs w:val="21"/>
                    </w:rPr>
                    <w:t>8</w:t>
                  </w:r>
                </w:p>
              </w:tc>
              <w:tc>
                <w:tcPr>
                  <w:tcW w:w="1924" w:type="dxa"/>
                  <w:vAlign w:val="center"/>
                </w:tcPr>
                <w:p w14:paraId="28329EC4">
                  <w:pPr>
                    <w:widowControl/>
                    <w:jc w:val="center"/>
                    <w:rPr>
                      <w:rFonts w:eastAsiaTheme="minorEastAsia"/>
                      <w:kern w:val="0"/>
                      <w:szCs w:val="21"/>
                    </w:rPr>
                  </w:pPr>
                  <w:r>
                    <w:rPr>
                      <w:rFonts w:eastAsiaTheme="minorEastAsia"/>
                      <w:kern w:val="0"/>
                      <w:szCs w:val="21"/>
                    </w:rPr>
                    <w:t>沸水炉</w:t>
                  </w:r>
                </w:p>
              </w:tc>
              <w:tc>
                <w:tcPr>
                  <w:tcW w:w="2748" w:type="dxa"/>
                  <w:vAlign w:val="center"/>
                </w:tcPr>
                <w:p w14:paraId="39018006">
                  <w:pPr>
                    <w:widowControl/>
                    <w:jc w:val="center"/>
                    <w:rPr>
                      <w:rFonts w:eastAsiaTheme="minorEastAsia"/>
                      <w:kern w:val="0"/>
                      <w:szCs w:val="21"/>
                    </w:rPr>
                  </w:pPr>
                  <w:r>
                    <w:rPr>
                      <w:rFonts w:eastAsiaTheme="minorEastAsia"/>
                      <w:kern w:val="0"/>
                      <w:szCs w:val="21"/>
                    </w:rPr>
                    <w:t>沸水炉\上海意承 HWC 0-100℃</w:t>
                  </w:r>
                </w:p>
              </w:tc>
              <w:tc>
                <w:tcPr>
                  <w:tcW w:w="530" w:type="dxa"/>
                  <w:vAlign w:val="center"/>
                </w:tcPr>
                <w:p w14:paraId="09993036">
                  <w:pPr>
                    <w:widowControl/>
                    <w:jc w:val="center"/>
                    <w:rPr>
                      <w:rFonts w:eastAsiaTheme="minorEastAsia"/>
                      <w:kern w:val="0"/>
                      <w:szCs w:val="21"/>
                    </w:rPr>
                  </w:pPr>
                  <w:r>
                    <w:rPr>
                      <w:rFonts w:eastAsiaTheme="minorEastAsia"/>
                      <w:kern w:val="0"/>
                      <w:szCs w:val="21"/>
                    </w:rPr>
                    <w:t>台</w:t>
                  </w:r>
                </w:p>
              </w:tc>
              <w:tc>
                <w:tcPr>
                  <w:tcW w:w="1259" w:type="dxa"/>
                  <w:vAlign w:val="center"/>
                </w:tcPr>
                <w:p w14:paraId="54DB4CC6">
                  <w:pPr>
                    <w:widowControl/>
                    <w:jc w:val="center"/>
                    <w:rPr>
                      <w:rFonts w:eastAsiaTheme="minorEastAsia"/>
                      <w:kern w:val="0"/>
                      <w:szCs w:val="21"/>
                    </w:rPr>
                  </w:pPr>
                  <w:r>
                    <w:rPr>
                      <w:rFonts w:eastAsiaTheme="minorEastAsia"/>
                      <w:kern w:val="0"/>
                      <w:szCs w:val="21"/>
                    </w:rPr>
                    <w:t>2</w:t>
                  </w:r>
                </w:p>
              </w:tc>
              <w:tc>
                <w:tcPr>
                  <w:tcW w:w="672" w:type="dxa"/>
                  <w:vMerge w:val="continue"/>
                  <w:vAlign w:val="center"/>
                </w:tcPr>
                <w:p w14:paraId="1A8BE4F8">
                  <w:pPr>
                    <w:widowControl/>
                    <w:jc w:val="center"/>
                    <w:rPr>
                      <w:rFonts w:eastAsiaTheme="minorEastAsia"/>
                      <w:kern w:val="0"/>
                      <w:szCs w:val="21"/>
                    </w:rPr>
                  </w:pPr>
                </w:p>
              </w:tc>
            </w:tr>
            <w:tr w14:paraId="143CAF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086848EB">
                  <w:pPr>
                    <w:widowControl/>
                    <w:jc w:val="center"/>
                    <w:rPr>
                      <w:rFonts w:eastAsiaTheme="minorEastAsia"/>
                      <w:kern w:val="0"/>
                      <w:szCs w:val="21"/>
                    </w:rPr>
                  </w:pPr>
                  <w:r>
                    <w:rPr>
                      <w:rFonts w:eastAsiaTheme="minorEastAsia"/>
                      <w:kern w:val="0"/>
                      <w:szCs w:val="21"/>
                    </w:rPr>
                    <w:t>9</w:t>
                  </w:r>
                </w:p>
              </w:tc>
              <w:tc>
                <w:tcPr>
                  <w:tcW w:w="1924" w:type="dxa"/>
                  <w:vAlign w:val="center"/>
                </w:tcPr>
                <w:p w14:paraId="23C21300">
                  <w:pPr>
                    <w:widowControl/>
                    <w:jc w:val="center"/>
                    <w:rPr>
                      <w:rFonts w:eastAsiaTheme="minorEastAsia"/>
                      <w:kern w:val="0"/>
                      <w:szCs w:val="21"/>
                    </w:rPr>
                  </w:pPr>
                  <w:r>
                    <w:rPr>
                      <w:rFonts w:eastAsiaTheme="minorEastAsia"/>
                      <w:kern w:val="0"/>
                      <w:szCs w:val="21"/>
                    </w:rPr>
                    <w:t>天平</w:t>
                  </w:r>
                </w:p>
              </w:tc>
              <w:tc>
                <w:tcPr>
                  <w:tcW w:w="2748" w:type="dxa"/>
                  <w:vAlign w:val="center"/>
                </w:tcPr>
                <w:p w14:paraId="675FA03E">
                  <w:pPr>
                    <w:widowControl/>
                    <w:jc w:val="center"/>
                    <w:rPr>
                      <w:rFonts w:eastAsiaTheme="minorEastAsia"/>
                      <w:kern w:val="0"/>
                      <w:szCs w:val="21"/>
                    </w:rPr>
                  </w:pPr>
                  <w:r>
                    <w:rPr>
                      <w:rFonts w:eastAsiaTheme="minorEastAsia"/>
                      <w:kern w:val="0"/>
                      <w:szCs w:val="21"/>
                    </w:rPr>
                    <w:t>分析天平\梅特勒 LE403E 0-420g 1g</w:t>
                  </w:r>
                </w:p>
              </w:tc>
              <w:tc>
                <w:tcPr>
                  <w:tcW w:w="530" w:type="dxa"/>
                  <w:vAlign w:val="center"/>
                </w:tcPr>
                <w:p w14:paraId="5A936208">
                  <w:pPr>
                    <w:widowControl/>
                    <w:jc w:val="center"/>
                    <w:rPr>
                      <w:rFonts w:eastAsiaTheme="minorEastAsia"/>
                      <w:kern w:val="0"/>
                      <w:szCs w:val="21"/>
                    </w:rPr>
                  </w:pPr>
                  <w:r>
                    <w:rPr>
                      <w:rFonts w:eastAsiaTheme="minorEastAsia"/>
                      <w:kern w:val="0"/>
                      <w:szCs w:val="21"/>
                    </w:rPr>
                    <w:t>台</w:t>
                  </w:r>
                </w:p>
              </w:tc>
              <w:tc>
                <w:tcPr>
                  <w:tcW w:w="1259" w:type="dxa"/>
                  <w:vAlign w:val="center"/>
                </w:tcPr>
                <w:p w14:paraId="6324C23E">
                  <w:pPr>
                    <w:widowControl/>
                    <w:jc w:val="center"/>
                    <w:rPr>
                      <w:rFonts w:eastAsiaTheme="minorEastAsia"/>
                      <w:kern w:val="0"/>
                      <w:szCs w:val="21"/>
                    </w:rPr>
                  </w:pPr>
                  <w:r>
                    <w:rPr>
                      <w:rFonts w:eastAsiaTheme="minorEastAsia"/>
                      <w:kern w:val="0"/>
                      <w:szCs w:val="21"/>
                    </w:rPr>
                    <w:t>3</w:t>
                  </w:r>
                </w:p>
              </w:tc>
              <w:tc>
                <w:tcPr>
                  <w:tcW w:w="672" w:type="dxa"/>
                  <w:vMerge w:val="continue"/>
                  <w:vAlign w:val="center"/>
                </w:tcPr>
                <w:p w14:paraId="51BAC386">
                  <w:pPr>
                    <w:widowControl/>
                    <w:jc w:val="center"/>
                    <w:rPr>
                      <w:rFonts w:eastAsiaTheme="minorEastAsia"/>
                      <w:kern w:val="0"/>
                      <w:szCs w:val="21"/>
                    </w:rPr>
                  </w:pPr>
                </w:p>
              </w:tc>
            </w:tr>
            <w:tr w14:paraId="60B1C2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772949B6">
                  <w:pPr>
                    <w:widowControl/>
                    <w:jc w:val="center"/>
                    <w:rPr>
                      <w:rFonts w:eastAsiaTheme="minorEastAsia"/>
                      <w:kern w:val="0"/>
                      <w:szCs w:val="21"/>
                    </w:rPr>
                  </w:pPr>
                  <w:r>
                    <w:rPr>
                      <w:rFonts w:eastAsiaTheme="minorEastAsia"/>
                      <w:kern w:val="0"/>
                      <w:szCs w:val="21"/>
                    </w:rPr>
                    <w:t>10</w:t>
                  </w:r>
                </w:p>
              </w:tc>
              <w:tc>
                <w:tcPr>
                  <w:tcW w:w="1924" w:type="dxa"/>
                  <w:vAlign w:val="center"/>
                </w:tcPr>
                <w:p w14:paraId="05FDAFC0">
                  <w:pPr>
                    <w:widowControl/>
                    <w:jc w:val="center"/>
                    <w:rPr>
                      <w:rFonts w:eastAsiaTheme="minorEastAsia"/>
                      <w:kern w:val="0"/>
                      <w:szCs w:val="21"/>
                    </w:rPr>
                  </w:pPr>
                  <w:r>
                    <w:rPr>
                      <w:rFonts w:eastAsiaTheme="minorEastAsia"/>
                      <w:kern w:val="0"/>
                      <w:szCs w:val="21"/>
                    </w:rPr>
                    <w:t>天平</w:t>
                  </w:r>
                </w:p>
              </w:tc>
              <w:tc>
                <w:tcPr>
                  <w:tcW w:w="2748" w:type="dxa"/>
                  <w:vAlign w:val="center"/>
                </w:tcPr>
                <w:p w14:paraId="704C0A20">
                  <w:pPr>
                    <w:widowControl/>
                    <w:jc w:val="center"/>
                    <w:rPr>
                      <w:rFonts w:eastAsiaTheme="minorEastAsia"/>
                      <w:kern w:val="0"/>
                      <w:szCs w:val="21"/>
                    </w:rPr>
                  </w:pPr>
                  <w:r>
                    <w:rPr>
                      <w:rFonts w:eastAsiaTheme="minorEastAsia"/>
                      <w:kern w:val="0"/>
                      <w:szCs w:val="21"/>
                    </w:rPr>
                    <w:t>分析天平\梅特勒 ME204E 0-420g 1g</w:t>
                  </w:r>
                </w:p>
              </w:tc>
              <w:tc>
                <w:tcPr>
                  <w:tcW w:w="530" w:type="dxa"/>
                  <w:vAlign w:val="center"/>
                </w:tcPr>
                <w:p w14:paraId="302D625D">
                  <w:pPr>
                    <w:widowControl/>
                    <w:jc w:val="center"/>
                    <w:rPr>
                      <w:rFonts w:eastAsiaTheme="minorEastAsia"/>
                      <w:kern w:val="0"/>
                      <w:szCs w:val="21"/>
                    </w:rPr>
                  </w:pPr>
                  <w:r>
                    <w:rPr>
                      <w:rFonts w:eastAsiaTheme="minorEastAsia"/>
                      <w:kern w:val="0"/>
                      <w:szCs w:val="21"/>
                    </w:rPr>
                    <w:t>台</w:t>
                  </w:r>
                </w:p>
              </w:tc>
              <w:tc>
                <w:tcPr>
                  <w:tcW w:w="1259" w:type="dxa"/>
                  <w:vAlign w:val="center"/>
                </w:tcPr>
                <w:p w14:paraId="5823639F">
                  <w:pPr>
                    <w:widowControl/>
                    <w:jc w:val="center"/>
                    <w:rPr>
                      <w:rFonts w:eastAsiaTheme="minorEastAsia"/>
                      <w:kern w:val="0"/>
                      <w:szCs w:val="21"/>
                    </w:rPr>
                  </w:pPr>
                  <w:r>
                    <w:rPr>
                      <w:rFonts w:eastAsiaTheme="minorEastAsia"/>
                      <w:kern w:val="0"/>
                      <w:szCs w:val="21"/>
                    </w:rPr>
                    <w:t>1</w:t>
                  </w:r>
                </w:p>
              </w:tc>
              <w:tc>
                <w:tcPr>
                  <w:tcW w:w="672" w:type="dxa"/>
                  <w:vMerge w:val="continue"/>
                  <w:vAlign w:val="center"/>
                </w:tcPr>
                <w:p w14:paraId="491B4015">
                  <w:pPr>
                    <w:widowControl/>
                    <w:jc w:val="center"/>
                    <w:rPr>
                      <w:rFonts w:eastAsiaTheme="minorEastAsia"/>
                      <w:kern w:val="0"/>
                      <w:szCs w:val="21"/>
                    </w:rPr>
                  </w:pPr>
                </w:p>
              </w:tc>
            </w:tr>
            <w:tr w14:paraId="7095B9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1E8AE580">
                  <w:pPr>
                    <w:widowControl/>
                    <w:jc w:val="center"/>
                    <w:rPr>
                      <w:rFonts w:eastAsiaTheme="minorEastAsia"/>
                      <w:kern w:val="0"/>
                      <w:szCs w:val="21"/>
                    </w:rPr>
                  </w:pPr>
                  <w:r>
                    <w:rPr>
                      <w:rFonts w:eastAsiaTheme="minorEastAsia"/>
                      <w:kern w:val="0"/>
                      <w:szCs w:val="21"/>
                    </w:rPr>
                    <w:t>11</w:t>
                  </w:r>
                </w:p>
              </w:tc>
              <w:tc>
                <w:tcPr>
                  <w:tcW w:w="1924" w:type="dxa"/>
                  <w:vAlign w:val="center"/>
                </w:tcPr>
                <w:p w14:paraId="51932DB9">
                  <w:pPr>
                    <w:widowControl/>
                    <w:jc w:val="center"/>
                    <w:rPr>
                      <w:rFonts w:eastAsiaTheme="minorEastAsia"/>
                      <w:kern w:val="0"/>
                      <w:szCs w:val="21"/>
                    </w:rPr>
                  </w:pPr>
                  <w:r>
                    <w:rPr>
                      <w:rFonts w:eastAsiaTheme="minorEastAsia"/>
                      <w:kern w:val="0"/>
                      <w:szCs w:val="21"/>
                    </w:rPr>
                    <w:t>UPS</w:t>
                  </w:r>
                </w:p>
              </w:tc>
              <w:tc>
                <w:tcPr>
                  <w:tcW w:w="2748" w:type="dxa"/>
                  <w:vAlign w:val="center"/>
                </w:tcPr>
                <w:p w14:paraId="164E0453">
                  <w:pPr>
                    <w:widowControl/>
                    <w:jc w:val="center"/>
                    <w:rPr>
                      <w:rFonts w:eastAsiaTheme="minorEastAsia"/>
                      <w:kern w:val="0"/>
                      <w:szCs w:val="21"/>
                    </w:rPr>
                  </w:pPr>
                  <w:r>
                    <w:rPr>
                      <w:rFonts w:eastAsiaTheme="minorEastAsia"/>
                      <w:kern w:val="0"/>
                      <w:szCs w:val="21"/>
                    </w:rPr>
                    <w:t>在线式UPS\山特 C2KS 2kVA AC115-300V AC220V</w:t>
                  </w:r>
                </w:p>
              </w:tc>
              <w:tc>
                <w:tcPr>
                  <w:tcW w:w="530" w:type="dxa"/>
                  <w:vAlign w:val="center"/>
                </w:tcPr>
                <w:p w14:paraId="4A08B021">
                  <w:pPr>
                    <w:widowControl/>
                    <w:jc w:val="center"/>
                    <w:rPr>
                      <w:rFonts w:eastAsiaTheme="minorEastAsia"/>
                      <w:kern w:val="0"/>
                      <w:szCs w:val="21"/>
                    </w:rPr>
                  </w:pPr>
                  <w:r>
                    <w:rPr>
                      <w:rFonts w:eastAsiaTheme="minorEastAsia"/>
                      <w:kern w:val="0"/>
                      <w:szCs w:val="21"/>
                    </w:rPr>
                    <w:t>台</w:t>
                  </w:r>
                </w:p>
              </w:tc>
              <w:tc>
                <w:tcPr>
                  <w:tcW w:w="1259" w:type="dxa"/>
                  <w:vAlign w:val="center"/>
                </w:tcPr>
                <w:p w14:paraId="4A59C2DF">
                  <w:pPr>
                    <w:widowControl/>
                    <w:jc w:val="center"/>
                    <w:rPr>
                      <w:rFonts w:eastAsiaTheme="minorEastAsia"/>
                      <w:kern w:val="0"/>
                      <w:szCs w:val="21"/>
                    </w:rPr>
                  </w:pPr>
                  <w:r>
                    <w:rPr>
                      <w:rFonts w:eastAsiaTheme="minorEastAsia"/>
                      <w:kern w:val="0"/>
                      <w:szCs w:val="21"/>
                    </w:rPr>
                    <w:t>2</w:t>
                  </w:r>
                </w:p>
              </w:tc>
              <w:tc>
                <w:tcPr>
                  <w:tcW w:w="672" w:type="dxa"/>
                  <w:vMerge w:val="continue"/>
                  <w:vAlign w:val="center"/>
                </w:tcPr>
                <w:p w14:paraId="665393B5">
                  <w:pPr>
                    <w:widowControl/>
                    <w:jc w:val="center"/>
                    <w:rPr>
                      <w:rFonts w:eastAsiaTheme="minorEastAsia"/>
                      <w:kern w:val="0"/>
                      <w:szCs w:val="21"/>
                    </w:rPr>
                  </w:pPr>
                </w:p>
              </w:tc>
            </w:tr>
            <w:tr w14:paraId="18A557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3AFB6C0D">
                  <w:pPr>
                    <w:widowControl/>
                    <w:jc w:val="center"/>
                    <w:rPr>
                      <w:rFonts w:eastAsiaTheme="minorEastAsia"/>
                      <w:kern w:val="0"/>
                      <w:szCs w:val="21"/>
                    </w:rPr>
                  </w:pPr>
                  <w:r>
                    <w:rPr>
                      <w:rFonts w:eastAsiaTheme="minorEastAsia"/>
                      <w:kern w:val="0"/>
                      <w:szCs w:val="21"/>
                    </w:rPr>
                    <w:t>12</w:t>
                  </w:r>
                </w:p>
              </w:tc>
              <w:tc>
                <w:tcPr>
                  <w:tcW w:w="1924" w:type="dxa"/>
                  <w:vAlign w:val="center"/>
                </w:tcPr>
                <w:p w14:paraId="5A6CF9E0">
                  <w:pPr>
                    <w:widowControl/>
                    <w:jc w:val="center"/>
                    <w:rPr>
                      <w:rFonts w:eastAsiaTheme="minorEastAsia"/>
                      <w:kern w:val="0"/>
                      <w:szCs w:val="21"/>
                    </w:rPr>
                  </w:pPr>
                  <w:r>
                    <w:rPr>
                      <w:rFonts w:eastAsiaTheme="minorEastAsia"/>
                      <w:kern w:val="0"/>
                      <w:szCs w:val="21"/>
                    </w:rPr>
                    <w:t>恒温恒湿机组</w:t>
                  </w:r>
                </w:p>
              </w:tc>
              <w:tc>
                <w:tcPr>
                  <w:tcW w:w="2748" w:type="dxa"/>
                  <w:vAlign w:val="center"/>
                </w:tcPr>
                <w:p w14:paraId="21BAE756">
                  <w:pPr>
                    <w:widowControl/>
                    <w:jc w:val="center"/>
                    <w:rPr>
                      <w:rFonts w:eastAsiaTheme="minorEastAsia"/>
                      <w:kern w:val="0"/>
                      <w:szCs w:val="21"/>
                    </w:rPr>
                  </w:pPr>
                  <w:r>
                    <w:rPr>
                      <w:rFonts w:eastAsiaTheme="minorEastAsia"/>
                      <w:kern w:val="0"/>
                      <w:szCs w:val="21"/>
                    </w:rPr>
                    <w:t>POY物检室恒温恒湿系统\定制</w:t>
                  </w:r>
                </w:p>
              </w:tc>
              <w:tc>
                <w:tcPr>
                  <w:tcW w:w="530" w:type="dxa"/>
                  <w:vAlign w:val="center"/>
                </w:tcPr>
                <w:p w14:paraId="1A49835E">
                  <w:pPr>
                    <w:widowControl/>
                    <w:jc w:val="center"/>
                    <w:rPr>
                      <w:rFonts w:eastAsiaTheme="minorEastAsia"/>
                      <w:kern w:val="0"/>
                      <w:szCs w:val="21"/>
                    </w:rPr>
                  </w:pPr>
                  <w:r>
                    <w:rPr>
                      <w:rFonts w:eastAsiaTheme="minorEastAsia"/>
                      <w:kern w:val="0"/>
                      <w:szCs w:val="21"/>
                    </w:rPr>
                    <w:t>套</w:t>
                  </w:r>
                </w:p>
              </w:tc>
              <w:tc>
                <w:tcPr>
                  <w:tcW w:w="1259" w:type="dxa"/>
                  <w:vAlign w:val="center"/>
                </w:tcPr>
                <w:p w14:paraId="11417EAC">
                  <w:pPr>
                    <w:widowControl/>
                    <w:jc w:val="center"/>
                    <w:rPr>
                      <w:rFonts w:eastAsiaTheme="minorEastAsia"/>
                      <w:kern w:val="0"/>
                      <w:szCs w:val="21"/>
                    </w:rPr>
                  </w:pPr>
                  <w:r>
                    <w:rPr>
                      <w:rFonts w:eastAsiaTheme="minorEastAsia"/>
                      <w:kern w:val="0"/>
                      <w:szCs w:val="21"/>
                    </w:rPr>
                    <w:t>1</w:t>
                  </w:r>
                </w:p>
              </w:tc>
              <w:tc>
                <w:tcPr>
                  <w:tcW w:w="672" w:type="dxa"/>
                  <w:vMerge w:val="continue"/>
                  <w:vAlign w:val="center"/>
                </w:tcPr>
                <w:p w14:paraId="624E9419">
                  <w:pPr>
                    <w:widowControl/>
                    <w:jc w:val="center"/>
                    <w:rPr>
                      <w:rFonts w:eastAsiaTheme="minorEastAsia"/>
                      <w:kern w:val="0"/>
                      <w:szCs w:val="21"/>
                    </w:rPr>
                  </w:pPr>
                </w:p>
              </w:tc>
            </w:tr>
            <w:tr w14:paraId="74AC58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1A2B68A8">
                  <w:pPr>
                    <w:widowControl/>
                    <w:jc w:val="center"/>
                    <w:rPr>
                      <w:rFonts w:eastAsiaTheme="minorEastAsia"/>
                      <w:kern w:val="0"/>
                      <w:szCs w:val="21"/>
                    </w:rPr>
                  </w:pPr>
                  <w:r>
                    <w:rPr>
                      <w:rFonts w:eastAsiaTheme="minorEastAsia"/>
                      <w:kern w:val="0"/>
                      <w:szCs w:val="21"/>
                    </w:rPr>
                    <w:t>13</w:t>
                  </w:r>
                </w:p>
              </w:tc>
              <w:tc>
                <w:tcPr>
                  <w:tcW w:w="1924" w:type="dxa"/>
                  <w:shd w:val="clear" w:color="auto" w:fill="auto"/>
                  <w:vAlign w:val="center"/>
                </w:tcPr>
                <w:p w14:paraId="0E5AC00A">
                  <w:pPr>
                    <w:widowControl/>
                    <w:jc w:val="center"/>
                    <w:rPr>
                      <w:rFonts w:eastAsiaTheme="minorEastAsia"/>
                      <w:kern w:val="0"/>
                      <w:szCs w:val="21"/>
                    </w:rPr>
                  </w:pPr>
                  <w:r>
                    <w:rPr>
                      <w:rFonts w:eastAsiaTheme="minorEastAsia"/>
                      <w:kern w:val="0"/>
                      <w:szCs w:val="21"/>
                    </w:rPr>
                    <w:t>喷射式染色机</w:t>
                  </w:r>
                </w:p>
              </w:tc>
              <w:tc>
                <w:tcPr>
                  <w:tcW w:w="2748" w:type="dxa"/>
                  <w:shd w:val="clear" w:color="auto" w:fill="auto"/>
                  <w:vAlign w:val="center"/>
                </w:tcPr>
                <w:p w14:paraId="4A85EC4A">
                  <w:pPr>
                    <w:widowControl/>
                    <w:jc w:val="center"/>
                    <w:rPr>
                      <w:rFonts w:eastAsiaTheme="minorEastAsia"/>
                      <w:kern w:val="0"/>
                      <w:szCs w:val="21"/>
                    </w:rPr>
                  </w:pPr>
                  <w:r>
                    <w:rPr>
                      <w:rFonts w:eastAsiaTheme="minorEastAsia"/>
                      <w:kern w:val="0"/>
                      <w:szCs w:val="21"/>
                    </w:rPr>
                    <w:t>喷射式染色机\RS-Ⅲ</w:t>
                  </w:r>
                </w:p>
              </w:tc>
              <w:tc>
                <w:tcPr>
                  <w:tcW w:w="530" w:type="dxa"/>
                  <w:shd w:val="clear" w:color="auto" w:fill="auto"/>
                  <w:vAlign w:val="center"/>
                </w:tcPr>
                <w:p w14:paraId="0EC6B69E">
                  <w:pPr>
                    <w:widowControl/>
                    <w:jc w:val="center"/>
                    <w:rPr>
                      <w:rFonts w:eastAsiaTheme="minorEastAsia"/>
                      <w:kern w:val="0"/>
                      <w:szCs w:val="21"/>
                    </w:rPr>
                  </w:pPr>
                  <w:r>
                    <w:rPr>
                      <w:rFonts w:eastAsiaTheme="minorEastAsia"/>
                      <w:kern w:val="0"/>
                      <w:szCs w:val="21"/>
                    </w:rPr>
                    <w:t>台</w:t>
                  </w:r>
                </w:p>
              </w:tc>
              <w:tc>
                <w:tcPr>
                  <w:tcW w:w="1259" w:type="dxa"/>
                  <w:shd w:val="clear" w:color="auto" w:fill="auto"/>
                  <w:vAlign w:val="center"/>
                </w:tcPr>
                <w:p w14:paraId="785875CE">
                  <w:pPr>
                    <w:widowControl/>
                    <w:jc w:val="center"/>
                    <w:rPr>
                      <w:rFonts w:eastAsiaTheme="minorEastAsia"/>
                      <w:kern w:val="0"/>
                      <w:szCs w:val="21"/>
                    </w:rPr>
                  </w:pPr>
                  <w:r>
                    <w:rPr>
                      <w:rFonts w:eastAsiaTheme="minorEastAsia"/>
                      <w:kern w:val="0"/>
                      <w:szCs w:val="21"/>
                    </w:rPr>
                    <w:t>7</w:t>
                  </w:r>
                </w:p>
              </w:tc>
              <w:tc>
                <w:tcPr>
                  <w:tcW w:w="672" w:type="dxa"/>
                  <w:shd w:val="clear" w:color="auto" w:fill="auto"/>
                  <w:vAlign w:val="center"/>
                </w:tcPr>
                <w:p w14:paraId="70051550">
                  <w:pPr>
                    <w:widowControl/>
                    <w:jc w:val="center"/>
                    <w:rPr>
                      <w:rFonts w:eastAsiaTheme="minorEastAsia"/>
                      <w:kern w:val="0"/>
                      <w:szCs w:val="21"/>
                    </w:rPr>
                  </w:pPr>
                  <w:r>
                    <w:rPr>
                      <w:rFonts w:eastAsiaTheme="minorEastAsia"/>
                      <w:kern w:val="0"/>
                      <w:szCs w:val="21"/>
                    </w:rPr>
                    <w:t>一期项目续建</w:t>
                  </w:r>
                </w:p>
              </w:tc>
            </w:tr>
            <w:tr w14:paraId="2CF814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12D37E0E">
                  <w:pPr>
                    <w:widowControl/>
                    <w:jc w:val="center"/>
                    <w:rPr>
                      <w:rFonts w:eastAsiaTheme="minorEastAsia"/>
                      <w:kern w:val="0"/>
                      <w:szCs w:val="21"/>
                    </w:rPr>
                  </w:pPr>
                  <w:r>
                    <w:rPr>
                      <w:rFonts w:eastAsiaTheme="minorEastAsia"/>
                      <w:kern w:val="0"/>
                      <w:szCs w:val="21"/>
                    </w:rPr>
                    <w:t>14</w:t>
                  </w:r>
                </w:p>
              </w:tc>
              <w:tc>
                <w:tcPr>
                  <w:tcW w:w="1924" w:type="dxa"/>
                  <w:vAlign w:val="center"/>
                </w:tcPr>
                <w:p w14:paraId="5697AD63">
                  <w:pPr>
                    <w:widowControl/>
                    <w:jc w:val="center"/>
                    <w:rPr>
                      <w:rFonts w:eastAsiaTheme="minorEastAsia"/>
                      <w:kern w:val="0"/>
                      <w:szCs w:val="21"/>
                    </w:rPr>
                  </w:pPr>
                  <w:r>
                    <w:rPr>
                      <w:rFonts w:eastAsiaTheme="minorEastAsia"/>
                      <w:kern w:val="0"/>
                      <w:szCs w:val="21"/>
                    </w:rPr>
                    <w:t>标准光源箱</w:t>
                  </w:r>
                </w:p>
              </w:tc>
              <w:tc>
                <w:tcPr>
                  <w:tcW w:w="2748" w:type="dxa"/>
                  <w:vAlign w:val="center"/>
                </w:tcPr>
                <w:p w14:paraId="13E381B0">
                  <w:pPr>
                    <w:widowControl/>
                    <w:jc w:val="center"/>
                    <w:rPr>
                      <w:rFonts w:eastAsiaTheme="minorEastAsia"/>
                      <w:kern w:val="0"/>
                      <w:szCs w:val="21"/>
                    </w:rPr>
                  </w:pPr>
                  <w:r>
                    <w:rPr>
                      <w:rFonts w:eastAsiaTheme="minorEastAsia"/>
                      <w:kern w:val="0"/>
                      <w:szCs w:val="21"/>
                    </w:rPr>
                    <w:t>光源箱\常纺仪 YG982</w:t>
                  </w:r>
                </w:p>
              </w:tc>
              <w:tc>
                <w:tcPr>
                  <w:tcW w:w="530" w:type="dxa"/>
                  <w:vAlign w:val="center"/>
                </w:tcPr>
                <w:p w14:paraId="19F304CC">
                  <w:pPr>
                    <w:widowControl/>
                    <w:jc w:val="center"/>
                    <w:rPr>
                      <w:rFonts w:eastAsiaTheme="minorEastAsia"/>
                      <w:kern w:val="0"/>
                      <w:szCs w:val="21"/>
                    </w:rPr>
                  </w:pPr>
                  <w:r>
                    <w:rPr>
                      <w:rFonts w:eastAsiaTheme="minorEastAsia"/>
                      <w:kern w:val="0"/>
                      <w:szCs w:val="21"/>
                    </w:rPr>
                    <w:t>台</w:t>
                  </w:r>
                </w:p>
              </w:tc>
              <w:tc>
                <w:tcPr>
                  <w:tcW w:w="1259" w:type="dxa"/>
                  <w:vAlign w:val="center"/>
                </w:tcPr>
                <w:p w14:paraId="1B0BC101">
                  <w:pPr>
                    <w:widowControl/>
                    <w:jc w:val="center"/>
                    <w:rPr>
                      <w:rFonts w:eastAsiaTheme="minorEastAsia"/>
                      <w:kern w:val="0"/>
                      <w:szCs w:val="21"/>
                    </w:rPr>
                  </w:pPr>
                  <w:r>
                    <w:rPr>
                      <w:rFonts w:eastAsiaTheme="minorEastAsia"/>
                      <w:kern w:val="0"/>
                      <w:szCs w:val="21"/>
                    </w:rPr>
                    <w:t>8</w:t>
                  </w:r>
                </w:p>
              </w:tc>
              <w:tc>
                <w:tcPr>
                  <w:tcW w:w="672" w:type="dxa"/>
                  <w:vMerge w:val="restart"/>
                  <w:vAlign w:val="center"/>
                </w:tcPr>
                <w:p w14:paraId="57595CC8">
                  <w:pPr>
                    <w:widowControl/>
                    <w:jc w:val="center"/>
                    <w:rPr>
                      <w:rFonts w:eastAsiaTheme="minorEastAsia"/>
                      <w:kern w:val="0"/>
                      <w:szCs w:val="21"/>
                    </w:rPr>
                  </w:pPr>
                  <w:r>
                    <w:rPr>
                      <w:rFonts w:eastAsiaTheme="minorEastAsia"/>
                      <w:kern w:val="0"/>
                      <w:szCs w:val="21"/>
                    </w:rPr>
                    <w:t>新建</w:t>
                  </w:r>
                </w:p>
              </w:tc>
            </w:tr>
            <w:tr w14:paraId="083B90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4431F4D3">
                  <w:pPr>
                    <w:widowControl/>
                    <w:jc w:val="center"/>
                    <w:rPr>
                      <w:rFonts w:eastAsiaTheme="minorEastAsia"/>
                      <w:kern w:val="0"/>
                      <w:szCs w:val="21"/>
                    </w:rPr>
                  </w:pPr>
                  <w:r>
                    <w:rPr>
                      <w:rFonts w:eastAsiaTheme="minorEastAsia"/>
                      <w:kern w:val="0"/>
                      <w:szCs w:val="21"/>
                    </w:rPr>
                    <w:t>15</w:t>
                  </w:r>
                </w:p>
              </w:tc>
              <w:tc>
                <w:tcPr>
                  <w:tcW w:w="1924" w:type="dxa"/>
                  <w:vAlign w:val="center"/>
                </w:tcPr>
                <w:p w14:paraId="4B8A0F9A">
                  <w:pPr>
                    <w:widowControl/>
                    <w:jc w:val="center"/>
                    <w:rPr>
                      <w:rFonts w:eastAsiaTheme="minorEastAsia"/>
                      <w:kern w:val="0"/>
                      <w:szCs w:val="21"/>
                    </w:rPr>
                  </w:pPr>
                  <w:r>
                    <w:rPr>
                      <w:rFonts w:eastAsiaTheme="minorEastAsia"/>
                      <w:kern w:val="0"/>
                      <w:szCs w:val="21"/>
                    </w:rPr>
                    <w:t>三足式离心机</w:t>
                  </w:r>
                </w:p>
              </w:tc>
              <w:tc>
                <w:tcPr>
                  <w:tcW w:w="2748" w:type="dxa"/>
                  <w:vAlign w:val="center"/>
                </w:tcPr>
                <w:p w14:paraId="0A8575B1">
                  <w:pPr>
                    <w:widowControl/>
                    <w:jc w:val="center"/>
                    <w:rPr>
                      <w:rFonts w:eastAsiaTheme="minorEastAsia"/>
                      <w:kern w:val="0"/>
                      <w:szCs w:val="21"/>
                    </w:rPr>
                  </w:pPr>
                  <w:r>
                    <w:rPr>
                      <w:rFonts w:eastAsiaTheme="minorEastAsia"/>
                      <w:kern w:val="0"/>
                      <w:szCs w:val="21"/>
                    </w:rPr>
                    <w:t>三足式离心机\江苏牡丹 SSW450N20≤Q&lt;30kg/h 固固</w:t>
                  </w:r>
                </w:p>
              </w:tc>
              <w:tc>
                <w:tcPr>
                  <w:tcW w:w="530" w:type="dxa"/>
                  <w:vAlign w:val="center"/>
                </w:tcPr>
                <w:p w14:paraId="3D00CC9C">
                  <w:pPr>
                    <w:widowControl/>
                    <w:jc w:val="center"/>
                    <w:rPr>
                      <w:rFonts w:eastAsiaTheme="minorEastAsia"/>
                      <w:kern w:val="0"/>
                      <w:szCs w:val="21"/>
                    </w:rPr>
                  </w:pPr>
                  <w:r>
                    <w:rPr>
                      <w:rFonts w:eastAsiaTheme="minorEastAsia"/>
                      <w:kern w:val="0"/>
                      <w:szCs w:val="21"/>
                    </w:rPr>
                    <w:t>台</w:t>
                  </w:r>
                </w:p>
              </w:tc>
              <w:tc>
                <w:tcPr>
                  <w:tcW w:w="1259" w:type="dxa"/>
                  <w:vAlign w:val="center"/>
                </w:tcPr>
                <w:p w14:paraId="62B6572F">
                  <w:pPr>
                    <w:widowControl/>
                    <w:jc w:val="center"/>
                    <w:rPr>
                      <w:rFonts w:eastAsiaTheme="minorEastAsia"/>
                      <w:kern w:val="0"/>
                      <w:szCs w:val="21"/>
                    </w:rPr>
                  </w:pPr>
                  <w:r>
                    <w:rPr>
                      <w:rFonts w:eastAsiaTheme="minorEastAsia"/>
                      <w:kern w:val="0"/>
                      <w:szCs w:val="21"/>
                    </w:rPr>
                    <w:t>1</w:t>
                  </w:r>
                </w:p>
              </w:tc>
              <w:tc>
                <w:tcPr>
                  <w:tcW w:w="672" w:type="dxa"/>
                  <w:vMerge w:val="continue"/>
                  <w:vAlign w:val="center"/>
                </w:tcPr>
                <w:p w14:paraId="00772B4B">
                  <w:pPr>
                    <w:widowControl/>
                    <w:jc w:val="center"/>
                    <w:rPr>
                      <w:rFonts w:eastAsiaTheme="minorEastAsia"/>
                      <w:kern w:val="0"/>
                      <w:szCs w:val="21"/>
                    </w:rPr>
                  </w:pPr>
                </w:p>
              </w:tc>
            </w:tr>
            <w:tr w14:paraId="1AF117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7013E9BE">
                  <w:pPr>
                    <w:widowControl/>
                    <w:jc w:val="center"/>
                    <w:rPr>
                      <w:rFonts w:eastAsiaTheme="minorEastAsia"/>
                      <w:kern w:val="0"/>
                      <w:szCs w:val="21"/>
                    </w:rPr>
                  </w:pPr>
                  <w:r>
                    <w:rPr>
                      <w:rFonts w:eastAsiaTheme="minorEastAsia"/>
                      <w:kern w:val="0"/>
                      <w:szCs w:val="21"/>
                    </w:rPr>
                    <w:t>16</w:t>
                  </w:r>
                </w:p>
              </w:tc>
              <w:tc>
                <w:tcPr>
                  <w:tcW w:w="1924" w:type="dxa"/>
                  <w:vAlign w:val="center"/>
                </w:tcPr>
                <w:p w14:paraId="46FB15FC">
                  <w:pPr>
                    <w:widowControl/>
                    <w:jc w:val="center"/>
                    <w:rPr>
                      <w:rFonts w:eastAsiaTheme="minorEastAsia"/>
                      <w:kern w:val="0"/>
                      <w:szCs w:val="21"/>
                    </w:rPr>
                  </w:pPr>
                  <w:r>
                    <w:rPr>
                      <w:rFonts w:eastAsiaTheme="minorEastAsia"/>
                      <w:kern w:val="0"/>
                      <w:szCs w:val="21"/>
                    </w:rPr>
                    <w:t>加热磁力搅拌器</w:t>
                  </w:r>
                </w:p>
              </w:tc>
              <w:tc>
                <w:tcPr>
                  <w:tcW w:w="2748" w:type="dxa"/>
                  <w:vAlign w:val="center"/>
                </w:tcPr>
                <w:p w14:paraId="2987370B">
                  <w:pPr>
                    <w:widowControl/>
                    <w:jc w:val="center"/>
                    <w:rPr>
                      <w:rFonts w:eastAsiaTheme="minorEastAsia"/>
                      <w:kern w:val="0"/>
                      <w:szCs w:val="21"/>
                    </w:rPr>
                  </w:pPr>
                  <w:r>
                    <w:rPr>
                      <w:rFonts w:eastAsiaTheme="minorEastAsia"/>
                      <w:kern w:val="0"/>
                      <w:szCs w:val="21"/>
                    </w:rPr>
                    <w:t>31079</w:t>
                  </w:r>
                </w:p>
              </w:tc>
              <w:tc>
                <w:tcPr>
                  <w:tcW w:w="530" w:type="dxa"/>
                  <w:vAlign w:val="center"/>
                </w:tcPr>
                <w:p w14:paraId="43577A50">
                  <w:pPr>
                    <w:widowControl/>
                    <w:jc w:val="center"/>
                    <w:rPr>
                      <w:rFonts w:eastAsiaTheme="minorEastAsia"/>
                      <w:kern w:val="0"/>
                      <w:szCs w:val="21"/>
                    </w:rPr>
                  </w:pPr>
                  <w:r>
                    <w:rPr>
                      <w:rFonts w:eastAsiaTheme="minorEastAsia"/>
                      <w:kern w:val="0"/>
                      <w:szCs w:val="21"/>
                    </w:rPr>
                    <w:t>台</w:t>
                  </w:r>
                </w:p>
              </w:tc>
              <w:tc>
                <w:tcPr>
                  <w:tcW w:w="1259" w:type="dxa"/>
                  <w:vAlign w:val="center"/>
                </w:tcPr>
                <w:p w14:paraId="0DFC1653">
                  <w:pPr>
                    <w:widowControl/>
                    <w:jc w:val="center"/>
                    <w:rPr>
                      <w:rFonts w:eastAsiaTheme="minorEastAsia"/>
                      <w:kern w:val="0"/>
                      <w:szCs w:val="21"/>
                    </w:rPr>
                  </w:pPr>
                  <w:r>
                    <w:rPr>
                      <w:rFonts w:eastAsiaTheme="minorEastAsia"/>
                      <w:kern w:val="0"/>
                      <w:szCs w:val="21"/>
                    </w:rPr>
                    <w:t>5</w:t>
                  </w:r>
                </w:p>
              </w:tc>
              <w:tc>
                <w:tcPr>
                  <w:tcW w:w="672" w:type="dxa"/>
                  <w:vMerge w:val="continue"/>
                  <w:vAlign w:val="center"/>
                </w:tcPr>
                <w:p w14:paraId="355A246B">
                  <w:pPr>
                    <w:widowControl/>
                    <w:jc w:val="center"/>
                    <w:rPr>
                      <w:rFonts w:eastAsiaTheme="minorEastAsia"/>
                      <w:kern w:val="0"/>
                      <w:szCs w:val="21"/>
                    </w:rPr>
                  </w:pPr>
                </w:p>
              </w:tc>
            </w:tr>
            <w:tr w14:paraId="79D5B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2E25A05D">
                  <w:pPr>
                    <w:widowControl/>
                    <w:jc w:val="center"/>
                    <w:rPr>
                      <w:rFonts w:eastAsiaTheme="minorEastAsia"/>
                      <w:kern w:val="0"/>
                      <w:szCs w:val="21"/>
                    </w:rPr>
                  </w:pPr>
                  <w:r>
                    <w:rPr>
                      <w:rFonts w:eastAsiaTheme="minorEastAsia"/>
                      <w:kern w:val="0"/>
                      <w:szCs w:val="21"/>
                    </w:rPr>
                    <w:t>17</w:t>
                  </w:r>
                </w:p>
              </w:tc>
              <w:tc>
                <w:tcPr>
                  <w:tcW w:w="1924" w:type="dxa"/>
                  <w:vAlign w:val="center"/>
                </w:tcPr>
                <w:p w14:paraId="7485CDD3">
                  <w:pPr>
                    <w:widowControl/>
                    <w:jc w:val="center"/>
                    <w:rPr>
                      <w:rFonts w:eastAsiaTheme="minorEastAsia"/>
                      <w:kern w:val="0"/>
                      <w:szCs w:val="21"/>
                    </w:rPr>
                  </w:pPr>
                  <w:r>
                    <w:rPr>
                      <w:rFonts w:eastAsiaTheme="minorEastAsia"/>
                      <w:kern w:val="0"/>
                      <w:szCs w:val="21"/>
                    </w:rPr>
                    <w:t>天平</w:t>
                  </w:r>
                </w:p>
              </w:tc>
              <w:tc>
                <w:tcPr>
                  <w:tcW w:w="2748" w:type="dxa"/>
                  <w:vAlign w:val="center"/>
                </w:tcPr>
                <w:p w14:paraId="4C3600C7">
                  <w:pPr>
                    <w:widowControl/>
                    <w:jc w:val="center"/>
                    <w:rPr>
                      <w:rFonts w:eastAsiaTheme="minorEastAsia"/>
                      <w:kern w:val="0"/>
                      <w:szCs w:val="21"/>
                    </w:rPr>
                  </w:pPr>
                  <w:r>
                    <w:rPr>
                      <w:rFonts w:eastAsiaTheme="minorEastAsia"/>
                      <w:kern w:val="0"/>
                      <w:szCs w:val="21"/>
                    </w:rPr>
                    <w:t>梅特勒 PL6001-E 0-6100g 0.1g</w:t>
                  </w:r>
                </w:p>
              </w:tc>
              <w:tc>
                <w:tcPr>
                  <w:tcW w:w="530" w:type="dxa"/>
                  <w:vAlign w:val="center"/>
                </w:tcPr>
                <w:p w14:paraId="4EC8A623">
                  <w:pPr>
                    <w:widowControl/>
                    <w:jc w:val="center"/>
                    <w:rPr>
                      <w:rFonts w:eastAsiaTheme="minorEastAsia"/>
                      <w:kern w:val="0"/>
                      <w:szCs w:val="21"/>
                    </w:rPr>
                  </w:pPr>
                  <w:r>
                    <w:rPr>
                      <w:rFonts w:eastAsiaTheme="minorEastAsia"/>
                      <w:kern w:val="0"/>
                      <w:szCs w:val="21"/>
                    </w:rPr>
                    <w:t>台</w:t>
                  </w:r>
                </w:p>
              </w:tc>
              <w:tc>
                <w:tcPr>
                  <w:tcW w:w="1259" w:type="dxa"/>
                  <w:vAlign w:val="center"/>
                </w:tcPr>
                <w:p w14:paraId="029A7060">
                  <w:pPr>
                    <w:widowControl/>
                    <w:jc w:val="center"/>
                    <w:rPr>
                      <w:rFonts w:eastAsiaTheme="minorEastAsia"/>
                      <w:kern w:val="0"/>
                      <w:szCs w:val="21"/>
                    </w:rPr>
                  </w:pPr>
                  <w:r>
                    <w:rPr>
                      <w:rFonts w:eastAsiaTheme="minorEastAsia"/>
                      <w:kern w:val="0"/>
                      <w:szCs w:val="21"/>
                    </w:rPr>
                    <w:t>2</w:t>
                  </w:r>
                </w:p>
              </w:tc>
              <w:tc>
                <w:tcPr>
                  <w:tcW w:w="672" w:type="dxa"/>
                  <w:vMerge w:val="continue"/>
                  <w:vAlign w:val="center"/>
                </w:tcPr>
                <w:p w14:paraId="4A38AF63">
                  <w:pPr>
                    <w:widowControl/>
                    <w:jc w:val="center"/>
                    <w:rPr>
                      <w:rFonts w:eastAsiaTheme="minorEastAsia"/>
                      <w:kern w:val="0"/>
                      <w:szCs w:val="21"/>
                    </w:rPr>
                  </w:pPr>
                </w:p>
              </w:tc>
            </w:tr>
            <w:tr w14:paraId="1DC903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16C0180C">
                  <w:pPr>
                    <w:widowControl/>
                    <w:jc w:val="center"/>
                    <w:rPr>
                      <w:rFonts w:eastAsiaTheme="minorEastAsia"/>
                      <w:kern w:val="0"/>
                      <w:szCs w:val="21"/>
                    </w:rPr>
                  </w:pPr>
                  <w:r>
                    <w:rPr>
                      <w:rFonts w:eastAsiaTheme="minorEastAsia"/>
                      <w:kern w:val="0"/>
                      <w:szCs w:val="21"/>
                    </w:rPr>
                    <w:t>18</w:t>
                  </w:r>
                </w:p>
              </w:tc>
              <w:tc>
                <w:tcPr>
                  <w:tcW w:w="1924" w:type="dxa"/>
                  <w:vAlign w:val="center"/>
                </w:tcPr>
                <w:p w14:paraId="62674E03">
                  <w:pPr>
                    <w:widowControl/>
                    <w:jc w:val="center"/>
                    <w:rPr>
                      <w:rFonts w:eastAsiaTheme="minorEastAsia"/>
                      <w:kern w:val="0"/>
                      <w:szCs w:val="21"/>
                    </w:rPr>
                  </w:pPr>
                  <w:r>
                    <w:rPr>
                      <w:rFonts w:eastAsiaTheme="minorEastAsia"/>
                      <w:kern w:val="0"/>
                      <w:szCs w:val="21"/>
                    </w:rPr>
                    <w:t>电热恒温鼓风干燥箱</w:t>
                  </w:r>
                </w:p>
              </w:tc>
              <w:tc>
                <w:tcPr>
                  <w:tcW w:w="2748" w:type="dxa"/>
                  <w:vAlign w:val="center"/>
                </w:tcPr>
                <w:p w14:paraId="3028B823">
                  <w:pPr>
                    <w:widowControl/>
                    <w:jc w:val="center"/>
                    <w:rPr>
                      <w:rFonts w:eastAsiaTheme="minorEastAsia"/>
                      <w:kern w:val="0"/>
                      <w:szCs w:val="21"/>
                    </w:rPr>
                  </w:pPr>
                  <w:r>
                    <w:rPr>
                      <w:rFonts w:eastAsiaTheme="minorEastAsia"/>
                      <w:kern w:val="0"/>
                      <w:szCs w:val="21"/>
                    </w:rPr>
                    <w:t>烘箱\上海精宏 DHG-9426A 3.58kW AC380V</w:t>
                  </w:r>
                </w:p>
              </w:tc>
              <w:tc>
                <w:tcPr>
                  <w:tcW w:w="530" w:type="dxa"/>
                  <w:vAlign w:val="center"/>
                </w:tcPr>
                <w:p w14:paraId="252CD189">
                  <w:pPr>
                    <w:widowControl/>
                    <w:jc w:val="center"/>
                    <w:rPr>
                      <w:rFonts w:eastAsiaTheme="minorEastAsia"/>
                      <w:kern w:val="0"/>
                      <w:szCs w:val="21"/>
                    </w:rPr>
                  </w:pPr>
                  <w:r>
                    <w:rPr>
                      <w:rFonts w:eastAsiaTheme="minorEastAsia"/>
                      <w:kern w:val="0"/>
                      <w:szCs w:val="21"/>
                    </w:rPr>
                    <w:t>台</w:t>
                  </w:r>
                </w:p>
              </w:tc>
              <w:tc>
                <w:tcPr>
                  <w:tcW w:w="1259" w:type="dxa"/>
                  <w:vAlign w:val="center"/>
                </w:tcPr>
                <w:p w14:paraId="436F3ECC">
                  <w:pPr>
                    <w:widowControl/>
                    <w:jc w:val="center"/>
                    <w:rPr>
                      <w:rFonts w:eastAsiaTheme="minorEastAsia"/>
                      <w:kern w:val="0"/>
                      <w:szCs w:val="21"/>
                    </w:rPr>
                  </w:pPr>
                  <w:r>
                    <w:rPr>
                      <w:rFonts w:eastAsiaTheme="minorEastAsia"/>
                      <w:kern w:val="0"/>
                      <w:szCs w:val="21"/>
                    </w:rPr>
                    <w:t>5</w:t>
                  </w:r>
                </w:p>
              </w:tc>
              <w:tc>
                <w:tcPr>
                  <w:tcW w:w="672" w:type="dxa"/>
                  <w:vMerge w:val="continue"/>
                  <w:vAlign w:val="center"/>
                </w:tcPr>
                <w:p w14:paraId="5804E25C">
                  <w:pPr>
                    <w:widowControl/>
                    <w:jc w:val="center"/>
                    <w:rPr>
                      <w:rFonts w:eastAsiaTheme="minorEastAsia"/>
                      <w:kern w:val="0"/>
                      <w:szCs w:val="21"/>
                    </w:rPr>
                  </w:pPr>
                </w:p>
              </w:tc>
            </w:tr>
            <w:tr w14:paraId="27683D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439D2A6E">
                  <w:pPr>
                    <w:widowControl/>
                    <w:jc w:val="center"/>
                    <w:rPr>
                      <w:rFonts w:eastAsiaTheme="minorEastAsia"/>
                      <w:kern w:val="0"/>
                      <w:szCs w:val="21"/>
                    </w:rPr>
                  </w:pPr>
                  <w:r>
                    <w:rPr>
                      <w:rFonts w:eastAsiaTheme="minorEastAsia"/>
                      <w:kern w:val="0"/>
                      <w:szCs w:val="21"/>
                    </w:rPr>
                    <w:t>19</w:t>
                  </w:r>
                </w:p>
              </w:tc>
              <w:tc>
                <w:tcPr>
                  <w:tcW w:w="1924" w:type="dxa"/>
                  <w:vAlign w:val="center"/>
                </w:tcPr>
                <w:p w14:paraId="7F7189DC">
                  <w:pPr>
                    <w:widowControl/>
                    <w:jc w:val="center"/>
                    <w:rPr>
                      <w:rFonts w:eastAsiaTheme="minorEastAsia"/>
                      <w:kern w:val="0"/>
                      <w:szCs w:val="21"/>
                    </w:rPr>
                  </w:pPr>
                  <w:r>
                    <w:rPr>
                      <w:rFonts w:eastAsiaTheme="minorEastAsia"/>
                      <w:kern w:val="0"/>
                      <w:szCs w:val="21"/>
                    </w:rPr>
                    <w:t>光伏装置</w:t>
                  </w:r>
                </w:p>
              </w:tc>
              <w:tc>
                <w:tcPr>
                  <w:tcW w:w="2748" w:type="dxa"/>
                  <w:vAlign w:val="center"/>
                </w:tcPr>
                <w:p w14:paraId="41C2BD33">
                  <w:pPr>
                    <w:widowControl/>
                    <w:jc w:val="center"/>
                    <w:rPr>
                      <w:rFonts w:eastAsiaTheme="minorEastAsia"/>
                      <w:kern w:val="0"/>
                      <w:szCs w:val="21"/>
                    </w:rPr>
                  </w:pPr>
                  <w:r>
                    <w:rPr>
                      <w:rFonts w:eastAsiaTheme="minorEastAsia"/>
                      <w:kern w:val="0"/>
                      <w:szCs w:val="21"/>
                    </w:rPr>
                    <w:t>9915kWp</w:t>
                  </w:r>
                </w:p>
              </w:tc>
              <w:tc>
                <w:tcPr>
                  <w:tcW w:w="530" w:type="dxa"/>
                  <w:vAlign w:val="center"/>
                </w:tcPr>
                <w:p w14:paraId="66E1262A">
                  <w:pPr>
                    <w:widowControl/>
                    <w:jc w:val="center"/>
                    <w:rPr>
                      <w:rFonts w:eastAsiaTheme="minorEastAsia"/>
                      <w:kern w:val="0"/>
                      <w:szCs w:val="21"/>
                    </w:rPr>
                  </w:pPr>
                  <w:r>
                    <w:rPr>
                      <w:rFonts w:eastAsiaTheme="minorEastAsia"/>
                      <w:kern w:val="0"/>
                      <w:szCs w:val="21"/>
                    </w:rPr>
                    <w:t>套</w:t>
                  </w:r>
                </w:p>
              </w:tc>
              <w:tc>
                <w:tcPr>
                  <w:tcW w:w="1259" w:type="dxa"/>
                  <w:vAlign w:val="center"/>
                </w:tcPr>
                <w:p w14:paraId="668214E3">
                  <w:pPr>
                    <w:widowControl/>
                    <w:jc w:val="center"/>
                    <w:rPr>
                      <w:rFonts w:eastAsiaTheme="minorEastAsia"/>
                      <w:kern w:val="0"/>
                      <w:szCs w:val="21"/>
                    </w:rPr>
                  </w:pPr>
                  <w:r>
                    <w:rPr>
                      <w:rFonts w:eastAsiaTheme="minorEastAsia"/>
                      <w:kern w:val="0"/>
                      <w:szCs w:val="21"/>
                    </w:rPr>
                    <w:t>1</w:t>
                  </w:r>
                </w:p>
              </w:tc>
              <w:tc>
                <w:tcPr>
                  <w:tcW w:w="672" w:type="dxa"/>
                  <w:vMerge w:val="continue"/>
                  <w:vAlign w:val="center"/>
                </w:tcPr>
                <w:p w14:paraId="0D591F0E">
                  <w:pPr>
                    <w:widowControl/>
                    <w:jc w:val="center"/>
                    <w:rPr>
                      <w:rFonts w:eastAsiaTheme="minorEastAsia"/>
                      <w:kern w:val="0"/>
                      <w:szCs w:val="21"/>
                    </w:rPr>
                  </w:pPr>
                </w:p>
              </w:tc>
            </w:tr>
            <w:tr w14:paraId="26BB79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65096D31">
                  <w:pPr>
                    <w:widowControl/>
                    <w:jc w:val="center"/>
                    <w:rPr>
                      <w:rFonts w:eastAsiaTheme="minorEastAsia"/>
                      <w:kern w:val="0"/>
                      <w:szCs w:val="21"/>
                    </w:rPr>
                  </w:pPr>
                  <w:r>
                    <w:rPr>
                      <w:rFonts w:eastAsiaTheme="minorEastAsia"/>
                      <w:kern w:val="0"/>
                      <w:szCs w:val="21"/>
                    </w:rPr>
                    <w:t>20</w:t>
                  </w:r>
                </w:p>
              </w:tc>
              <w:tc>
                <w:tcPr>
                  <w:tcW w:w="1924" w:type="dxa"/>
                  <w:vAlign w:val="center"/>
                </w:tcPr>
                <w:p w14:paraId="35AECE89">
                  <w:pPr>
                    <w:widowControl/>
                    <w:jc w:val="center"/>
                    <w:rPr>
                      <w:rFonts w:eastAsiaTheme="minorEastAsia"/>
                      <w:kern w:val="0"/>
                      <w:szCs w:val="21"/>
                    </w:rPr>
                  </w:pPr>
                  <w:r>
                    <w:rPr>
                      <w:rFonts w:eastAsiaTheme="minorEastAsia"/>
                      <w:kern w:val="0"/>
                      <w:szCs w:val="21"/>
                    </w:rPr>
                    <w:t>乙二醇储罐</w:t>
                  </w:r>
                </w:p>
              </w:tc>
              <w:tc>
                <w:tcPr>
                  <w:tcW w:w="2748" w:type="dxa"/>
                  <w:vAlign w:val="center"/>
                </w:tcPr>
                <w:p w14:paraId="0E364087">
                  <w:pPr>
                    <w:widowControl/>
                    <w:jc w:val="center"/>
                    <w:rPr>
                      <w:rFonts w:eastAsiaTheme="minorEastAsia"/>
                      <w:kern w:val="0"/>
                      <w:szCs w:val="21"/>
                    </w:rPr>
                  </w:pPr>
                  <w:r>
                    <w:rPr>
                      <w:rFonts w:eastAsiaTheme="minorEastAsia"/>
                      <w:kern w:val="0"/>
                      <w:szCs w:val="21"/>
                    </w:rPr>
                    <w:t>8800</w:t>
                  </w:r>
                  <w:r>
                    <w:rPr>
                      <w:rFonts w:eastAsiaTheme="minorEastAsia"/>
                      <w:kern w:val="0"/>
                      <w:szCs w:val="21"/>
                      <w:lang w:bidi="ar"/>
                    </w:rPr>
                    <w:t xml:space="preserve"> m</w:t>
                  </w:r>
                  <w:r>
                    <w:rPr>
                      <w:rFonts w:eastAsiaTheme="minorEastAsia"/>
                      <w:kern w:val="0"/>
                      <w:szCs w:val="21"/>
                      <w:vertAlign w:val="superscript"/>
                      <w:lang w:bidi="ar"/>
                    </w:rPr>
                    <w:t>3</w:t>
                  </w:r>
                </w:p>
              </w:tc>
              <w:tc>
                <w:tcPr>
                  <w:tcW w:w="530" w:type="dxa"/>
                  <w:vAlign w:val="center"/>
                </w:tcPr>
                <w:p w14:paraId="52563DF4">
                  <w:pPr>
                    <w:widowControl/>
                    <w:jc w:val="center"/>
                    <w:rPr>
                      <w:rFonts w:eastAsiaTheme="minorEastAsia"/>
                      <w:kern w:val="0"/>
                      <w:szCs w:val="21"/>
                    </w:rPr>
                  </w:pPr>
                  <w:r>
                    <w:rPr>
                      <w:rFonts w:eastAsiaTheme="minorEastAsia"/>
                      <w:kern w:val="0"/>
                      <w:szCs w:val="21"/>
                    </w:rPr>
                    <w:t>个</w:t>
                  </w:r>
                </w:p>
              </w:tc>
              <w:tc>
                <w:tcPr>
                  <w:tcW w:w="1259" w:type="dxa"/>
                  <w:vAlign w:val="center"/>
                </w:tcPr>
                <w:p w14:paraId="51939B59">
                  <w:pPr>
                    <w:widowControl/>
                    <w:jc w:val="center"/>
                    <w:rPr>
                      <w:rFonts w:eastAsiaTheme="minorEastAsia"/>
                      <w:kern w:val="0"/>
                      <w:szCs w:val="21"/>
                    </w:rPr>
                  </w:pPr>
                  <w:r>
                    <w:rPr>
                      <w:rFonts w:eastAsiaTheme="minorEastAsia"/>
                      <w:kern w:val="0"/>
                      <w:szCs w:val="21"/>
                    </w:rPr>
                    <w:t>2</w:t>
                  </w:r>
                </w:p>
              </w:tc>
              <w:tc>
                <w:tcPr>
                  <w:tcW w:w="672" w:type="dxa"/>
                  <w:vMerge w:val="continue"/>
                  <w:vAlign w:val="center"/>
                </w:tcPr>
                <w:p w14:paraId="0F5B235F">
                  <w:pPr>
                    <w:widowControl/>
                    <w:jc w:val="center"/>
                    <w:rPr>
                      <w:rFonts w:eastAsiaTheme="minorEastAsia"/>
                      <w:kern w:val="0"/>
                      <w:szCs w:val="21"/>
                    </w:rPr>
                  </w:pPr>
                </w:p>
              </w:tc>
            </w:tr>
            <w:tr w14:paraId="379171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013B95F9">
                  <w:pPr>
                    <w:widowControl/>
                    <w:jc w:val="center"/>
                    <w:rPr>
                      <w:rFonts w:eastAsiaTheme="minorEastAsia"/>
                      <w:kern w:val="0"/>
                      <w:szCs w:val="21"/>
                    </w:rPr>
                  </w:pPr>
                  <w:r>
                    <w:rPr>
                      <w:rFonts w:eastAsiaTheme="minorEastAsia"/>
                      <w:kern w:val="0"/>
                      <w:szCs w:val="21"/>
                    </w:rPr>
                    <w:t>21</w:t>
                  </w:r>
                </w:p>
              </w:tc>
              <w:tc>
                <w:tcPr>
                  <w:tcW w:w="1924" w:type="dxa"/>
                  <w:vAlign w:val="center"/>
                </w:tcPr>
                <w:p w14:paraId="65F51A4A">
                  <w:pPr>
                    <w:widowControl/>
                    <w:jc w:val="center"/>
                    <w:rPr>
                      <w:rFonts w:eastAsiaTheme="minorEastAsia"/>
                      <w:kern w:val="0"/>
                      <w:szCs w:val="21"/>
                    </w:rPr>
                  </w:pPr>
                  <w:r>
                    <w:rPr>
                      <w:rFonts w:eastAsiaTheme="minorEastAsia"/>
                      <w:szCs w:val="21"/>
                    </w:rPr>
                    <w:t>撬装加油一体化设备</w:t>
                  </w:r>
                </w:p>
              </w:tc>
              <w:tc>
                <w:tcPr>
                  <w:tcW w:w="2748" w:type="dxa"/>
                  <w:vAlign w:val="center"/>
                </w:tcPr>
                <w:p w14:paraId="06FE88DE">
                  <w:pPr>
                    <w:widowControl/>
                    <w:jc w:val="center"/>
                    <w:rPr>
                      <w:rFonts w:eastAsiaTheme="minorEastAsia"/>
                      <w:kern w:val="0"/>
                      <w:szCs w:val="21"/>
                    </w:rPr>
                  </w:pPr>
                  <w:r>
                    <w:rPr>
                      <w:rFonts w:eastAsiaTheme="minorEastAsia"/>
                      <w:kern w:val="0"/>
                      <w:szCs w:val="21"/>
                      <w:lang w:bidi="ar"/>
                    </w:rPr>
                    <w:t>35吨柴油</w:t>
                  </w:r>
                </w:p>
              </w:tc>
              <w:tc>
                <w:tcPr>
                  <w:tcW w:w="530" w:type="dxa"/>
                  <w:vAlign w:val="center"/>
                </w:tcPr>
                <w:p w14:paraId="6DD54E83">
                  <w:pPr>
                    <w:widowControl/>
                    <w:jc w:val="center"/>
                    <w:rPr>
                      <w:rFonts w:eastAsiaTheme="minorEastAsia"/>
                      <w:kern w:val="0"/>
                      <w:szCs w:val="21"/>
                    </w:rPr>
                  </w:pPr>
                  <w:r>
                    <w:rPr>
                      <w:rFonts w:eastAsiaTheme="minorEastAsia"/>
                      <w:kern w:val="0"/>
                      <w:szCs w:val="21"/>
                    </w:rPr>
                    <w:t>套</w:t>
                  </w:r>
                </w:p>
              </w:tc>
              <w:tc>
                <w:tcPr>
                  <w:tcW w:w="1259" w:type="dxa"/>
                  <w:vAlign w:val="center"/>
                </w:tcPr>
                <w:p w14:paraId="2B31FBB1">
                  <w:pPr>
                    <w:widowControl/>
                    <w:jc w:val="center"/>
                    <w:rPr>
                      <w:rFonts w:eastAsiaTheme="minorEastAsia"/>
                      <w:kern w:val="0"/>
                      <w:szCs w:val="21"/>
                    </w:rPr>
                  </w:pPr>
                  <w:r>
                    <w:rPr>
                      <w:rFonts w:eastAsiaTheme="minorEastAsia"/>
                      <w:kern w:val="0"/>
                      <w:szCs w:val="21"/>
                    </w:rPr>
                    <w:t>1</w:t>
                  </w:r>
                </w:p>
              </w:tc>
              <w:tc>
                <w:tcPr>
                  <w:tcW w:w="672" w:type="dxa"/>
                  <w:vMerge w:val="continue"/>
                  <w:vAlign w:val="center"/>
                </w:tcPr>
                <w:p w14:paraId="61525A60">
                  <w:pPr>
                    <w:widowControl/>
                    <w:jc w:val="center"/>
                    <w:rPr>
                      <w:rFonts w:eastAsiaTheme="minorEastAsia"/>
                      <w:kern w:val="0"/>
                      <w:szCs w:val="21"/>
                    </w:rPr>
                  </w:pPr>
                </w:p>
              </w:tc>
            </w:tr>
            <w:tr w14:paraId="734506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61C65C72">
                  <w:pPr>
                    <w:widowControl/>
                    <w:jc w:val="center"/>
                    <w:rPr>
                      <w:rFonts w:eastAsiaTheme="minorEastAsia"/>
                      <w:kern w:val="0"/>
                      <w:szCs w:val="21"/>
                    </w:rPr>
                  </w:pPr>
                  <w:r>
                    <w:rPr>
                      <w:rFonts w:eastAsiaTheme="minorEastAsia"/>
                      <w:kern w:val="0"/>
                      <w:szCs w:val="21"/>
                    </w:rPr>
                    <w:t>22</w:t>
                  </w:r>
                </w:p>
              </w:tc>
              <w:tc>
                <w:tcPr>
                  <w:tcW w:w="1924" w:type="dxa"/>
                  <w:vAlign w:val="center"/>
                </w:tcPr>
                <w:p w14:paraId="11D55F01">
                  <w:pPr>
                    <w:widowControl/>
                    <w:jc w:val="center"/>
                    <w:rPr>
                      <w:rFonts w:eastAsiaTheme="minorEastAsia"/>
                      <w:szCs w:val="21"/>
                    </w:rPr>
                  </w:pPr>
                  <w:r>
                    <w:rPr>
                      <w:rFonts w:eastAsiaTheme="minorEastAsia"/>
                      <w:kern w:val="0"/>
                      <w:szCs w:val="21"/>
                    </w:rPr>
                    <w:t>全自动过滤器</w:t>
                  </w:r>
                </w:p>
              </w:tc>
              <w:tc>
                <w:tcPr>
                  <w:tcW w:w="2748" w:type="dxa"/>
                  <w:vAlign w:val="center"/>
                </w:tcPr>
                <w:p w14:paraId="41AA57D2">
                  <w:pPr>
                    <w:widowControl/>
                    <w:jc w:val="center"/>
                    <w:rPr>
                      <w:rFonts w:eastAsiaTheme="minorEastAsia"/>
                      <w:kern w:val="0"/>
                      <w:szCs w:val="21"/>
                      <w:lang w:bidi="ar"/>
                    </w:rPr>
                  </w:pPr>
                  <w:r>
                    <w:rPr>
                      <w:rFonts w:eastAsiaTheme="minorEastAsia"/>
                      <w:kern w:val="0"/>
                      <w:szCs w:val="21"/>
                    </w:rPr>
                    <w:t>Q=200m</w:t>
                  </w:r>
                  <w:r>
                    <w:rPr>
                      <w:rFonts w:eastAsiaTheme="minorEastAsia"/>
                      <w:kern w:val="0"/>
                      <w:szCs w:val="21"/>
                      <w:vertAlign w:val="superscript"/>
                    </w:rPr>
                    <w:t>3</w:t>
                  </w:r>
                  <w:r>
                    <w:rPr>
                      <w:rFonts w:eastAsiaTheme="minorEastAsia"/>
                      <w:kern w:val="0"/>
                      <w:szCs w:val="21"/>
                    </w:rPr>
                    <w:t>/h</w:t>
                  </w:r>
                </w:p>
              </w:tc>
              <w:tc>
                <w:tcPr>
                  <w:tcW w:w="530" w:type="dxa"/>
                  <w:vAlign w:val="center"/>
                </w:tcPr>
                <w:p w14:paraId="3EF7DE71">
                  <w:pPr>
                    <w:widowControl/>
                    <w:jc w:val="center"/>
                    <w:rPr>
                      <w:rFonts w:eastAsiaTheme="minorEastAsia"/>
                      <w:kern w:val="0"/>
                      <w:szCs w:val="21"/>
                    </w:rPr>
                  </w:pPr>
                  <w:r>
                    <w:rPr>
                      <w:rFonts w:eastAsiaTheme="minorEastAsia"/>
                      <w:kern w:val="0"/>
                      <w:szCs w:val="21"/>
                    </w:rPr>
                    <w:t>台</w:t>
                  </w:r>
                </w:p>
              </w:tc>
              <w:tc>
                <w:tcPr>
                  <w:tcW w:w="1259" w:type="dxa"/>
                  <w:vAlign w:val="center"/>
                </w:tcPr>
                <w:p w14:paraId="461D7602">
                  <w:pPr>
                    <w:widowControl/>
                    <w:jc w:val="center"/>
                    <w:rPr>
                      <w:rFonts w:eastAsiaTheme="minorEastAsia"/>
                      <w:kern w:val="0"/>
                      <w:szCs w:val="21"/>
                    </w:rPr>
                  </w:pPr>
                  <w:r>
                    <w:rPr>
                      <w:rFonts w:eastAsiaTheme="minorEastAsia"/>
                      <w:kern w:val="0"/>
                      <w:szCs w:val="21"/>
                    </w:rPr>
                    <w:t>4</w:t>
                  </w:r>
                </w:p>
              </w:tc>
              <w:tc>
                <w:tcPr>
                  <w:tcW w:w="672" w:type="dxa"/>
                  <w:vMerge w:val="continue"/>
                  <w:vAlign w:val="center"/>
                </w:tcPr>
                <w:p w14:paraId="6FF6B50B">
                  <w:pPr>
                    <w:widowControl/>
                    <w:jc w:val="center"/>
                    <w:rPr>
                      <w:rFonts w:eastAsiaTheme="minorEastAsia"/>
                      <w:kern w:val="0"/>
                      <w:szCs w:val="21"/>
                    </w:rPr>
                  </w:pPr>
                </w:p>
              </w:tc>
            </w:tr>
            <w:tr w14:paraId="03D646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3A0C3D81">
                  <w:pPr>
                    <w:widowControl/>
                    <w:jc w:val="center"/>
                    <w:rPr>
                      <w:rFonts w:eastAsiaTheme="minorEastAsia"/>
                      <w:kern w:val="0"/>
                      <w:szCs w:val="21"/>
                    </w:rPr>
                  </w:pPr>
                  <w:r>
                    <w:rPr>
                      <w:rFonts w:eastAsiaTheme="minorEastAsia"/>
                      <w:kern w:val="0"/>
                      <w:szCs w:val="21"/>
                    </w:rPr>
                    <w:t>23</w:t>
                  </w:r>
                </w:p>
              </w:tc>
              <w:tc>
                <w:tcPr>
                  <w:tcW w:w="1924" w:type="dxa"/>
                  <w:vAlign w:val="center"/>
                </w:tcPr>
                <w:p w14:paraId="02A04952">
                  <w:pPr>
                    <w:widowControl/>
                    <w:jc w:val="center"/>
                    <w:rPr>
                      <w:rFonts w:eastAsiaTheme="minorEastAsia"/>
                      <w:kern w:val="0"/>
                      <w:szCs w:val="21"/>
                    </w:rPr>
                  </w:pPr>
                  <w:r>
                    <w:rPr>
                      <w:rFonts w:eastAsiaTheme="minorEastAsia"/>
                      <w:kern w:val="0"/>
                      <w:szCs w:val="21"/>
                    </w:rPr>
                    <w:t>循环冷却塔</w:t>
                  </w:r>
                </w:p>
              </w:tc>
              <w:tc>
                <w:tcPr>
                  <w:tcW w:w="2748" w:type="dxa"/>
                  <w:vAlign w:val="center"/>
                </w:tcPr>
                <w:p w14:paraId="5A297EE4">
                  <w:pPr>
                    <w:widowControl/>
                    <w:jc w:val="center"/>
                    <w:rPr>
                      <w:rFonts w:eastAsiaTheme="minorEastAsia"/>
                      <w:kern w:val="0"/>
                      <w:szCs w:val="21"/>
                    </w:rPr>
                  </w:pPr>
                  <w:r>
                    <w:rPr>
                      <w:rFonts w:eastAsiaTheme="minorEastAsia"/>
                      <w:kern w:val="0"/>
                      <w:szCs w:val="21"/>
                    </w:rPr>
                    <w:t>逆流机械通风钢筋混凝土框架冷却塔</w:t>
                  </w:r>
                </w:p>
              </w:tc>
              <w:tc>
                <w:tcPr>
                  <w:tcW w:w="530" w:type="dxa"/>
                  <w:vAlign w:val="center"/>
                </w:tcPr>
                <w:p w14:paraId="04F5E233">
                  <w:pPr>
                    <w:widowControl/>
                    <w:jc w:val="center"/>
                    <w:rPr>
                      <w:rFonts w:eastAsiaTheme="minorEastAsia"/>
                      <w:kern w:val="0"/>
                      <w:szCs w:val="21"/>
                    </w:rPr>
                  </w:pPr>
                  <w:r>
                    <w:rPr>
                      <w:rFonts w:eastAsiaTheme="minorEastAsia"/>
                      <w:kern w:val="0"/>
                      <w:szCs w:val="21"/>
                    </w:rPr>
                    <w:t>台</w:t>
                  </w:r>
                </w:p>
              </w:tc>
              <w:tc>
                <w:tcPr>
                  <w:tcW w:w="1259" w:type="dxa"/>
                  <w:vAlign w:val="center"/>
                </w:tcPr>
                <w:p w14:paraId="67F3822F">
                  <w:pPr>
                    <w:widowControl/>
                    <w:jc w:val="center"/>
                    <w:rPr>
                      <w:rFonts w:eastAsiaTheme="minorEastAsia"/>
                      <w:kern w:val="0"/>
                      <w:szCs w:val="21"/>
                    </w:rPr>
                  </w:pPr>
                  <w:r>
                    <w:rPr>
                      <w:rFonts w:eastAsiaTheme="minorEastAsia"/>
                      <w:kern w:val="0"/>
                      <w:szCs w:val="21"/>
                    </w:rPr>
                    <w:t>4</w:t>
                  </w:r>
                </w:p>
              </w:tc>
              <w:tc>
                <w:tcPr>
                  <w:tcW w:w="672" w:type="dxa"/>
                  <w:vMerge w:val="continue"/>
                  <w:vAlign w:val="center"/>
                </w:tcPr>
                <w:p w14:paraId="4BF2B583">
                  <w:pPr>
                    <w:widowControl/>
                    <w:jc w:val="center"/>
                    <w:rPr>
                      <w:rFonts w:eastAsiaTheme="minorEastAsia"/>
                      <w:kern w:val="0"/>
                      <w:szCs w:val="21"/>
                    </w:rPr>
                  </w:pPr>
                </w:p>
              </w:tc>
            </w:tr>
            <w:tr w14:paraId="7FD0BD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4E4C250B">
                  <w:pPr>
                    <w:widowControl/>
                    <w:jc w:val="center"/>
                    <w:rPr>
                      <w:rFonts w:eastAsiaTheme="minorEastAsia"/>
                      <w:kern w:val="0"/>
                      <w:szCs w:val="21"/>
                    </w:rPr>
                  </w:pPr>
                  <w:r>
                    <w:rPr>
                      <w:rFonts w:eastAsiaTheme="minorEastAsia"/>
                      <w:kern w:val="0"/>
                      <w:szCs w:val="21"/>
                    </w:rPr>
                    <w:t>24</w:t>
                  </w:r>
                </w:p>
              </w:tc>
              <w:tc>
                <w:tcPr>
                  <w:tcW w:w="1924" w:type="dxa"/>
                  <w:vAlign w:val="center"/>
                </w:tcPr>
                <w:p w14:paraId="5A35E96A">
                  <w:pPr>
                    <w:widowControl/>
                    <w:jc w:val="center"/>
                    <w:rPr>
                      <w:rFonts w:eastAsiaTheme="minorEastAsia"/>
                      <w:kern w:val="0"/>
                      <w:szCs w:val="21"/>
                    </w:rPr>
                  </w:pPr>
                  <w:r>
                    <w:rPr>
                      <w:rFonts w:eastAsiaTheme="minorEastAsia"/>
                      <w:kern w:val="0"/>
                      <w:szCs w:val="21"/>
                    </w:rPr>
                    <w:t>循环水冷却水供水泵</w:t>
                  </w:r>
                </w:p>
              </w:tc>
              <w:tc>
                <w:tcPr>
                  <w:tcW w:w="2748" w:type="dxa"/>
                  <w:vAlign w:val="center"/>
                </w:tcPr>
                <w:p w14:paraId="61488037">
                  <w:pPr>
                    <w:widowControl/>
                    <w:jc w:val="center"/>
                    <w:rPr>
                      <w:rFonts w:eastAsiaTheme="minorEastAsia"/>
                      <w:kern w:val="0"/>
                      <w:szCs w:val="21"/>
                    </w:rPr>
                  </w:pPr>
                  <w:r>
                    <w:rPr>
                      <w:rFonts w:eastAsiaTheme="minorEastAsia"/>
                      <w:kern w:val="0"/>
                      <w:szCs w:val="21"/>
                    </w:rPr>
                    <w:t>Q=6000m</w:t>
                  </w:r>
                  <w:r>
                    <w:rPr>
                      <w:rFonts w:eastAsiaTheme="minorEastAsia"/>
                      <w:kern w:val="0"/>
                      <w:szCs w:val="21"/>
                      <w:vertAlign w:val="superscript"/>
                    </w:rPr>
                    <w:t>3</w:t>
                  </w:r>
                  <w:r>
                    <w:rPr>
                      <w:rFonts w:eastAsiaTheme="minorEastAsia"/>
                      <w:kern w:val="0"/>
                      <w:szCs w:val="21"/>
                    </w:rPr>
                    <w:t>/h，H=35m，N=800kW</w:t>
                  </w:r>
                </w:p>
              </w:tc>
              <w:tc>
                <w:tcPr>
                  <w:tcW w:w="530" w:type="dxa"/>
                  <w:vAlign w:val="center"/>
                </w:tcPr>
                <w:p w14:paraId="356BAFB9">
                  <w:pPr>
                    <w:widowControl/>
                    <w:jc w:val="center"/>
                    <w:rPr>
                      <w:rFonts w:eastAsiaTheme="minorEastAsia"/>
                      <w:kern w:val="0"/>
                      <w:szCs w:val="21"/>
                    </w:rPr>
                  </w:pPr>
                  <w:r>
                    <w:rPr>
                      <w:rFonts w:eastAsiaTheme="minorEastAsia"/>
                      <w:kern w:val="0"/>
                      <w:szCs w:val="21"/>
                    </w:rPr>
                    <w:t>台</w:t>
                  </w:r>
                </w:p>
              </w:tc>
              <w:tc>
                <w:tcPr>
                  <w:tcW w:w="1259" w:type="dxa"/>
                  <w:vAlign w:val="center"/>
                </w:tcPr>
                <w:p w14:paraId="7F411BB4">
                  <w:pPr>
                    <w:widowControl/>
                    <w:jc w:val="center"/>
                    <w:rPr>
                      <w:rFonts w:eastAsiaTheme="minorEastAsia"/>
                      <w:kern w:val="0"/>
                      <w:szCs w:val="21"/>
                    </w:rPr>
                  </w:pPr>
                  <w:r>
                    <w:rPr>
                      <w:rFonts w:eastAsiaTheme="minorEastAsia"/>
                      <w:kern w:val="0"/>
                      <w:szCs w:val="21"/>
                    </w:rPr>
                    <w:t>1</w:t>
                  </w:r>
                </w:p>
              </w:tc>
              <w:tc>
                <w:tcPr>
                  <w:tcW w:w="672" w:type="dxa"/>
                  <w:vMerge w:val="continue"/>
                  <w:vAlign w:val="center"/>
                </w:tcPr>
                <w:p w14:paraId="6FAD8995">
                  <w:pPr>
                    <w:widowControl/>
                    <w:jc w:val="center"/>
                    <w:rPr>
                      <w:rFonts w:eastAsiaTheme="minorEastAsia"/>
                      <w:kern w:val="0"/>
                      <w:szCs w:val="21"/>
                    </w:rPr>
                  </w:pPr>
                </w:p>
              </w:tc>
            </w:tr>
            <w:tr w14:paraId="6733A0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06113363">
                  <w:pPr>
                    <w:widowControl/>
                    <w:jc w:val="center"/>
                    <w:rPr>
                      <w:rFonts w:eastAsiaTheme="minorEastAsia"/>
                      <w:kern w:val="0"/>
                      <w:szCs w:val="21"/>
                    </w:rPr>
                  </w:pPr>
                  <w:r>
                    <w:rPr>
                      <w:rFonts w:eastAsiaTheme="minorEastAsia"/>
                      <w:kern w:val="0"/>
                      <w:szCs w:val="21"/>
                    </w:rPr>
                    <w:t>25</w:t>
                  </w:r>
                </w:p>
              </w:tc>
              <w:tc>
                <w:tcPr>
                  <w:tcW w:w="1924" w:type="dxa"/>
                  <w:vAlign w:val="center"/>
                </w:tcPr>
                <w:p w14:paraId="5CED1DED">
                  <w:pPr>
                    <w:widowControl/>
                    <w:jc w:val="center"/>
                    <w:rPr>
                      <w:rFonts w:eastAsiaTheme="minorEastAsia"/>
                      <w:kern w:val="0"/>
                      <w:szCs w:val="21"/>
                    </w:rPr>
                  </w:pPr>
                  <w:r>
                    <w:rPr>
                      <w:rFonts w:eastAsiaTheme="minorEastAsia"/>
                      <w:kern w:val="0"/>
                      <w:szCs w:val="21"/>
                    </w:rPr>
                    <w:t>余热发电机组</w:t>
                  </w:r>
                </w:p>
              </w:tc>
              <w:tc>
                <w:tcPr>
                  <w:tcW w:w="2748" w:type="dxa"/>
                  <w:vAlign w:val="center"/>
                </w:tcPr>
                <w:p w14:paraId="0FA1F972">
                  <w:pPr>
                    <w:widowControl/>
                    <w:jc w:val="center"/>
                    <w:rPr>
                      <w:rFonts w:eastAsiaTheme="minorEastAsia"/>
                      <w:kern w:val="0"/>
                      <w:szCs w:val="21"/>
                    </w:rPr>
                  </w:pPr>
                  <w:r>
                    <w:rPr>
                      <w:rFonts w:eastAsiaTheme="minorEastAsia"/>
                      <w:kern w:val="0"/>
                      <w:szCs w:val="21"/>
                    </w:rPr>
                    <w:t>/</w:t>
                  </w:r>
                </w:p>
              </w:tc>
              <w:tc>
                <w:tcPr>
                  <w:tcW w:w="530" w:type="dxa"/>
                  <w:vAlign w:val="center"/>
                </w:tcPr>
                <w:p w14:paraId="53EB56EA">
                  <w:pPr>
                    <w:widowControl/>
                    <w:jc w:val="center"/>
                    <w:rPr>
                      <w:rFonts w:eastAsiaTheme="minorEastAsia"/>
                      <w:kern w:val="0"/>
                      <w:szCs w:val="21"/>
                    </w:rPr>
                  </w:pPr>
                  <w:r>
                    <w:rPr>
                      <w:rFonts w:eastAsiaTheme="minorEastAsia"/>
                      <w:kern w:val="0"/>
                      <w:szCs w:val="21"/>
                    </w:rPr>
                    <w:t>套</w:t>
                  </w:r>
                </w:p>
              </w:tc>
              <w:tc>
                <w:tcPr>
                  <w:tcW w:w="1259" w:type="dxa"/>
                  <w:vAlign w:val="center"/>
                </w:tcPr>
                <w:p w14:paraId="06723A4F">
                  <w:pPr>
                    <w:widowControl/>
                    <w:jc w:val="center"/>
                    <w:rPr>
                      <w:rFonts w:eastAsiaTheme="minorEastAsia"/>
                      <w:kern w:val="0"/>
                      <w:szCs w:val="21"/>
                    </w:rPr>
                  </w:pPr>
                  <w:r>
                    <w:rPr>
                      <w:rFonts w:eastAsiaTheme="minorEastAsia"/>
                      <w:kern w:val="0"/>
                      <w:szCs w:val="21"/>
                    </w:rPr>
                    <w:t>1</w:t>
                  </w:r>
                </w:p>
              </w:tc>
              <w:tc>
                <w:tcPr>
                  <w:tcW w:w="672" w:type="dxa"/>
                  <w:vMerge w:val="continue"/>
                  <w:vAlign w:val="center"/>
                </w:tcPr>
                <w:p w14:paraId="70AD0139">
                  <w:pPr>
                    <w:widowControl/>
                    <w:jc w:val="center"/>
                    <w:rPr>
                      <w:rFonts w:eastAsiaTheme="minorEastAsia"/>
                      <w:kern w:val="0"/>
                      <w:szCs w:val="21"/>
                    </w:rPr>
                  </w:pPr>
                </w:p>
              </w:tc>
            </w:tr>
            <w:tr w14:paraId="1AACE1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429C34C7">
                  <w:pPr>
                    <w:widowControl/>
                    <w:jc w:val="center"/>
                    <w:rPr>
                      <w:rFonts w:eastAsiaTheme="minorEastAsia"/>
                      <w:kern w:val="0"/>
                      <w:szCs w:val="21"/>
                    </w:rPr>
                  </w:pPr>
                  <w:r>
                    <w:rPr>
                      <w:rFonts w:eastAsiaTheme="minorEastAsia"/>
                      <w:kern w:val="0"/>
                      <w:szCs w:val="21"/>
                    </w:rPr>
                    <w:t>26</w:t>
                  </w:r>
                </w:p>
              </w:tc>
              <w:tc>
                <w:tcPr>
                  <w:tcW w:w="1924" w:type="dxa"/>
                  <w:vAlign w:val="center"/>
                </w:tcPr>
                <w:p w14:paraId="7DA18F14">
                  <w:pPr>
                    <w:widowControl/>
                    <w:jc w:val="center"/>
                    <w:rPr>
                      <w:rFonts w:eastAsiaTheme="minorEastAsia"/>
                      <w:kern w:val="0"/>
                      <w:szCs w:val="21"/>
                    </w:rPr>
                  </w:pPr>
                  <w:r>
                    <w:rPr>
                      <w:rFonts w:eastAsiaTheme="minorEastAsia"/>
                      <w:kern w:val="0"/>
                      <w:szCs w:val="21"/>
                    </w:rPr>
                    <w:t>冷水机</w:t>
                  </w:r>
                </w:p>
              </w:tc>
              <w:tc>
                <w:tcPr>
                  <w:tcW w:w="2748" w:type="dxa"/>
                  <w:vAlign w:val="center"/>
                </w:tcPr>
                <w:p w14:paraId="39FAFBD6">
                  <w:pPr>
                    <w:widowControl/>
                    <w:jc w:val="center"/>
                    <w:rPr>
                      <w:rFonts w:eastAsiaTheme="minorEastAsia"/>
                      <w:kern w:val="0"/>
                      <w:szCs w:val="21"/>
                    </w:rPr>
                  </w:pPr>
                  <w:r>
                    <w:rPr>
                      <w:rFonts w:eastAsiaTheme="minorEastAsia"/>
                      <w:kern w:val="0"/>
                      <w:szCs w:val="21"/>
                    </w:rPr>
                    <w:t>热水型溴化锂吸收式4651kW</w:t>
                  </w:r>
                </w:p>
              </w:tc>
              <w:tc>
                <w:tcPr>
                  <w:tcW w:w="530" w:type="dxa"/>
                  <w:vAlign w:val="center"/>
                </w:tcPr>
                <w:p w14:paraId="6C9C0719">
                  <w:pPr>
                    <w:widowControl/>
                    <w:jc w:val="center"/>
                    <w:rPr>
                      <w:rFonts w:eastAsiaTheme="minorEastAsia"/>
                      <w:kern w:val="0"/>
                      <w:szCs w:val="21"/>
                    </w:rPr>
                  </w:pPr>
                  <w:r>
                    <w:rPr>
                      <w:rFonts w:eastAsiaTheme="minorEastAsia"/>
                      <w:kern w:val="0"/>
                      <w:szCs w:val="21"/>
                    </w:rPr>
                    <w:t>台</w:t>
                  </w:r>
                </w:p>
              </w:tc>
              <w:tc>
                <w:tcPr>
                  <w:tcW w:w="1259" w:type="dxa"/>
                  <w:vAlign w:val="center"/>
                </w:tcPr>
                <w:p w14:paraId="38C9396D">
                  <w:pPr>
                    <w:widowControl/>
                    <w:jc w:val="center"/>
                    <w:rPr>
                      <w:rFonts w:eastAsiaTheme="minorEastAsia"/>
                      <w:kern w:val="0"/>
                      <w:szCs w:val="21"/>
                    </w:rPr>
                  </w:pPr>
                  <w:r>
                    <w:rPr>
                      <w:rFonts w:eastAsiaTheme="minorEastAsia"/>
                      <w:kern w:val="0"/>
                      <w:szCs w:val="21"/>
                    </w:rPr>
                    <w:t>1</w:t>
                  </w:r>
                </w:p>
              </w:tc>
              <w:tc>
                <w:tcPr>
                  <w:tcW w:w="672" w:type="dxa"/>
                  <w:vMerge w:val="continue"/>
                  <w:vAlign w:val="center"/>
                </w:tcPr>
                <w:p w14:paraId="4455A4DC">
                  <w:pPr>
                    <w:widowControl/>
                    <w:jc w:val="center"/>
                    <w:rPr>
                      <w:rFonts w:eastAsiaTheme="minorEastAsia"/>
                      <w:kern w:val="0"/>
                      <w:szCs w:val="21"/>
                    </w:rPr>
                  </w:pPr>
                </w:p>
              </w:tc>
            </w:tr>
            <w:tr w14:paraId="768EA1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75517388">
                  <w:pPr>
                    <w:widowControl/>
                    <w:jc w:val="center"/>
                    <w:rPr>
                      <w:rFonts w:eastAsiaTheme="minorEastAsia"/>
                      <w:kern w:val="0"/>
                      <w:szCs w:val="21"/>
                    </w:rPr>
                  </w:pPr>
                  <w:r>
                    <w:rPr>
                      <w:rFonts w:eastAsiaTheme="minorEastAsia"/>
                      <w:kern w:val="0"/>
                      <w:szCs w:val="21"/>
                    </w:rPr>
                    <w:t>27</w:t>
                  </w:r>
                </w:p>
              </w:tc>
              <w:tc>
                <w:tcPr>
                  <w:tcW w:w="1924" w:type="dxa"/>
                  <w:vAlign w:val="center"/>
                </w:tcPr>
                <w:p w14:paraId="50CA0D2F">
                  <w:pPr>
                    <w:widowControl/>
                    <w:jc w:val="center"/>
                    <w:rPr>
                      <w:rFonts w:eastAsiaTheme="minorEastAsia"/>
                      <w:kern w:val="0"/>
                      <w:szCs w:val="21"/>
                    </w:rPr>
                  </w:pPr>
                  <w:r>
                    <w:rPr>
                      <w:rFonts w:eastAsiaTheme="minorEastAsia"/>
                      <w:kern w:val="0"/>
                      <w:szCs w:val="21"/>
                    </w:rPr>
                    <w:t>空气压缩机组</w:t>
                  </w:r>
                </w:p>
              </w:tc>
              <w:tc>
                <w:tcPr>
                  <w:tcW w:w="2748" w:type="dxa"/>
                  <w:vAlign w:val="center"/>
                </w:tcPr>
                <w:p w14:paraId="7268A9C0">
                  <w:pPr>
                    <w:widowControl/>
                    <w:jc w:val="center"/>
                    <w:rPr>
                      <w:rFonts w:eastAsiaTheme="minorEastAsia"/>
                      <w:kern w:val="0"/>
                      <w:szCs w:val="21"/>
                    </w:rPr>
                  </w:pPr>
                  <w:r>
                    <w:rPr>
                      <w:rFonts w:eastAsiaTheme="minorEastAsia"/>
                      <w:kern w:val="0"/>
                      <w:szCs w:val="21"/>
                    </w:rPr>
                    <w:t>背压式汽轮机拖动空气压缩机组0.19MPa,1300Nm</w:t>
                  </w:r>
                  <w:r>
                    <w:rPr>
                      <w:rFonts w:eastAsiaTheme="minorEastAsia"/>
                      <w:kern w:val="0"/>
                      <w:szCs w:val="21"/>
                      <w:vertAlign w:val="superscript"/>
                    </w:rPr>
                    <w:t>3</w:t>
                  </w:r>
                  <w:r>
                    <w:rPr>
                      <w:rFonts w:eastAsiaTheme="minorEastAsia"/>
                      <w:kern w:val="0"/>
                      <w:szCs w:val="21"/>
                    </w:rPr>
                    <w:t>/min</w:t>
                  </w:r>
                </w:p>
              </w:tc>
              <w:tc>
                <w:tcPr>
                  <w:tcW w:w="530" w:type="dxa"/>
                  <w:vAlign w:val="center"/>
                </w:tcPr>
                <w:p w14:paraId="3445173F">
                  <w:pPr>
                    <w:widowControl/>
                    <w:jc w:val="center"/>
                    <w:rPr>
                      <w:rFonts w:eastAsiaTheme="minorEastAsia"/>
                      <w:kern w:val="0"/>
                      <w:szCs w:val="21"/>
                    </w:rPr>
                  </w:pPr>
                  <w:r>
                    <w:rPr>
                      <w:rFonts w:eastAsiaTheme="minorEastAsia"/>
                      <w:kern w:val="0"/>
                      <w:szCs w:val="21"/>
                    </w:rPr>
                    <w:t>台</w:t>
                  </w:r>
                </w:p>
              </w:tc>
              <w:tc>
                <w:tcPr>
                  <w:tcW w:w="1259" w:type="dxa"/>
                  <w:vAlign w:val="center"/>
                </w:tcPr>
                <w:p w14:paraId="5999A653">
                  <w:pPr>
                    <w:widowControl/>
                    <w:jc w:val="center"/>
                    <w:rPr>
                      <w:rFonts w:eastAsiaTheme="minorEastAsia"/>
                      <w:kern w:val="0"/>
                      <w:szCs w:val="21"/>
                    </w:rPr>
                  </w:pPr>
                  <w:r>
                    <w:rPr>
                      <w:rFonts w:eastAsiaTheme="minorEastAsia"/>
                      <w:kern w:val="0"/>
                      <w:szCs w:val="21"/>
                    </w:rPr>
                    <w:t>1</w:t>
                  </w:r>
                </w:p>
              </w:tc>
              <w:tc>
                <w:tcPr>
                  <w:tcW w:w="672" w:type="dxa"/>
                  <w:vMerge w:val="continue"/>
                  <w:vAlign w:val="center"/>
                </w:tcPr>
                <w:p w14:paraId="09DFDAE2">
                  <w:pPr>
                    <w:widowControl/>
                    <w:jc w:val="center"/>
                    <w:rPr>
                      <w:rFonts w:eastAsiaTheme="minorEastAsia"/>
                      <w:kern w:val="0"/>
                      <w:szCs w:val="21"/>
                    </w:rPr>
                  </w:pPr>
                </w:p>
              </w:tc>
            </w:tr>
            <w:tr w14:paraId="23CD6A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58CB4D09">
                  <w:pPr>
                    <w:widowControl/>
                    <w:jc w:val="center"/>
                    <w:rPr>
                      <w:rFonts w:eastAsiaTheme="minorEastAsia"/>
                      <w:kern w:val="0"/>
                      <w:szCs w:val="21"/>
                    </w:rPr>
                  </w:pPr>
                  <w:r>
                    <w:rPr>
                      <w:rFonts w:eastAsiaTheme="minorEastAsia"/>
                      <w:kern w:val="0"/>
                      <w:szCs w:val="21"/>
                    </w:rPr>
                    <w:t>28</w:t>
                  </w:r>
                </w:p>
              </w:tc>
              <w:tc>
                <w:tcPr>
                  <w:tcW w:w="1924" w:type="dxa"/>
                  <w:vAlign w:val="center"/>
                </w:tcPr>
                <w:p w14:paraId="0A5749EF">
                  <w:pPr>
                    <w:widowControl/>
                    <w:jc w:val="center"/>
                    <w:rPr>
                      <w:rFonts w:eastAsiaTheme="minorEastAsia"/>
                      <w:kern w:val="0"/>
                      <w:szCs w:val="21"/>
                    </w:rPr>
                  </w:pPr>
                  <w:r>
                    <w:rPr>
                      <w:rFonts w:eastAsiaTheme="minorEastAsia"/>
                      <w:kern w:val="0"/>
                      <w:szCs w:val="21"/>
                    </w:rPr>
                    <w:t>空气压缩机组</w:t>
                  </w:r>
                </w:p>
              </w:tc>
              <w:tc>
                <w:tcPr>
                  <w:tcW w:w="2748" w:type="dxa"/>
                  <w:vAlign w:val="center"/>
                </w:tcPr>
                <w:p w14:paraId="51BC0C5F">
                  <w:pPr>
                    <w:widowControl/>
                    <w:jc w:val="center"/>
                    <w:rPr>
                      <w:rFonts w:eastAsiaTheme="minorEastAsia"/>
                      <w:kern w:val="0"/>
                      <w:szCs w:val="21"/>
                    </w:rPr>
                  </w:pPr>
                  <w:r>
                    <w:rPr>
                      <w:rFonts w:eastAsiaTheme="minorEastAsia"/>
                      <w:kern w:val="0"/>
                      <w:szCs w:val="21"/>
                    </w:rPr>
                    <w:t>背压式汽轮机拖动空气压缩机组0.25MPa,2000 Nm</w:t>
                  </w:r>
                  <w:r>
                    <w:rPr>
                      <w:rFonts w:eastAsiaTheme="minorEastAsia"/>
                      <w:kern w:val="0"/>
                      <w:szCs w:val="21"/>
                      <w:vertAlign w:val="superscript"/>
                    </w:rPr>
                    <w:t>3</w:t>
                  </w:r>
                  <w:r>
                    <w:rPr>
                      <w:rFonts w:eastAsiaTheme="minorEastAsia"/>
                      <w:kern w:val="0"/>
                      <w:szCs w:val="21"/>
                    </w:rPr>
                    <w:t>/min</w:t>
                  </w:r>
                </w:p>
              </w:tc>
              <w:tc>
                <w:tcPr>
                  <w:tcW w:w="530" w:type="dxa"/>
                  <w:vAlign w:val="center"/>
                </w:tcPr>
                <w:p w14:paraId="36337B58">
                  <w:pPr>
                    <w:widowControl/>
                    <w:jc w:val="center"/>
                    <w:rPr>
                      <w:rFonts w:eastAsiaTheme="minorEastAsia"/>
                      <w:kern w:val="0"/>
                      <w:szCs w:val="21"/>
                    </w:rPr>
                  </w:pPr>
                  <w:r>
                    <w:rPr>
                      <w:rFonts w:eastAsiaTheme="minorEastAsia"/>
                      <w:kern w:val="0"/>
                      <w:szCs w:val="21"/>
                    </w:rPr>
                    <w:t>台</w:t>
                  </w:r>
                </w:p>
              </w:tc>
              <w:tc>
                <w:tcPr>
                  <w:tcW w:w="1259" w:type="dxa"/>
                  <w:vAlign w:val="center"/>
                </w:tcPr>
                <w:p w14:paraId="700FA8D8">
                  <w:pPr>
                    <w:widowControl/>
                    <w:jc w:val="center"/>
                    <w:rPr>
                      <w:rFonts w:eastAsiaTheme="minorEastAsia"/>
                      <w:kern w:val="0"/>
                      <w:szCs w:val="21"/>
                    </w:rPr>
                  </w:pPr>
                  <w:r>
                    <w:rPr>
                      <w:rFonts w:eastAsiaTheme="minorEastAsia"/>
                      <w:kern w:val="0"/>
                      <w:szCs w:val="21"/>
                    </w:rPr>
                    <w:t>1</w:t>
                  </w:r>
                </w:p>
              </w:tc>
              <w:tc>
                <w:tcPr>
                  <w:tcW w:w="672" w:type="dxa"/>
                  <w:vMerge w:val="continue"/>
                  <w:vAlign w:val="center"/>
                </w:tcPr>
                <w:p w14:paraId="20FE492E">
                  <w:pPr>
                    <w:widowControl/>
                    <w:jc w:val="center"/>
                    <w:rPr>
                      <w:rFonts w:eastAsiaTheme="minorEastAsia"/>
                      <w:kern w:val="0"/>
                      <w:szCs w:val="21"/>
                    </w:rPr>
                  </w:pPr>
                </w:p>
              </w:tc>
            </w:tr>
            <w:tr w14:paraId="481D99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1A785FC4">
                  <w:pPr>
                    <w:widowControl/>
                    <w:jc w:val="center"/>
                    <w:rPr>
                      <w:rFonts w:eastAsiaTheme="minorEastAsia"/>
                      <w:kern w:val="0"/>
                      <w:szCs w:val="21"/>
                    </w:rPr>
                  </w:pPr>
                  <w:r>
                    <w:rPr>
                      <w:rFonts w:eastAsiaTheme="minorEastAsia"/>
                      <w:kern w:val="0"/>
                      <w:szCs w:val="21"/>
                    </w:rPr>
                    <w:t>29</w:t>
                  </w:r>
                </w:p>
              </w:tc>
              <w:tc>
                <w:tcPr>
                  <w:tcW w:w="1924" w:type="dxa"/>
                  <w:vAlign w:val="center"/>
                </w:tcPr>
                <w:p w14:paraId="16FEB454">
                  <w:pPr>
                    <w:widowControl/>
                    <w:jc w:val="center"/>
                    <w:rPr>
                      <w:rFonts w:eastAsiaTheme="minorEastAsia"/>
                      <w:kern w:val="0"/>
                      <w:szCs w:val="21"/>
                    </w:rPr>
                  </w:pPr>
                  <w:r>
                    <w:rPr>
                      <w:rFonts w:eastAsiaTheme="minorEastAsia"/>
                      <w:kern w:val="0"/>
                      <w:szCs w:val="21"/>
                    </w:rPr>
                    <w:t>空气压缩机组</w:t>
                  </w:r>
                </w:p>
              </w:tc>
              <w:tc>
                <w:tcPr>
                  <w:tcW w:w="2748" w:type="dxa"/>
                  <w:vAlign w:val="center"/>
                </w:tcPr>
                <w:p w14:paraId="4458B0FD">
                  <w:pPr>
                    <w:widowControl/>
                    <w:jc w:val="center"/>
                    <w:rPr>
                      <w:rFonts w:eastAsiaTheme="minorEastAsia"/>
                      <w:kern w:val="0"/>
                      <w:szCs w:val="21"/>
                    </w:rPr>
                  </w:pPr>
                  <w:r>
                    <w:rPr>
                      <w:rFonts w:eastAsiaTheme="minorEastAsia"/>
                      <w:kern w:val="0"/>
                      <w:szCs w:val="21"/>
                    </w:rPr>
                    <w:t>背压式汽轮机拖动空气压缩机组0.45MPa,800 Nm</w:t>
                  </w:r>
                  <w:r>
                    <w:rPr>
                      <w:rFonts w:eastAsiaTheme="minorEastAsia"/>
                      <w:kern w:val="0"/>
                      <w:szCs w:val="21"/>
                      <w:vertAlign w:val="superscript"/>
                    </w:rPr>
                    <w:t>3</w:t>
                  </w:r>
                  <w:r>
                    <w:rPr>
                      <w:rFonts w:eastAsiaTheme="minorEastAsia"/>
                      <w:kern w:val="0"/>
                      <w:szCs w:val="21"/>
                    </w:rPr>
                    <w:t>/min</w:t>
                  </w:r>
                </w:p>
              </w:tc>
              <w:tc>
                <w:tcPr>
                  <w:tcW w:w="530" w:type="dxa"/>
                  <w:vAlign w:val="center"/>
                </w:tcPr>
                <w:p w14:paraId="198AB5C6">
                  <w:pPr>
                    <w:widowControl/>
                    <w:jc w:val="center"/>
                    <w:rPr>
                      <w:rFonts w:eastAsiaTheme="minorEastAsia"/>
                      <w:kern w:val="0"/>
                      <w:szCs w:val="21"/>
                    </w:rPr>
                  </w:pPr>
                  <w:r>
                    <w:rPr>
                      <w:rFonts w:eastAsiaTheme="minorEastAsia"/>
                      <w:kern w:val="0"/>
                      <w:szCs w:val="21"/>
                    </w:rPr>
                    <w:t>台</w:t>
                  </w:r>
                </w:p>
              </w:tc>
              <w:tc>
                <w:tcPr>
                  <w:tcW w:w="1259" w:type="dxa"/>
                  <w:vAlign w:val="center"/>
                </w:tcPr>
                <w:p w14:paraId="796C3AED">
                  <w:pPr>
                    <w:widowControl/>
                    <w:jc w:val="center"/>
                    <w:rPr>
                      <w:rFonts w:eastAsiaTheme="minorEastAsia"/>
                      <w:kern w:val="0"/>
                      <w:szCs w:val="21"/>
                    </w:rPr>
                  </w:pPr>
                  <w:r>
                    <w:rPr>
                      <w:rFonts w:eastAsiaTheme="minorEastAsia"/>
                      <w:kern w:val="0"/>
                      <w:szCs w:val="21"/>
                    </w:rPr>
                    <w:t>1</w:t>
                  </w:r>
                </w:p>
              </w:tc>
              <w:tc>
                <w:tcPr>
                  <w:tcW w:w="672" w:type="dxa"/>
                  <w:vMerge w:val="continue"/>
                  <w:vAlign w:val="center"/>
                </w:tcPr>
                <w:p w14:paraId="1D98425F">
                  <w:pPr>
                    <w:widowControl/>
                    <w:jc w:val="center"/>
                    <w:rPr>
                      <w:rFonts w:eastAsiaTheme="minorEastAsia"/>
                      <w:kern w:val="0"/>
                      <w:szCs w:val="21"/>
                    </w:rPr>
                  </w:pPr>
                </w:p>
              </w:tc>
            </w:tr>
          </w:tbl>
          <w:p w14:paraId="329D33D3">
            <w:pPr>
              <w:pStyle w:val="79"/>
              <w:spacing w:before="0" w:after="0" w:line="500" w:lineRule="exact"/>
              <w:rPr>
                <w:rFonts w:cs="Times New Roman"/>
              </w:rPr>
            </w:pPr>
            <w:r>
              <w:rPr>
                <w:rFonts w:cs="Times New Roman"/>
              </w:rPr>
              <w:t>4、主要原辅料及燃料消耗</w:t>
            </w:r>
          </w:p>
          <w:p w14:paraId="53DA0569">
            <w:pPr>
              <w:pStyle w:val="76"/>
              <w:spacing w:line="500" w:lineRule="exact"/>
              <w:ind w:firstLine="480"/>
            </w:pPr>
            <w:r>
              <w:t>主要原辅料详情见下表。</w:t>
            </w:r>
          </w:p>
          <w:p w14:paraId="6E0E6C3A">
            <w:pPr>
              <w:pStyle w:val="77"/>
              <w:spacing w:line="500" w:lineRule="exact"/>
              <w:rPr>
                <w:bCs w:val="0"/>
                <w:szCs w:val="24"/>
              </w:rPr>
            </w:pPr>
            <w:r>
              <w:rPr>
                <w:bCs w:val="0"/>
                <w:szCs w:val="24"/>
              </w:rPr>
              <w:t>表2-</w:t>
            </w:r>
            <w:r>
              <w:rPr>
                <w:rFonts w:hint="eastAsia"/>
                <w:bCs w:val="0"/>
                <w:szCs w:val="24"/>
              </w:rPr>
              <w:t>9</w:t>
            </w:r>
            <w:r>
              <w:rPr>
                <w:bCs w:val="0"/>
                <w:szCs w:val="24"/>
              </w:rPr>
              <w:t xml:space="preserve"> 主要原辅料及燃料消耗</w:t>
            </w:r>
          </w:p>
          <w:tbl>
            <w:tblPr>
              <w:tblStyle w:val="9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080"/>
              <w:gridCol w:w="439"/>
              <w:gridCol w:w="439"/>
              <w:gridCol w:w="1032"/>
              <w:gridCol w:w="740"/>
              <w:gridCol w:w="728"/>
              <w:gridCol w:w="875"/>
              <w:gridCol w:w="1165"/>
              <w:gridCol w:w="989"/>
            </w:tblGrid>
            <w:tr w14:paraId="33DE59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 w:type="pct"/>
                  <w:vMerge w:val="restart"/>
                  <w:vAlign w:val="center"/>
                </w:tcPr>
                <w:p w14:paraId="64B21B2B">
                  <w:pPr>
                    <w:widowControl/>
                    <w:jc w:val="center"/>
                    <w:rPr>
                      <w:b/>
                      <w:bCs/>
                      <w:kern w:val="0"/>
                      <w:szCs w:val="21"/>
                    </w:rPr>
                  </w:pPr>
                  <w:r>
                    <w:rPr>
                      <w:b/>
                      <w:bCs/>
                      <w:kern w:val="0"/>
                      <w:szCs w:val="21"/>
                    </w:rPr>
                    <w:t>序号</w:t>
                  </w:r>
                </w:p>
              </w:tc>
              <w:tc>
                <w:tcPr>
                  <w:tcW w:w="681" w:type="pct"/>
                  <w:vMerge w:val="restart"/>
                  <w:vAlign w:val="center"/>
                </w:tcPr>
                <w:p w14:paraId="1FC9300B">
                  <w:pPr>
                    <w:widowControl/>
                    <w:jc w:val="center"/>
                    <w:rPr>
                      <w:b/>
                      <w:bCs/>
                      <w:kern w:val="0"/>
                      <w:szCs w:val="21"/>
                    </w:rPr>
                  </w:pPr>
                  <w:r>
                    <w:rPr>
                      <w:b/>
                      <w:bCs/>
                      <w:kern w:val="0"/>
                      <w:szCs w:val="21"/>
                    </w:rPr>
                    <w:t>原辅料名称</w:t>
                  </w:r>
                </w:p>
              </w:tc>
              <w:tc>
                <w:tcPr>
                  <w:tcW w:w="277" w:type="pct"/>
                  <w:vMerge w:val="restart"/>
                  <w:vAlign w:val="center"/>
                </w:tcPr>
                <w:p w14:paraId="0444CD4C">
                  <w:pPr>
                    <w:widowControl/>
                    <w:jc w:val="center"/>
                    <w:rPr>
                      <w:b/>
                      <w:bCs/>
                      <w:kern w:val="0"/>
                      <w:szCs w:val="21"/>
                    </w:rPr>
                  </w:pPr>
                  <w:r>
                    <w:rPr>
                      <w:b/>
                      <w:bCs/>
                      <w:kern w:val="0"/>
                      <w:szCs w:val="21"/>
                    </w:rPr>
                    <w:t>形态</w:t>
                  </w:r>
                </w:p>
              </w:tc>
              <w:tc>
                <w:tcPr>
                  <w:tcW w:w="277" w:type="pct"/>
                  <w:vMerge w:val="restart"/>
                  <w:vAlign w:val="center"/>
                </w:tcPr>
                <w:p w14:paraId="5E849208">
                  <w:pPr>
                    <w:widowControl/>
                    <w:jc w:val="center"/>
                    <w:rPr>
                      <w:b/>
                      <w:bCs/>
                      <w:kern w:val="0"/>
                      <w:szCs w:val="21"/>
                    </w:rPr>
                  </w:pPr>
                  <w:r>
                    <w:rPr>
                      <w:b/>
                      <w:bCs/>
                      <w:kern w:val="0"/>
                      <w:szCs w:val="21"/>
                    </w:rPr>
                    <w:t>单位</w:t>
                  </w:r>
                </w:p>
              </w:tc>
              <w:tc>
                <w:tcPr>
                  <w:tcW w:w="651" w:type="pct"/>
                  <w:vMerge w:val="restart"/>
                  <w:vAlign w:val="center"/>
                </w:tcPr>
                <w:p w14:paraId="1EE32A4E">
                  <w:pPr>
                    <w:widowControl/>
                    <w:jc w:val="center"/>
                    <w:rPr>
                      <w:b/>
                      <w:bCs/>
                      <w:kern w:val="0"/>
                      <w:szCs w:val="21"/>
                    </w:rPr>
                  </w:pPr>
                  <w:r>
                    <w:rPr>
                      <w:b/>
                      <w:bCs/>
                      <w:kern w:val="0"/>
                      <w:szCs w:val="21"/>
                    </w:rPr>
                    <w:t>年用量</w:t>
                  </w:r>
                </w:p>
              </w:tc>
              <w:tc>
                <w:tcPr>
                  <w:tcW w:w="467" w:type="pct"/>
                  <w:vMerge w:val="restart"/>
                  <w:vAlign w:val="center"/>
                </w:tcPr>
                <w:p w14:paraId="0BDAAD4F">
                  <w:pPr>
                    <w:widowControl/>
                    <w:jc w:val="center"/>
                    <w:rPr>
                      <w:b/>
                      <w:bCs/>
                      <w:kern w:val="0"/>
                      <w:szCs w:val="21"/>
                    </w:rPr>
                  </w:pPr>
                  <w:r>
                    <w:rPr>
                      <w:b/>
                      <w:bCs/>
                      <w:kern w:val="0"/>
                      <w:szCs w:val="21"/>
                    </w:rPr>
                    <w:t>最大存在量</w:t>
                  </w:r>
                </w:p>
              </w:tc>
              <w:tc>
                <w:tcPr>
                  <w:tcW w:w="459" w:type="pct"/>
                  <w:vMerge w:val="restart"/>
                  <w:vAlign w:val="center"/>
                </w:tcPr>
                <w:p w14:paraId="5F37614D">
                  <w:pPr>
                    <w:widowControl/>
                    <w:jc w:val="center"/>
                    <w:rPr>
                      <w:b/>
                      <w:bCs/>
                      <w:kern w:val="0"/>
                      <w:szCs w:val="21"/>
                    </w:rPr>
                  </w:pPr>
                  <w:r>
                    <w:rPr>
                      <w:b/>
                      <w:bCs/>
                      <w:kern w:val="0"/>
                      <w:szCs w:val="21"/>
                    </w:rPr>
                    <w:t>储存方式</w:t>
                  </w:r>
                </w:p>
              </w:tc>
              <w:tc>
                <w:tcPr>
                  <w:tcW w:w="552" w:type="pct"/>
                  <w:vMerge w:val="restart"/>
                  <w:vAlign w:val="center"/>
                </w:tcPr>
                <w:p w14:paraId="6A9CAA40">
                  <w:pPr>
                    <w:widowControl/>
                    <w:jc w:val="center"/>
                    <w:rPr>
                      <w:b/>
                      <w:bCs/>
                      <w:kern w:val="0"/>
                      <w:szCs w:val="21"/>
                    </w:rPr>
                  </w:pPr>
                  <w:r>
                    <w:rPr>
                      <w:b/>
                      <w:bCs/>
                      <w:kern w:val="0"/>
                      <w:szCs w:val="21"/>
                    </w:rPr>
                    <w:t>运输</w:t>
                  </w:r>
                  <w:r>
                    <w:rPr>
                      <w:b/>
                      <w:bCs/>
                      <w:kern w:val="0"/>
                      <w:szCs w:val="21"/>
                    </w:rPr>
                    <w:br w:type="textWrapping"/>
                  </w:r>
                  <w:r>
                    <w:rPr>
                      <w:b/>
                      <w:bCs/>
                      <w:kern w:val="0"/>
                      <w:szCs w:val="21"/>
                    </w:rPr>
                    <w:t>方式</w:t>
                  </w:r>
                </w:p>
              </w:tc>
              <w:tc>
                <w:tcPr>
                  <w:tcW w:w="735" w:type="pct"/>
                  <w:vMerge w:val="restart"/>
                  <w:vAlign w:val="center"/>
                </w:tcPr>
                <w:p w14:paraId="173C4CF1">
                  <w:pPr>
                    <w:widowControl/>
                    <w:jc w:val="center"/>
                    <w:rPr>
                      <w:b/>
                      <w:bCs/>
                      <w:kern w:val="0"/>
                      <w:szCs w:val="21"/>
                    </w:rPr>
                  </w:pPr>
                  <w:r>
                    <w:rPr>
                      <w:b/>
                      <w:bCs/>
                      <w:kern w:val="0"/>
                      <w:szCs w:val="21"/>
                    </w:rPr>
                    <w:t>用途</w:t>
                  </w:r>
                </w:p>
              </w:tc>
              <w:tc>
                <w:tcPr>
                  <w:tcW w:w="624" w:type="pct"/>
                  <w:vMerge w:val="restart"/>
                  <w:vAlign w:val="center"/>
                </w:tcPr>
                <w:p w14:paraId="7F607E68">
                  <w:pPr>
                    <w:widowControl/>
                    <w:jc w:val="center"/>
                    <w:rPr>
                      <w:b/>
                      <w:bCs/>
                      <w:kern w:val="0"/>
                      <w:szCs w:val="21"/>
                    </w:rPr>
                  </w:pPr>
                  <w:r>
                    <w:rPr>
                      <w:b/>
                      <w:bCs/>
                      <w:kern w:val="0"/>
                      <w:szCs w:val="21"/>
                    </w:rPr>
                    <w:t>来源</w:t>
                  </w:r>
                </w:p>
              </w:tc>
            </w:tr>
            <w:tr w14:paraId="6C0769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77" w:type="pct"/>
                  <w:vMerge w:val="continue"/>
                  <w:vAlign w:val="center"/>
                </w:tcPr>
                <w:p w14:paraId="74114927">
                  <w:pPr>
                    <w:widowControl/>
                    <w:jc w:val="left"/>
                    <w:rPr>
                      <w:b/>
                      <w:bCs/>
                      <w:kern w:val="0"/>
                      <w:szCs w:val="21"/>
                    </w:rPr>
                  </w:pPr>
                </w:p>
              </w:tc>
              <w:tc>
                <w:tcPr>
                  <w:tcW w:w="681" w:type="pct"/>
                  <w:vMerge w:val="continue"/>
                  <w:vAlign w:val="center"/>
                </w:tcPr>
                <w:p w14:paraId="56304385">
                  <w:pPr>
                    <w:widowControl/>
                    <w:jc w:val="left"/>
                    <w:rPr>
                      <w:b/>
                      <w:bCs/>
                      <w:kern w:val="0"/>
                      <w:szCs w:val="21"/>
                    </w:rPr>
                  </w:pPr>
                </w:p>
              </w:tc>
              <w:tc>
                <w:tcPr>
                  <w:tcW w:w="277" w:type="pct"/>
                  <w:vMerge w:val="continue"/>
                  <w:vAlign w:val="center"/>
                </w:tcPr>
                <w:p w14:paraId="149B23F4">
                  <w:pPr>
                    <w:widowControl/>
                    <w:jc w:val="left"/>
                    <w:rPr>
                      <w:b/>
                      <w:bCs/>
                      <w:kern w:val="0"/>
                      <w:szCs w:val="21"/>
                    </w:rPr>
                  </w:pPr>
                </w:p>
              </w:tc>
              <w:tc>
                <w:tcPr>
                  <w:tcW w:w="277" w:type="pct"/>
                  <w:vMerge w:val="continue"/>
                  <w:vAlign w:val="center"/>
                </w:tcPr>
                <w:p w14:paraId="1EBF0AEE">
                  <w:pPr>
                    <w:widowControl/>
                    <w:jc w:val="left"/>
                    <w:rPr>
                      <w:b/>
                      <w:bCs/>
                      <w:kern w:val="0"/>
                      <w:szCs w:val="21"/>
                    </w:rPr>
                  </w:pPr>
                </w:p>
              </w:tc>
              <w:tc>
                <w:tcPr>
                  <w:tcW w:w="651" w:type="pct"/>
                  <w:vMerge w:val="continue"/>
                  <w:vAlign w:val="center"/>
                </w:tcPr>
                <w:p w14:paraId="22130449">
                  <w:pPr>
                    <w:widowControl/>
                    <w:jc w:val="left"/>
                    <w:rPr>
                      <w:b/>
                      <w:bCs/>
                      <w:kern w:val="0"/>
                      <w:szCs w:val="21"/>
                    </w:rPr>
                  </w:pPr>
                </w:p>
              </w:tc>
              <w:tc>
                <w:tcPr>
                  <w:tcW w:w="467" w:type="pct"/>
                  <w:vMerge w:val="continue"/>
                  <w:vAlign w:val="center"/>
                </w:tcPr>
                <w:p w14:paraId="4E98245C">
                  <w:pPr>
                    <w:widowControl/>
                    <w:jc w:val="left"/>
                    <w:rPr>
                      <w:b/>
                      <w:bCs/>
                      <w:kern w:val="0"/>
                      <w:szCs w:val="21"/>
                    </w:rPr>
                  </w:pPr>
                </w:p>
              </w:tc>
              <w:tc>
                <w:tcPr>
                  <w:tcW w:w="459" w:type="pct"/>
                  <w:vMerge w:val="continue"/>
                  <w:vAlign w:val="center"/>
                </w:tcPr>
                <w:p w14:paraId="3DB7ADF8">
                  <w:pPr>
                    <w:widowControl/>
                    <w:jc w:val="left"/>
                    <w:rPr>
                      <w:b/>
                      <w:bCs/>
                      <w:kern w:val="0"/>
                      <w:szCs w:val="21"/>
                    </w:rPr>
                  </w:pPr>
                </w:p>
              </w:tc>
              <w:tc>
                <w:tcPr>
                  <w:tcW w:w="552" w:type="pct"/>
                  <w:vMerge w:val="continue"/>
                  <w:vAlign w:val="center"/>
                </w:tcPr>
                <w:p w14:paraId="4A99E70C">
                  <w:pPr>
                    <w:widowControl/>
                    <w:jc w:val="left"/>
                    <w:rPr>
                      <w:b/>
                      <w:bCs/>
                      <w:kern w:val="0"/>
                      <w:szCs w:val="21"/>
                    </w:rPr>
                  </w:pPr>
                </w:p>
              </w:tc>
              <w:tc>
                <w:tcPr>
                  <w:tcW w:w="735" w:type="pct"/>
                  <w:vMerge w:val="continue"/>
                  <w:vAlign w:val="center"/>
                </w:tcPr>
                <w:p w14:paraId="0D419D0A">
                  <w:pPr>
                    <w:widowControl/>
                    <w:jc w:val="left"/>
                    <w:rPr>
                      <w:b/>
                      <w:bCs/>
                      <w:kern w:val="0"/>
                      <w:szCs w:val="21"/>
                    </w:rPr>
                  </w:pPr>
                </w:p>
              </w:tc>
              <w:tc>
                <w:tcPr>
                  <w:tcW w:w="624" w:type="pct"/>
                  <w:vMerge w:val="continue"/>
                  <w:vAlign w:val="center"/>
                </w:tcPr>
                <w:p w14:paraId="29324EC4">
                  <w:pPr>
                    <w:widowControl/>
                    <w:jc w:val="left"/>
                    <w:rPr>
                      <w:b/>
                      <w:bCs/>
                      <w:kern w:val="0"/>
                      <w:szCs w:val="21"/>
                    </w:rPr>
                  </w:pPr>
                </w:p>
              </w:tc>
            </w:tr>
            <w:tr w14:paraId="2A3295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77" w:type="pct"/>
                  <w:vAlign w:val="center"/>
                </w:tcPr>
                <w:p w14:paraId="736C4AA2">
                  <w:pPr>
                    <w:widowControl/>
                    <w:jc w:val="center"/>
                    <w:rPr>
                      <w:kern w:val="0"/>
                      <w:szCs w:val="21"/>
                    </w:rPr>
                  </w:pPr>
                  <w:r>
                    <w:rPr>
                      <w:kern w:val="0"/>
                      <w:szCs w:val="21"/>
                    </w:rPr>
                    <w:t>1</w:t>
                  </w:r>
                </w:p>
              </w:tc>
              <w:tc>
                <w:tcPr>
                  <w:tcW w:w="681" w:type="pct"/>
                  <w:vAlign w:val="center"/>
                </w:tcPr>
                <w:p w14:paraId="1C782084">
                  <w:pPr>
                    <w:widowControl/>
                    <w:jc w:val="center"/>
                    <w:rPr>
                      <w:kern w:val="0"/>
                      <w:szCs w:val="21"/>
                    </w:rPr>
                  </w:pPr>
                  <w:r>
                    <w:rPr>
                      <w:kern w:val="0"/>
                      <w:szCs w:val="21"/>
                    </w:rPr>
                    <w:t>聚酯熔体</w:t>
                  </w:r>
                </w:p>
              </w:tc>
              <w:tc>
                <w:tcPr>
                  <w:tcW w:w="277" w:type="pct"/>
                  <w:vAlign w:val="center"/>
                </w:tcPr>
                <w:p w14:paraId="47841E93">
                  <w:pPr>
                    <w:widowControl/>
                    <w:jc w:val="center"/>
                    <w:rPr>
                      <w:kern w:val="0"/>
                      <w:szCs w:val="21"/>
                    </w:rPr>
                  </w:pPr>
                  <w:r>
                    <w:rPr>
                      <w:kern w:val="0"/>
                      <w:szCs w:val="21"/>
                    </w:rPr>
                    <w:t>固</w:t>
                  </w:r>
                </w:p>
              </w:tc>
              <w:tc>
                <w:tcPr>
                  <w:tcW w:w="277" w:type="pct"/>
                  <w:vAlign w:val="center"/>
                </w:tcPr>
                <w:p w14:paraId="3295D734">
                  <w:pPr>
                    <w:widowControl/>
                    <w:jc w:val="center"/>
                    <w:rPr>
                      <w:kern w:val="0"/>
                      <w:szCs w:val="21"/>
                    </w:rPr>
                  </w:pPr>
                  <w:r>
                    <w:rPr>
                      <w:kern w:val="0"/>
                      <w:szCs w:val="21"/>
                    </w:rPr>
                    <w:t>t</w:t>
                  </w:r>
                </w:p>
              </w:tc>
              <w:tc>
                <w:tcPr>
                  <w:tcW w:w="651" w:type="pct"/>
                  <w:vAlign w:val="center"/>
                </w:tcPr>
                <w:p w14:paraId="396DABA6">
                  <w:pPr>
                    <w:widowControl/>
                    <w:jc w:val="center"/>
                    <w:rPr>
                      <w:kern w:val="0"/>
                      <w:szCs w:val="21"/>
                    </w:rPr>
                  </w:pPr>
                  <w:r>
                    <w:rPr>
                      <w:kern w:val="0"/>
                      <w:szCs w:val="21"/>
                    </w:rPr>
                    <w:t>466785.3</w:t>
                  </w:r>
                </w:p>
              </w:tc>
              <w:tc>
                <w:tcPr>
                  <w:tcW w:w="467" w:type="pct"/>
                  <w:vAlign w:val="center"/>
                </w:tcPr>
                <w:p w14:paraId="3F5EDD44">
                  <w:pPr>
                    <w:widowControl/>
                    <w:jc w:val="center"/>
                    <w:rPr>
                      <w:kern w:val="0"/>
                      <w:szCs w:val="21"/>
                    </w:rPr>
                  </w:pPr>
                  <w:r>
                    <w:rPr>
                      <w:kern w:val="0"/>
                      <w:szCs w:val="21"/>
                    </w:rPr>
                    <w:t>40</w:t>
                  </w:r>
                </w:p>
              </w:tc>
              <w:tc>
                <w:tcPr>
                  <w:tcW w:w="459" w:type="pct"/>
                  <w:vAlign w:val="center"/>
                </w:tcPr>
                <w:p w14:paraId="355B4B00">
                  <w:pPr>
                    <w:widowControl/>
                    <w:jc w:val="center"/>
                    <w:rPr>
                      <w:kern w:val="0"/>
                      <w:szCs w:val="21"/>
                    </w:rPr>
                  </w:pPr>
                  <w:r>
                    <w:rPr>
                      <w:kern w:val="0"/>
                      <w:szCs w:val="21"/>
                    </w:rPr>
                    <w:t>/</w:t>
                  </w:r>
                </w:p>
              </w:tc>
              <w:tc>
                <w:tcPr>
                  <w:tcW w:w="552" w:type="pct"/>
                  <w:vAlign w:val="center"/>
                </w:tcPr>
                <w:p w14:paraId="0A591BEA">
                  <w:pPr>
                    <w:widowControl/>
                    <w:jc w:val="center"/>
                    <w:rPr>
                      <w:kern w:val="0"/>
                      <w:szCs w:val="21"/>
                    </w:rPr>
                  </w:pPr>
                  <w:r>
                    <w:rPr>
                      <w:kern w:val="0"/>
                      <w:szCs w:val="21"/>
                    </w:rPr>
                    <w:t>管路</w:t>
                  </w:r>
                </w:p>
              </w:tc>
              <w:tc>
                <w:tcPr>
                  <w:tcW w:w="735" w:type="pct"/>
                  <w:vAlign w:val="center"/>
                </w:tcPr>
                <w:p w14:paraId="17909C7A">
                  <w:pPr>
                    <w:widowControl/>
                    <w:jc w:val="center"/>
                    <w:rPr>
                      <w:kern w:val="0"/>
                      <w:szCs w:val="21"/>
                    </w:rPr>
                  </w:pPr>
                  <w:r>
                    <w:rPr>
                      <w:kern w:val="0"/>
                      <w:szCs w:val="21"/>
                    </w:rPr>
                    <w:t>POY、FDY、涤锦、BEY原料</w:t>
                  </w:r>
                </w:p>
              </w:tc>
              <w:tc>
                <w:tcPr>
                  <w:tcW w:w="624" w:type="pct"/>
                  <w:vAlign w:val="center"/>
                </w:tcPr>
                <w:p w14:paraId="21CFBE34">
                  <w:pPr>
                    <w:widowControl/>
                    <w:jc w:val="center"/>
                    <w:rPr>
                      <w:kern w:val="0"/>
                      <w:szCs w:val="21"/>
                    </w:rPr>
                  </w:pPr>
                  <w:r>
                    <w:rPr>
                      <w:kern w:val="0"/>
                      <w:szCs w:val="21"/>
                    </w:rPr>
                    <w:t>聚酯</w:t>
                  </w:r>
                  <w:r>
                    <w:rPr>
                      <w:kern w:val="0"/>
                      <w:szCs w:val="21"/>
                    </w:rPr>
                    <w:br w:type="textWrapping"/>
                  </w:r>
                  <w:r>
                    <w:rPr>
                      <w:kern w:val="0"/>
                      <w:szCs w:val="21"/>
                    </w:rPr>
                    <w:t>车间</w:t>
                  </w:r>
                </w:p>
              </w:tc>
            </w:tr>
            <w:tr w14:paraId="570485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7" w:type="pct"/>
                  <w:vAlign w:val="center"/>
                </w:tcPr>
                <w:p w14:paraId="71988F35">
                  <w:pPr>
                    <w:widowControl/>
                    <w:jc w:val="center"/>
                    <w:rPr>
                      <w:kern w:val="0"/>
                      <w:szCs w:val="21"/>
                    </w:rPr>
                  </w:pPr>
                  <w:r>
                    <w:rPr>
                      <w:kern w:val="0"/>
                      <w:szCs w:val="21"/>
                    </w:rPr>
                    <w:t>2</w:t>
                  </w:r>
                </w:p>
              </w:tc>
              <w:tc>
                <w:tcPr>
                  <w:tcW w:w="681" w:type="pct"/>
                  <w:vAlign w:val="center"/>
                </w:tcPr>
                <w:p w14:paraId="04BAEB94">
                  <w:pPr>
                    <w:widowControl/>
                    <w:jc w:val="center"/>
                    <w:rPr>
                      <w:kern w:val="0"/>
                      <w:szCs w:val="21"/>
                    </w:rPr>
                  </w:pPr>
                  <w:r>
                    <w:rPr>
                      <w:kern w:val="0"/>
                      <w:szCs w:val="21"/>
                    </w:rPr>
                    <w:t>PA6切片</w:t>
                  </w:r>
                </w:p>
              </w:tc>
              <w:tc>
                <w:tcPr>
                  <w:tcW w:w="277" w:type="pct"/>
                  <w:vAlign w:val="center"/>
                </w:tcPr>
                <w:p w14:paraId="11EC420B">
                  <w:pPr>
                    <w:widowControl/>
                    <w:jc w:val="center"/>
                    <w:rPr>
                      <w:kern w:val="0"/>
                      <w:szCs w:val="21"/>
                    </w:rPr>
                  </w:pPr>
                  <w:r>
                    <w:rPr>
                      <w:kern w:val="0"/>
                      <w:szCs w:val="21"/>
                    </w:rPr>
                    <w:t>固</w:t>
                  </w:r>
                </w:p>
              </w:tc>
              <w:tc>
                <w:tcPr>
                  <w:tcW w:w="277" w:type="pct"/>
                  <w:vAlign w:val="center"/>
                </w:tcPr>
                <w:p w14:paraId="2FAE5918">
                  <w:pPr>
                    <w:widowControl/>
                    <w:jc w:val="center"/>
                    <w:rPr>
                      <w:kern w:val="0"/>
                      <w:szCs w:val="21"/>
                    </w:rPr>
                  </w:pPr>
                  <w:r>
                    <w:rPr>
                      <w:kern w:val="0"/>
                      <w:szCs w:val="21"/>
                    </w:rPr>
                    <w:t>t</w:t>
                  </w:r>
                </w:p>
              </w:tc>
              <w:tc>
                <w:tcPr>
                  <w:tcW w:w="651" w:type="pct"/>
                  <w:vAlign w:val="center"/>
                </w:tcPr>
                <w:p w14:paraId="4E9CB0EE">
                  <w:pPr>
                    <w:widowControl/>
                    <w:jc w:val="center"/>
                    <w:rPr>
                      <w:kern w:val="0"/>
                      <w:szCs w:val="21"/>
                    </w:rPr>
                  </w:pPr>
                  <w:r>
                    <w:rPr>
                      <w:szCs w:val="21"/>
                    </w:rPr>
                    <w:t>35000</w:t>
                  </w:r>
                </w:p>
              </w:tc>
              <w:tc>
                <w:tcPr>
                  <w:tcW w:w="467" w:type="pct"/>
                  <w:vAlign w:val="center"/>
                </w:tcPr>
                <w:p w14:paraId="6C3C71AD">
                  <w:pPr>
                    <w:widowControl/>
                    <w:jc w:val="center"/>
                    <w:rPr>
                      <w:kern w:val="0"/>
                      <w:szCs w:val="21"/>
                    </w:rPr>
                  </w:pPr>
                  <w:r>
                    <w:rPr>
                      <w:kern w:val="0"/>
                      <w:szCs w:val="21"/>
                    </w:rPr>
                    <w:t>4.2</w:t>
                  </w:r>
                </w:p>
              </w:tc>
              <w:tc>
                <w:tcPr>
                  <w:tcW w:w="459" w:type="pct"/>
                  <w:vAlign w:val="center"/>
                </w:tcPr>
                <w:p w14:paraId="65E1E42B">
                  <w:pPr>
                    <w:widowControl/>
                    <w:jc w:val="center"/>
                    <w:rPr>
                      <w:kern w:val="0"/>
                      <w:szCs w:val="21"/>
                    </w:rPr>
                  </w:pPr>
                  <w:r>
                    <w:rPr>
                      <w:kern w:val="0"/>
                      <w:szCs w:val="21"/>
                    </w:rPr>
                    <w:t>吨袋</w:t>
                  </w:r>
                </w:p>
              </w:tc>
              <w:tc>
                <w:tcPr>
                  <w:tcW w:w="552" w:type="pct"/>
                  <w:vAlign w:val="center"/>
                </w:tcPr>
                <w:p w14:paraId="25FB3C3C">
                  <w:pPr>
                    <w:widowControl/>
                    <w:jc w:val="center"/>
                    <w:rPr>
                      <w:kern w:val="0"/>
                      <w:szCs w:val="21"/>
                    </w:rPr>
                  </w:pPr>
                  <w:r>
                    <w:rPr>
                      <w:kern w:val="0"/>
                      <w:szCs w:val="21"/>
                    </w:rPr>
                    <w:t>货车</w:t>
                  </w:r>
                </w:p>
              </w:tc>
              <w:tc>
                <w:tcPr>
                  <w:tcW w:w="735" w:type="pct"/>
                  <w:vAlign w:val="center"/>
                </w:tcPr>
                <w:p w14:paraId="324291E1">
                  <w:pPr>
                    <w:widowControl/>
                    <w:jc w:val="center"/>
                    <w:rPr>
                      <w:kern w:val="0"/>
                      <w:szCs w:val="21"/>
                    </w:rPr>
                  </w:pPr>
                  <w:r>
                    <w:rPr>
                      <w:kern w:val="0"/>
                      <w:szCs w:val="21"/>
                    </w:rPr>
                    <w:t>涤锦原料</w:t>
                  </w:r>
                </w:p>
              </w:tc>
              <w:tc>
                <w:tcPr>
                  <w:tcW w:w="624" w:type="pct"/>
                  <w:vAlign w:val="center"/>
                </w:tcPr>
                <w:p w14:paraId="3EE3348A">
                  <w:pPr>
                    <w:widowControl/>
                    <w:jc w:val="center"/>
                    <w:rPr>
                      <w:kern w:val="0"/>
                      <w:szCs w:val="21"/>
                    </w:rPr>
                  </w:pPr>
                  <w:r>
                    <w:rPr>
                      <w:kern w:val="0"/>
                      <w:szCs w:val="21"/>
                    </w:rPr>
                    <w:t xml:space="preserve">外购  </w:t>
                  </w:r>
                </w:p>
              </w:tc>
            </w:tr>
            <w:tr w14:paraId="3D1A05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7" w:type="pct"/>
                  <w:vAlign w:val="center"/>
                </w:tcPr>
                <w:p w14:paraId="638B1951">
                  <w:pPr>
                    <w:widowControl/>
                    <w:jc w:val="center"/>
                    <w:rPr>
                      <w:kern w:val="0"/>
                      <w:szCs w:val="21"/>
                    </w:rPr>
                  </w:pPr>
                  <w:r>
                    <w:rPr>
                      <w:kern w:val="0"/>
                      <w:szCs w:val="21"/>
                    </w:rPr>
                    <w:t>3</w:t>
                  </w:r>
                </w:p>
              </w:tc>
              <w:tc>
                <w:tcPr>
                  <w:tcW w:w="681" w:type="pct"/>
                  <w:vAlign w:val="center"/>
                </w:tcPr>
                <w:p w14:paraId="6A573614">
                  <w:pPr>
                    <w:widowControl/>
                    <w:jc w:val="center"/>
                    <w:rPr>
                      <w:kern w:val="0"/>
                      <w:szCs w:val="21"/>
                    </w:rPr>
                  </w:pPr>
                  <w:r>
                    <w:rPr>
                      <w:kern w:val="0"/>
                      <w:szCs w:val="21"/>
                    </w:rPr>
                    <w:t>PBT切片</w:t>
                  </w:r>
                </w:p>
              </w:tc>
              <w:tc>
                <w:tcPr>
                  <w:tcW w:w="277" w:type="pct"/>
                  <w:vAlign w:val="center"/>
                </w:tcPr>
                <w:p w14:paraId="2EC28E8F">
                  <w:pPr>
                    <w:widowControl/>
                    <w:jc w:val="center"/>
                    <w:rPr>
                      <w:kern w:val="0"/>
                      <w:szCs w:val="21"/>
                    </w:rPr>
                  </w:pPr>
                  <w:r>
                    <w:rPr>
                      <w:kern w:val="0"/>
                      <w:szCs w:val="21"/>
                    </w:rPr>
                    <w:t>固</w:t>
                  </w:r>
                </w:p>
              </w:tc>
              <w:tc>
                <w:tcPr>
                  <w:tcW w:w="277" w:type="pct"/>
                  <w:vAlign w:val="center"/>
                </w:tcPr>
                <w:p w14:paraId="78E3D000">
                  <w:pPr>
                    <w:widowControl/>
                    <w:jc w:val="center"/>
                    <w:rPr>
                      <w:kern w:val="0"/>
                      <w:szCs w:val="21"/>
                    </w:rPr>
                  </w:pPr>
                  <w:r>
                    <w:rPr>
                      <w:kern w:val="0"/>
                      <w:szCs w:val="21"/>
                    </w:rPr>
                    <w:t>t</w:t>
                  </w:r>
                </w:p>
              </w:tc>
              <w:tc>
                <w:tcPr>
                  <w:tcW w:w="651" w:type="pct"/>
                  <w:vAlign w:val="center"/>
                </w:tcPr>
                <w:p w14:paraId="56AF77D9">
                  <w:pPr>
                    <w:widowControl/>
                    <w:jc w:val="center"/>
                    <w:rPr>
                      <w:kern w:val="0"/>
                      <w:szCs w:val="21"/>
                    </w:rPr>
                  </w:pPr>
                  <w:r>
                    <w:rPr>
                      <w:kern w:val="0"/>
                      <w:szCs w:val="21"/>
                    </w:rPr>
                    <w:t>40000</w:t>
                  </w:r>
                </w:p>
              </w:tc>
              <w:tc>
                <w:tcPr>
                  <w:tcW w:w="467" w:type="pct"/>
                  <w:vAlign w:val="center"/>
                </w:tcPr>
                <w:p w14:paraId="2495B6BF">
                  <w:pPr>
                    <w:widowControl/>
                    <w:jc w:val="center"/>
                    <w:rPr>
                      <w:kern w:val="0"/>
                      <w:szCs w:val="21"/>
                    </w:rPr>
                  </w:pPr>
                  <w:r>
                    <w:rPr>
                      <w:kern w:val="0"/>
                      <w:szCs w:val="21"/>
                    </w:rPr>
                    <w:t>4</w:t>
                  </w:r>
                </w:p>
              </w:tc>
              <w:tc>
                <w:tcPr>
                  <w:tcW w:w="459" w:type="pct"/>
                  <w:vAlign w:val="center"/>
                </w:tcPr>
                <w:p w14:paraId="1E907AFB">
                  <w:pPr>
                    <w:widowControl/>
                    <w:jc w:val="center"/>
                    <w:rPr>
                      <w:kern w:val="0"/>
                      <w:szCs w:val="21"/>
                    </w:rPr>
                  </w:pPr>
                  <w:r>
                    <w:rPr>
                      <w:kern w:val="0"/>
                      <w:szCs w:val="21"/>
                    </w:rPr>
                    <w:t>吨袋</w:t>
                  </w:r>
                </w:p>
              </w:tc>
              <w:tc>
                <w:tcPr>
                  <w:tcW w:w="552" w:type="pct"/>
                  <w:vAlign w:val="center"/>
                </w:tcPr>
                <w:p w14:paraId="27CAAE80">
                  <w:pPr>
                    <w:widowControl/>
                    <w:jc w:val="center"/>
                    <w:rPr>
                      <w:kern w:val="0"/>
                      <w:szCs w:val="21"/>
                    </w:rPr>
                  </w:pPr>
                  <w:r>
                    <w:rPr>
                      <w:kern w:val="0"/>
                      <w:szCs w:val="21"/>
                    </w:rPr>
                    <w:t>货车</w:t>
                  </w:r>
                </w:p>
              </w:tc>
              <w:tc>
                <w:tcPr>
                  <w:tcW w:w="735" w:type="pct"/>
                  <w:vAlign w:val="center"/>
                </w:tcPr>
                <w:p w14:paraId="25952AA3">
                  <w:pPr>
                    <w:widowControl/>
                    <w:jc w:val="center"/>
                    <w:rPr>
                      <w:kern w:val="0"/>
                      <w:szCs w:val="21"/>
                    </w:rPr>
                  </w:pPr>
                  <w:r>
                    <w:rPr>
                      <w:kern w:val="0"/>
                      <w:szCs w:val="21"/>
                    </w:rPr>
                    <w:t>BEY原料</w:t>
                  </w:r>
                </w:p>
              </w:tc>
              <w:tc>
                <w:tcPr>
                  <w:tcW w:w="624" w:type="pct"/>
                  <w:vAlign w:val="center"/>
                </w:tcPr>
                <w:p w14:paraId="6691634A">
                  <w:pPr>
                    <w:widowControl/>
                    <w:jc w:val="center"/>
                    <w:rPr>
                      <w:kern w:val="0"/>
                      <w:szCs w:val="21"/>
                    </w:rPr>
                  </w:pPr>
                  <w:r>
                    <w:rPr>
                      <w:kern w:val="0"/>
                      <w:szCs w:val="21"/>
                    </w:rPr>
                    <w:t>外购</w:t>
                  </w:r>
                </w:p>
              </w:tc>
            </w:tr>
            <w:tr w14:paraId="72948B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77" w:type="pct"/>
                  <w:vAlign w:val="center"/>
                </w:tcPr>
                <w:p w14:paraId="2A63F2C2">
                  <w:pPr>
                    <w:widowControl/>
                    <w:jc w:val="center"/>
                    <w:rPr>
                      <w:kern w:val="0"/>
                      <w:szCs w:val="21"/>
                    </w:rPr>
                  </w:pPr>
                  <w:r>
                    <w:rPr>
                      <w:kern w:val="0"/>
                      <w:szCs w:val="21"/>
                    </w:rPr>
                    <w:t>4</w:t>
                  </w:r>
                </w:p>
              </w:tc>
              <w:tc>
                <w:tcPr>
                  <w:tcW w:w="681" w:type="pct"/>
                  <w:vAlign w:val="center"/>
                </w:tcPr>
                <w:p w14:paraId="5764B306">
                  <w:pPr>
                    <w:widowControl/>
                    <w:jc w:val="center"/>
                    <w:rPr>
                      <w:kern w:val="0"/>
                      <w:szCs w:val="21"/>
                    </w:rPr>
                  </w:pPr>
                  <w:r>
                    <w:rPr>
                      <w:kern w:val="0"/>
                      <w:szCs w:val="21"/>
                    </w:rPr>
                    <w:t>废丝</w:t>
                  </w:r>
                </w:p>
              </w:tc>
              <w:tc>
                <w:tcPr>
                  <w:tcW w:w="277" w:type="pct"/>
                  <w:vAlign w:val="center"/>
                </w:tcPr>
                <w:p w14:paraId="4D34D002">
                  <w:pPr>
                    <w:widowControl/>
                    <w:jc w:val="center"/>
                    <w:rPr>
                      <w:kern w:val="0"/>
                      <w:szCs w:val="21"/>
                    </w:rPr>
                  </w:pPr>
                  <w:r>
                    <w:rPr>
                      <w:kern w:val="0"/>
                      <w:szCs w:val="21"/>
                    </w:rPr>
                    <w:t>固</w:t>
                  </w:r>
                </w:p>
              </w:tc>
              <w:tc>
                <w:tcPr>
                  <w:tcW w:w="277" w:type="pct"/>
                  <w:vAlign w:val="center"/>
                </w:tcPr>
                <w:p w14:paraId="7E1CCCF7">
                  <w:pPr>
                    <w:widowControl/>
                    <w:jc w:val="center"/>
                    <w:rPr>
                      <w:kern w:val="0"/>
                      <w:szCs w:val="21"/>
                    </w:rPr>
                  </w:pPr>
                  <w:r>
                    <w:rPr>
                      <w:kern w:val="0"/>
                      <w:szCs w:val="21"/>
                    </w:rPr>
                    <w:t>t</w:t>
                  </w:r>
                </w:p>
              </w:tc>
              <w:tc>
                <w:tcPr>
                  <w:tcW w:w="651" w:type="pct"/>
                  <w:vAlign w:val="center"/>
                </w:tcPr>
                <w:p w14:paraId="31F023AE">
                  <w:pPr>
                    <w:widowControl/>
                    <w:jc w:val="center"/>
                    <w:rPr>
                      <w:kern w:val="0"/>
                      <w:szCs w:val="21"/>
                    </w:rPr>
                  </w:pPr>
                  <w:r>
                    <w:rPr>
                      <w:kern w:val="0"/>
                      <w:szCs w:val="21"/>
                    </w:rPr>
                    <w:t>24232</w:t>
                  </w:r>
                </w:p>
              </w:tc>
              <w:tc>
                <w:tcPr>
                  <w:tcW w:w="467" w:type="pct"/>
                  <w:vAlign w:val="center"/>
                </w:tcPr>
                <w:p w14:paraId="64959F1A">
                  <w:pPr>
                    <w:widowControl/>
                    <w:jc w:val="center"/>
                    <w:rPr>
                      <w:kern w:val="0"/>
                      <w:szCs w:val="21"/>
                    </w:rPr>
                  </w:pPr>
                  <w:r>
                    <w:rPr>
                      <w:kern w:val="0"/>
                      <w:szCs w:val="21"/>
                    </w:rPr>
                    <w:t>1200</w:t>
                  </w:r>
                </w:p>
              </w:tc>
              <w:tc>
                <w:tcPr>
                  <w:tcW w:w="459" w:type="pct"/>
                  <w:vAlign w:val="center"/>
                </w:tcPr>
                <w:p w14:paraId="5B05A0EE">
                  <w:pPr>
                    <w:widowControl/>
                    <w:jc w:val="center"/>
                    <w:rPr>
                      <w:kern w:val="0"/>
                      <w:szCs w:val="21"/>
                    </w:rPr>
                  </w:pPr>
                  <w:r>
                    <w:rPr>
                      <w:kern w:val="0"/>
                      <w:szCs w:val="21"/>
                    </w:rPr>
                    <w:t>吨袋</w:t>
                  </w:r>
                </w:p>
              </w:tc>
              <w:tc>
                <w:tcPr>
                  <w:tcW w:w="552" w:type="pct"/>
                  <w:vAlign w:val="center"/>
                </w:tcPr>
                <w:p w14:paraId="01FBA74D">
                  <w:pPr>
                    <w:widowControl/>
                    <w:jc w:val="center"/>
                    <w:rPr>
                      <w:kern w:val="0"/>
                      <w:szCs w:val="21"/>
                    </w:rPr>
                  </w:pPr>
                  <w:r>
                    <w:rPr>
                      <w:kern w:val="0"/>
                      <w:szCs w:val="21"/>
                    </w:rPr>
                    <w:t>货车、叉车</w:t>
                  </w:r>
                </w:p>
              </w:tc>
              <w:tc>
                <w:tcPr>
                  <w:tcW w:w="735" w:type="pct"/>
                  <w:vAlign w:val="center"/>
                </w:tcPr>
                <w:p w14:paraId="2E4DEA79">
                  <w:pPr>
                    <w:widowControl/>
                    <w:jc w:val="center"/>
                    <w:rPr>
                      <w:kern w:val="0"/>
                      <w:szCs w:val="21"/>
                    </w:rPr>
                  </w:pPr>
                  <w:r>
                    <w:rPr>
                      <w:kern w:val="0"/>
                      <w:szCs w:val="21"/>
                    </w:rPr>
                    <w:t>回收摩擦料</w:t>
                  </w:r>
                </w:p>
              </w:tc>
              <w:tc>
                <w:tcPr>
                  <w:tcW w:w="624" w:type="pct"/>
                  <w:vAlign w:val="center"/>
                </w:tcPr>
                <w:p w14:paraId="7E28F1F5">
                  <w:pPr>
                    <w:widowControl/>
                    <w:jc w:val="center"/>
                    <w:rPr>
                      <w:kern w:val="0"/>
                      <w:szCs w:val="21"/>
                    </w:rPr>
                  </w:pPr>
                  <w:r>
                    <w:rPr>
                      <w:kern w:val="0"/>
                      <w:szCs w:val="21"/>
                    </w:rPr>
                    <w:t>集团内部回收</w:t>
                  </w:r>
                </w:p>
              </w:tc>
            </w:tr>
            <w:tr w14:paraId="43C5C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77" w:type="pct"/>
                  <w:vAlign w:val="center"/>
                </w:tcPr>
                <w:p w14:paraId="47BFECDA">
                  <w:pPr>
                    <w:widowControl/>
                    <w:jc w:val="center"/>
                    <w:rPr>
                      <w:kern w:val="0"/>
                      <w:szCs w:val="21"/>
                    </w:rPr>
                  </w:pPr>
                  <w:r>
                    <w:rPr>
                      <w:kern w:val="0"/>
                      <w:szCs w:val="21"/>
                    </w:rPr>
                    <w:t>5</w:t>
                  </w:r>
                </w:p>
              </w:tc>
              <w:tc>
                <w:tcPr>
                  <w:tcW w:w="681" w:type="pct"/>
                  <w:vAlign w:val="center"/>
                </w:tcPr>
                <w:p w14:paraId="28EE423C">
                  <w:pPr>
                    <w:widowControl/>
                    <w:jc w:val="center"/>
                    <w:rPr>
                      <w:kern w:val="0"/>
                      <w:szCs w:val="21"/>
                    </w:rPr>
                  </w:pPr>
                  <w:r>
                    <w:rPr>
                      <w:kern w:val="0"/>
                      <w:szCs w:val="21"/>
                    </w:rPr>
                    <w:t>纺丝油剂</w:t>
                  </w:r>
                </w:p>
              </w:tc>
              <w:tc>
                <w:tcPr>
                  <w:tcW w:w="277" w:type="pct"/>
                  <w:vAlign w:val="center"/>
                </w:tcPr>
                <w:p w14:paraId="576FC5DF">
                  <w:pPr>
                    <w:widowControl/>
                    <w:jc w:val="center"/>
                    <w:rPr>
                      <w:kern w:val="0"/>
                      <w:szCs w:val="21"/>
                    </w:rPr>
                  </w:pPr>
                  <w:r>
                    <w:rPr>
                      <w:kern w:val="0"/>
                      <w:szCs w:val="21"/>
                    </w:rPr>
                    <w:t>液</w:t>
                  </w:r>
                </w:p>
              </w:tc>
              <w:tc>
                <w:tcPr>
                  <w:tcW w:w="277" w:type="pct"/>
                  <w:vAlign w:val="center"/>
                </w:tcPr>
                <w:p w14:paraId="7606E030">
                  <w:pPr>
                    <w:widowControl/>
                    <w:jc w:val="center"/>
                    <w:rPr>
                      <w:kern w:val="0"/>
                      <w:szCs w:val="21"/>
                    </w:rPr>
                  </w:pPr>
                  <w:r>
                    <w:rPr>
                      <w:kern w:val="0"/>
                      <w:szCs w:val="21"/>
                    </w:rPr>
                    <w:t>t</w:t>
                  </w:r>
                </w:p>
              </w:tc>
              <w:tc>
                <w:tcPr>
                  <w:tcW w:w="651" w:type="pct"/>
                  <w:vAlign w:val="center"/>
                </w:tcPr>
                <w:p w14:paraId="00D38C06">
                  <w:pPr>
                    <w:widowControl/>
                    <w:jc w:val="center"/>
                    <w:rPr>
                      <w:kern w:val="0"/>
                      <w:szCs w:val="21"/>
                    </w:rPr>
                  </w:pPr>
                  <w:r>
                    <w:rPr>
                      <w:kern w:val="0"/>
                      <w:szCs w:val="21"/>
                    </w:rPr>
                    <w:t>4157.7</w:t>
                  </w:r>
                </w:p>
              </w:tc>
              <w:tc>
                <w:tcPr>
                  <w:tcW w:w="467" w:type="pct"/>
                  <w:vAlign w:val="center"/>
                </w:tcPr>
                <w:p w14:paraId="4EAF7BF3">
                  <w:pPr>
                    <w:widowControl/>
                    <w:jc w:val="center"/>
                    <w:rPr>
                      <w:kern w:val="0"/>
                      <w:szCs w:val="21"/>
                    </w:rPr>
                  </w:pPr>
                  <w:r>
                    <w:rPr>
                      <w:kern w:val="0"/>
                      <w:szCs w:val="21"/>
                    </w:rPr>
                    <w:t>177.2</w:t>
                  </w:r>
                </w:p>
              </w:tc>
              <w:tc>
                <w:tcPr>
                  <w:tcW w:w="459" w:type="pct"/>
                  <w:vAlign w:val="center"/>
                </w:tcPr>
                <w:p w14:paraId="3D32F4D7">
                  <w:pPr>
                    <w:widowControl/>
                    <w:jc w:val="center"/>
                    <w:rPr>
                      <w:kern w:val="0"/>
                      <w:szCs w:val="21"/>
                    </w:rPr>
                  </w:pPr>
                  <w:r>
                    <w:rPr>
                      <w:kern w:val="0"/>
                      <w:szCs w:val="21"/>
                    </w:rPr>
                    <w:t>桶装</w:t>
                  </w:r>
                </w:p>
              </w:tc>
              <w:tc>
                <w:tcPr>
                  <w:tcW w:w="552" w:type="pct"/>
                  <w:vAlign w:val="center"/>
                </w:tcPr>
                <w:p w14:paraId="66E7C00F">
                  <w:pPr>
                    <w:widowControl/>
                    <w:jc w:val="center"/>
                    <w:rPr>
                      <w:kern w:val="0"/>
                      <w:szCs w:val="21"/>
                    </w:rPr>
                  </w:pPr>
                  <w:r>
                    <w:rPr>
                      <w:kern w:val="0"/>
                      <w:szCs w:val="21"/>
                    </w:rPr>
                    <w:t>货车</w:t>
                  </w:r>
                </w:p>
              </w:tc>
              <w:tc>
                <w:tcPr>
                  <w:tcW w:w="735" w:type="pct"/>
                  <w:vAlign w:val="center"/>
                </w:tcPr>
                <w:p w14:paraId="63BFE520">
                  <w:pPr>
                    <w:widowControl/>
                    <w:jc w:val="center"/>
                    <w:rPr>
                      <w:kern w:val="0"/>
                      <w:szCs w:val="21"/>
                    </w:rPr>
                  </w:pPr>
                  <w:r>
                    <w:rPr>
                      <w:kern w:val="0"/>
                      <w:szCs w:val="21"/>
                    </w:rPr>
                    <w:t>纺丝辅料</w:t>
                  </w:r>
                </w:p>
              </w:tc>
              <w:tc>
                <w:tcPr>
                  <w:tcW w:w="624" w:type="pct"/>
                  <w:vAlign w:val="center"/>
                </w:tcPr>
                <w:p w14:paraId="53C5E91F">
                  <w:pPr>
                    <w:widowControl/>
                    <w:jc w:val="center"/>
                    <w:rPr>
                      <w:kern w:val="0"/>
                      <w:szCs w:val="21"/>
                    </w:rPr>
                  </w:pPr>
                  <w:r>
                    <w:rPr>
                      <w:kern w:val="0"/>
                      <w:szCs w:val="21"/>
                    </w:rPr>
                    <w:t>外购</w:t>
                  </w:r>
                </w:p>
              </w:tc>
            </w:tr>
            <w:tr w14:paraId="6A1369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77" w:type="pct"/>
                  <w:vAlign w:val="center"/>
                </w:tcPr>
                <w:p w14:paraId="15E6666B">
                  <w:pPr>
                    <w:widowControl/>
                    <w:jc w:val="center"/>
                    <w:rPr>
                      <w:kern w:val="0"/>
                      <w:szCs w:val="21"/>
                    </w:rPr>
                  </w:pPr>
                  <w:r>
                    <w:rPr>
                      <w:kern w:val="0"/>
                      <w:szCs w:val="21"/>
                    </w:rPr>
                    <w:t>6</w:t>
                  </w:r>
                </w:p>
              </w:tc>
              <w:tc>
                <w:tcPr>
                  <w:tcW w:w="681" w:type="pct"/>
                  <w:vAlign w:val="center"/>
                </w:tcPr>
                <w:p w14:paraId="42F3C1BB">
                  <w:pPr>
                    <w:widowControl/>
                    <w:jc w:val="center"/>
                    <w:rPr>
                      <w:kern w:val="0"/>
                      <w:szCs w:val="21"/>
                    </w:rPr>
                  </w:pPr>
                  <w:r>
                    <w:rPr>
                      <w:kern w:val="0"/>
                      <w:szCs w:val="21"/>
                    </w:rPr>
                    <w:t>NaOH</w:t>
                  </w:r>
                </w:p>
              </w:tc>
              <w:tc>
                <w:tcPr>
                  <w:tcW w:w="277" w:type="pct"/>
                  <w:vAlign w:val="center"/>
                </w:tcPr>
                <w:p w14:paraId="1C5BF8E1">
                  <w:pPr>
                    <w:widowControl/>
                    <w:jc w:val="center"/>
                    <w:rPr>
                      <w:kern w:val="0"/>
                      <w:szCs w:val="21"/>
                    </w:rPr>
                  </w:pPr>
                  <w:r>
                    <w:rPr>
                      <w:kern w:val="0"/>
                      <w:szCs w:val="21"/>
                    </w:rPr>
                    <w:t>液</w:t>
                  </w:r>
                </w:p>
              </w:tc>
              <w:tc>
                <w:tcPr>
                  <w:tcW w:w="277" w:type="pct"/>
                  <w:vAlign w:val="center"/>
                </w:tcPr>
                <w:p w14:paraId="0F679054">
                  <w:pPr>
                    <w:widowControl/>
                    <w:jc w:val="center"/>
                    <w:rPr>
                      <w:kern w:val="0"/>
                      <w:szCs w:val="21"/>
                    </w:rPr>
                  </w:pPr>
                  <w:r>
                    <w:rPr>
                      <w:kern w:val="0"/>
                      <w:szCs w:val="21"/>
                    </w:rPr>
                    <w:t>t</w:t>
                  </w:r>
                </w:p>
              </w:tc>
              <w:tc>
                <w:tcPr>
                  <w:tcW w:w="651" w:type="pct"/>
                  <w:vAlign w:val="center"/>
                </w:tcPr>
                <w:p w14:paraId="1318B006">
                  <w:pPr>
                    <w:widowControl/>
                    <w:jc w:val="center"/>
                    <w:rPr>
                      <w:kern w:val="0"/>
                      <w:szCs w:val="21"/>
                    </w:rPr>
                  </w:pPr>
                  <w:r>
                    <w:rPr>
                      <w:kern w:val="0"/>
                      <w:szCs w:val="21"/>
                    </w:rPr>
                    <w:t>72</w:t>
                  </w:r>
                </w:p>
              </w:tc>
              <w:tc>
                <w:tcPr>
                  <w:tcW w:w="467" w:type="pct"/>
                  <w:vAlign w:val="center"/>
                </w:tcPr>
                <w:p w14:paraId="352590ED">
                  <w:pPr>
                    <w:widowControl/>
                    <w:jc w:val="center"/>
                    <w:rPr>
                      <w:kern w:val="0"/>
                      <w:szCs w:val="21"/>
                    </w:rPr>
                  </w:pPr>
                  <w:r>
                    <w:rPr>
                      <w:kern w:val="0"/>
                      <w:szCs w:val="21"/>
                    </w:rPr>
                    <w:t>12</w:t>
                  </w:r>
                </w:p>
              </w:tc>
              <w:tc>
                <w:tcPr>
                  <w:tcW w:w="459" w:type="pct"/>
                  <w:vAlign w:val="center"/>
                </w:tcPr>
                <w:p w14:paraId="7D359728">
                  <w:pPr>
                    <w:widowControl/>
                    <w:jc w:val="center"/>
                    <w:rPr>
                      <w:kern w:val="0"/>
                      <w:szCs w:val="21"/>
                    </w:rPr>
                  </w:pPr>
                  <w:r>
                    <w:rPr>
                      <w:kern w:val="0"/>
                      <w:szCs w:val="21"/>
                    </w:rPr>
                    <w:t>桶装</w:t>
                  </w:r>
                </w:p>
              </w:tc>
              <w:tc>
                <w:tcPr>
                  <w:tcW w:w="552" w:type="pct"/>
                  <w:vAlign w:val="center"/>
                </w:tcPr>
                <w:p w14:paraId="0BF4C92E">
                  <w:pPr>
                    <w:widowControl/>
                    <w:jc w:val="center"/>
                    <w:rPr>
                      <w:kern w:val="0"/>
                      <w:szCs w:val="21"/>
                    </w:rPr>
                  </w:pPr>
                  <w:r>
                    <w:rPr>
                      <w:kern w:val="0"/>
                      <w:szCs w:val="21"/>
                    </w:rPr>
                    <w:t>货车</w:t>
                  </w:r>
                </w:p>
              </w:tc>
              <w:tc>
                <w:tcPr>
                  <w:tcW w:w="735" w:type="pct"/>
                  <w:vAlign w:val="center"/>
                </w:tcPr>
                <w:p w14:paraId="48D68FB3">
                  <w:pPr>
                    <w:widowControl/>
                    <w:jc w:val="center"/>
                    <w:rPr>
                      <w:kern w:val="0"/>
                      <w:szCs w:val="21"/>
                    </w:rPr>
                  </w:pPr>
                  <w:r>
                    <w:rPr>
                      <w:kern w:val="0"/>
                      <w:szCs w:val="21"/>
                    </w:rPr>
                    <w:t>清洗剂</w:t>
                  </w:r>
                </w:p>
              </w:tc>
              <w:tc>
                <w:tcPr>
                  <w:tcW w:w="624" w:type="pct"/>
                  <w:vAlign w:val="center"/>
                </w:tcPr>
                <w:p w14:paraId="6A53A363">
                  <w:pPr>
                    <w:widowControl/>
                    <w:jc w:val="center"/>
                    <w:rPr>
                      <w:kern w:val="0"/>
                      <w:szCs w:val="21"/>
                    </w:rPr>
                  </w:pPr>
                  <w:r>
                    <w:rPr>
                      <w:kern w:val="0"/>
                      <w:szCs w:val="21"/>
                    </w:rPr>
                    <w:t>外购</w:t>
                  </w:r>
                </w:p>
              </w:tc>
            </w:tr>
            <w:tr w14:paraId="0BCA52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77" w:type="pct"/>
                  <w:vAlign w:val="center"/>
                </w:tcPr>
                <w:p w14:paraId="063666D1">
                  <w:pPr>
                    <w:widowControl/>
                    <w:jc w:val="center"/>
                    <w:rPr>
                      <w:kern w:val="0"/>
                      <w:szCs w:val="21"/>
                    </w:rPr>
                  </w:pPr>
                  <w:r>
                    <w:rPr>
                      <w:kern w:val="0"/>
                      <w:szCs w:val="21"/>
                    </w:rPr>
                    <w:t>7</w:t>
                  </w:r>
                </w:p>
              </w:tc>
              <w:tc>
                <w:tcPr>
                  <w:tcW w:w="681" w:type="pct"/>
                  <w:vAlign w:val="center"/>
                </w:tcPr>
                <w:p w14:paraId="70130264">
                  <w:pPr>
                    <w:widowControl/>
                    <w:jc w:val="center"/>
                    <w:rPr>
                      <w:kern w:val="0"/>
                      <w:szCs w:val="21"/>
                    </w:rPr>
                  </w:pPr>
                  <w:r>
                    <w:rPr>
                      <w:kern w:val="0"/>
                      <w:szCs w:val="21"/>
                    </w:rPr>
                    <w:t>柴油</w:t>
                  </w:r>
                </w:p>
              </w:tc>
              <w:tc>
                <w:tcPr>
                  <w:tcW w:w="277" w:type="pct"/>
                  <w:vAlign w:val="center"/>
                </w:tcPr>
                <w:p w14:paraId="244FA573">
                  <w:pPr>
                    <w:widowControl/>
                    <w:jc w:val="center"/>
                    <w:rPr>
                      <w:kern w:val="0"/>
                      <w:szCs w:val="21"/>
                    </w:rPr>
                  </w:pPr>
                  <w:r>
                    <w:rPr>
                      <w:kern w:val="0"/>
                      <w:szCs w:val="21"/>
                    </w:rPr>
                    <w:t>液</w:t>
                  </w:r>
                </w:p>
              </w:tc>
              <w:tc>
                <w:tcPr>
                  <w:tcW w:w="277" w:type="pct"/>
                  <w:vAlign w:val="center"/>
                </w:tcPr>
                <w:p w14:paraId="1E8AEEA4">
                  <w:pPr>
                    <w:widowControl/>
                    <w:jc w:val="center"/>
                    <w:rPr>
                      <w:kern w:val="0"/>
                      <w:szCs w:val="21"/>
                    </w:rPr>
                  </w:pPr>
                  <w:r>
                    <w:rPr>
                      <w:kern w:val="0"/>
                      <w:szCs w:val="21"/>
                    </w:rPr>
                    <w:t>t</w:t>
                  </w:r>
                </w:p>
              </w:tc>
              <w:tc>
                <w:tcPr>
                  <w:tcW w:w="651" w:type="pct"/>
                  <w:vAlign w:val="center"/>
                </w:tcPr>
                <w:p w14:paraId="52F1D674">
                  <w:pPr>
                    <w:widowControl/>
                    <w:jc w:val="center"/>
                    <w:rPr>
                      <w:kern w:val="0"/>
                      <w:szCs w:val="21"/>
                    </w:rPr>
                  </w:pPr>
                  <w:r>
                    <w:rPr>
                      <w:kern w:val="0"/>
                      <w:szCs w:val="21"/>
                    </w:rPr>
                    <w:t>500</w:t>
                  </w:r>
                </w:p>
              </w:tc>
              <w:tc>
                <w:tcPr>
                  <w:tcW w:w="467" w:type="pct"/>
                  <w:vAlign w:val="center"/>
                </w:tcPr>
                <w:p w14:paraId="22BD07EB">
                  <w:pPr>
                    <w:widowControl/>
                    <w:jc w:val="center"/>
                    <w:rPr>
                      <w:kern w:val="0"/>
                      <w:szCs w:val="21"/>
                    </w:rPr>
                  </w:pPr>
                  <w:r>
                    <w:rPr>
                      <w:kern w:val="0"/>
                      <w:szCs w:val="21"/>
                    </w:rPr>
                    <w:t>35</w:t>
                  </w:r>
                </w:p>
              </w:tc>
              <w:tc>
                <w:tcPr>
                  <w:tcW w:w="459" w:type="pct"/>
                  <w:vAlign w:val="center"/>
                </w:tcPr>
                <w:p w14:paraId="48E58BCD">
                  <w:pPr>
                    <w:widowControl/>
                    <w:jc w:val="center"/>
                    <w:rPr>
                      <w:kern w:val="0"/>
                      <w:szCs w:val="21"/>
                    </w:rPr>
                  </w:pPr>
                  <w:r>
                    <w:rPr>
                      <w:kern w:val="0"/>
                      <w:szCs w:val="21"/>
                    </w:rPr>
                    <w:t>储罐</w:t>
                  </w:r>
                </w:p>
              </w:tc>
              <w:tc>
                <w:tcPr>
                  <w:tcW w:w="552" w:type="pct"/>
                  <w:vAlign w:val="center"/>
                </w:tcPr>
                <w:p w14:paraId="2931119D">
                  <w:pPr>
                    <w:widowControl/>
                    <w:jc w:val="center"/>
                    <w:rPr>
                      <w:kern w:val="0"/>
                      <w:szCs w:val="21"/>
                    </w:rPr>
                  </w:pPr>
                  <w:r>
                    <w:rPr>
                      <w:kern w:val="0"/>
                      <w:szCs w:val="21"/>
                    </w:rPr>
                    <w:t>货车</w:t>
                  </w:r>
                </w:p>
              </w:tc>
              <w:tc>
                <w:tcPr>
                  <w:tcW w:w="735" w:type="pct"/>
                  <w:vAlign w:val="center"/>
                </w:tcPr>
                <w:p w14:paraId="5A7D7B37">
                  <w:pPr>
                    <w:widowControl/>
                    <w:jc w:val="center"/>
                    <w:rPr>
                      <w:kern w:val="0"/>
                      <w:szCs w:val="21"/>
                    </w:rPr>
                  </w:pPr>
                  <w:r>
                    <w:rPr>
                      <w:kern w:val="0"/>
                      <w:szCs w:val="21"/>
                    </w:rPr>
                    <w:t>燃料</w:t>
                  </w:r>
                </w:p>
              </w:tc>
              <w:tc>
                <w:tcPr>
                  <w:tcW w:w="624" w:type="pct"/>
                  <w:vAlign w:val="center"/>
                </w:tcPr>
                <w:p w14:paraId="1AECDC40">
                  <w:pPr>
                    <w:widowControl/>
                    <w:jc w:val="center"/>
                    <w:rPr>
                      <w:kern w:val="0"/>
                      <w:szCs w:val="21"/>
                    </w:rPr>
                  </w:pPr>
                  <w:r>
                    <w:rPr>
                      <w:kern w:val="0"/>
                      <w:szCs w:val="21"/>
                    </w:rPr>
                    <w:t>外购</w:t>
                  </w:r>
                </w:p>
              </w:tc>
            </w:tr>
          </w:tbl>
          <w:p w14:paraId="199C49A3">
            <w:pPr>
              <w:pStyle w:val="76"/>
              <w:spacing w:line="500" w:lineRule="exact"/>
              <w:ind w:firstLine="480"/>
            </w:pPr>
            <w:r>
              <w:t>主要产品及原辅料理化性质见下表。</w:t>
            </w:r>
          </w:p>
          <w:p w14:paraId="1BC1AB8A">
            <w:pPr>
              <w:adjustRightInd w:val="0"/>
              <w:snapToGrid w:val="0"/>
              <w:spacing w:line="500" w:lineRule="exact"/>
              <w:jc w:val="center"/>
              <w:rPr>
                <w:b/>
                <w:sz w:val="24"/>
              </w:rPr>
            </w:pPr>
            <w:r>
              <w:rPr>
                <w:b/>
                <w:sz w:val="24"/>
              </w:rPr>
              <w:t>表2-</w:t>
            </w:r>
            <w:r>
              <w:rPr>
                <w:rFonts w:hint="eastAsia"/>
                <w:b/>
                <w:sz w:val="24"/>
              </w:rPr>
              <w:t>10</w:t>
            </w:r>
            <w:r>
              <w:rPr>
                <w:b/>
                <w:sz w:val="24"/>
              </w:rPr>
              <w:t>主要原辅材料理化性质一览表</w:t>
            </w:r>
          </w:p>
          <w:tbl>
            <w:tblPr>
              <w:tblStyle w:val="92"/>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2114"/>
              <w:gridCol w:w="2012"/>
              <w:gridCol w:w="1483"/>
              <w:gridCol w:w="1268"/>
            </w:tblGrid>
            <w:tr w14:paraId="5CEFE2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1" w:type="pct"/>
                  <w:vAlign w:val="center"/>
                </w:tcPr>
                <w:p w14:paraId="6FDE7EE2">
                  <w:pPr>
                    <w:spacing w:line="320" w:lineRule="exact"/>
                    <w:jc w:val="center"/>
                    <w:rPr>
                      <w:b/>
                      <w:bCs/>
                      <w:szCs w:val="21"/>
                    </w:rPr>
                  </w:pPr>
                  <w:r>
                    <w:rPr>
                      <w:b/>
                      <w:bCs/>
                      <w:szCs w:val="21"/>
                    </w:rPr>
                    <w:t>名称</w:t>
                  </w:r>
                </w:p>
              </w:tc>
              <w:tc>
                <w:tcPr>
                  <w:tcW w:w="1195" w:type="pct"/>
                  <w:vAlign w:val="center"/>
                </w:tcPr>
                <w:p w14:paraId="45B69551">
                  <w:pPr>
                    <w:spacing w:line="320" w:lineRule="exact"/>
                    <w:jc w:val="center"/>
                    <w:rPr>
                      <w:b/>
                      <w:bCs/>
                      <w:szCs w:val="21"/>
                    </w:rPr>
                  </w:pPr>
                  <w:r>
                    <w:rPr>
                      <w:b/>
                      <w:bCs/>
                      <w:szCs w:val="21"/>
                    </w:rPr>
                    <w:t>成分</w:t>
                  </w:r>
                </w:p>
              </w:tc>
              <w:tc>
                <w:tcPr>
                  <w:tcW w:w="1246" w:type="pct"/>
                  <w:vAlign w:val="center"/>
                </w:tcPr>
                <w:p w14:paraId="088B2FF4">
                  <w:pPr>
                    <w:spacing w:line="320" w:lineRule="exact"/>
                    <w:jc w:val="center"/>
                    <w:rPr>
                      <w:b/>
                      <w:bCs/>
                      <w:szCs w:val="21"/>
                    </w:rPr>
                  </w:pPr>
                  <w:r>
                    <w:rPr>
                      <w:b/>
                      <w:bCs/>
                      <w:szCs w:val="21"/>
                    </w:rPr>
                    <w:t>理化性质</w:t>
                  </w:r>
                </w:p>
              </w:tc>
              <w:tc>
                <w:tcPr>
                  <w:tcW w:w="987" w:type="pct"/>
                  <w:vAlign w:val="center"/>
                </w:tcPr>
                <w:p w14:paraId="5EBB49DA">
                  <w:pPr>
                    <w:spacing w:line="320" w:lineRule="exact"/>
                    <w:jc w:val="center"/>
                    <w:rPr>
                      <w:b/>
                      <w:bCs/>
                      <w:szCs w:val="21"/>
                    </w:rPr>
                  </w:pPr>
                  <w:r>
                    <w:rPr>
                      <w:b/>
                      <w:bCs/>
                      <w:szCs w:val="21"/>
                    </w:rPr>
                    <w:t>燃烧爆炸性</w:t>
                  </w:r>
                </w:p>
              </w:tc>
              <w:tc>
                <w:tcPr>
                  <w:tcW w:w="851" w:type="pct"/>
                  <w:vAlign w:val="center"/>
                </w:tcPr>
                <w:p w14:paraId="520D2276">
                  <w:pPr>
                    <w:spacing w:line="320" w:lineRule="exact"/>
                    <w:jc w:val="center"/>
                    <w:rPr>
                      <w:b/>
                      <w:bCs/>
                      <w:szCs w:val="21"/>
                    </w:rPr>
                  </w:pPr>
                  <w:r>
                    <w:rPr>
                      <w:b/>
                      <w:bCs/>
                      <w:szCs w:val="21"/>
                    </w:rPr>
                    <w:t>毒理毒性</w:t>
                  </w:r>
                </w:p>
              </w:tc>
            </w:tr>
            <w:tr w14:paraId="3064F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Align w:val="center"/>
                </w:tcPr>
                <w:p w14:paraId="79DBEB4B">
                  <w:pPr>
                    <w:spacing w:line="320" w:lineRule="exact"/>
                    <w:jc w:val="center"/>
                    <w:rPr>
                      <w:bCs/>
                      <w:szCs w:val="21"/>
                    </w:rPr>
                  </w:pPr>
                  <w:r>
                    <w:rPr>
                      <w:bCs/>
                      <w:szCs w:val="21"/>
                    </w:rPr>
                    <w:t>聚酯熔体</w:t>
                  </w:r>
                </w:p>
              </w:tc>
              <w:tc>
                <w:tcPr>
                  <w:tcW w:w="1195" w:type="pct"/>
                  <w:vAlign w:val="center"/>
                </w:tcPr>
                <w:p w14:paraId="04DE97E2">
                  <w:pPr>
                    <w:spacing w:line="320" w:lineRule="exact"/>
                    <w:jc w:val="center"/>
                    <w:rPr>
                      <w:bCs/>
                      <w:szCs w:val="21"/>
                    </w:rPr>
                  </w:pPr>
                  <w:r>
                    <w:rPr>
                      <w:bCs/>
                      <w:szCs w:val="21"/>
                    </w:rPr>
                    <w:t>对苯二甲酸（PTA）和乙二醇（EG）通过缩聚反应形成的聚酯熔体</w:t>
                  </w:r>
                </w:p>
              </w:tc>
              <w:tc>
                <w:tcPr>
                  <w:tcW w:w="1246" w:type="pct"/>
                  <w:vAlign w:val="center"/>
                </w:tcPr>
                <w:p w14:paraId="6A75617C">
                  <w:pPr>
                    <w:spacing w:line="320" w:lineRule="exact"/>
                    <w:jc w:val="center"/>
                    <w:rPr>
                      <w:bCs/>
                      <w:szCs w:val="21"/>
                    </w:rPr>
                  </w:pPr>
                  <w:r>
                    <w:rPr>
                      <w:bCs/>
                      <w:szCs w:val="21"/>
                    </w:rPr>
                    <w:t>PET熔体在260~290℃下呈粘稠液态，熔融指数（MFI）通常为10~50g/10min（275℃/2.16kg），具有明显的剪切变稀特性（非牛顿流体）。其熔体密度约1.20~1.25g/cm³，表面张力较低（25~30mN/m），易水解（需含水率＜50ppm），高温下易氧化降解生成乙醛（AA）</w:t>
                  </w:r>
                </w:p>
              </w:tc>
              <w:tc>
                <w:tcPr>
                  <w:tcW w:w="987" w:type="pct"/>
                  <w:vAlign w:val="center"/>
                </w:tcPr>
                <w:p w14:paraId="3429CE94">
                  <w:pPr>
                    <w:spacing w:line="320" w:lineRule="exact"/>
                    <w:jc w:val="center"/>
                    <w:rPr>
                      <w:bCs/>
                      <w:szCs w:val="21"/>
                    </w:rPr>
                  </w:pPr>
                  <w:r>
                    <w:rPr>
                      <w:bCs/>
                      <w:szCs w:val="21"/>
                    </w:rPr>
                    <w:t>可燃，燃烧时火焰呈黄色伴黑烟，熔滴可引燃其他材料，但无爆炸性。高温分解产物含CO、苯系物等，需避免明火和高温局部过热。粉尘在极端条件下可能形成爆炸性混合物（需防尘）。</w:t>
                  </w:r>
                </w:p>
              </w:tc>
              <w:tc>
                <w:tcPr>
                  <w:tcW w:w="851" w:type="pct"/>
                  <w:vAlign w:val="center"/>
                </w:tcPr>
                <w:p w14:paraId="42E6D942">
                  <w:pPr>
                    <w:rPr>
                      <w:bCs/>
                      <w:szCs w:val="21"/>
                    </w:rPr>
                  </w:pPr>
                  <w:r>
                    <w:rPr>
                      <w:bCs/>
                      <w:szCs w:val="21"/>
                    </w:rPr>
                    <w:t>固态PET无毒，但熔体高温（＞300℃）分解会释放乙醛（2B类致癌物）和微量苯类化合物。长期吸入热加工烟雾可能刺激呼吸道，建议通风防护。食品级PET需严格控制乙醛残留（＜1ppm）。</w:t>
                  </w:r>
                </w:p>
                <w:p w14:paraId="2D299C7C">
                  <w:pPr>
                    <w:spacing w:line="320" w:lineRule="exact"/>
                    <w:jc w:val="center"/>
                    <w:rPr>
                      <w:bCs/>
                      <w:szCs w:val="21"/>
                    </w:rPr>
                  </w:pPr>
                </w:p>
              </w:tc>
            </w:tr>
            <w:tr w14:paraId="1710BA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Align w:val="center"/>
                </w:tcPr>
                <w:p w14:paraId="2D477BDE">
                  <w:pPr>
                    <w:spacing w:line="320" w:lineRule="exact"/>
                    <w:jc w:val="center"/>
                    <w:rPr>
                      <w:bCs/>
                      <w:szCs w:val="21"/>
                    </w:rPr>
                  </w:pPr>
                  <w:r>
                    <w:rPr>
                      <w:szCs w:val="21"/>
                    </w:rPr>
                    <w:t>PA6切片</w:t>
                  </w:r>
                </w:p>
              </w:tc>
              <w:tc>
                <w:tcPr>
                  <w:tcW w:w="1195" w:type="pct"/>
                  <w:vAlign w:val="center"/>
                </w:tcPr>
                <w:p w14:paraId="2A67CBD7">
                  <w:pPr>
                    <w:spacing w:line="320" w:lineRule="exact"/>
                    <w:jc w:val="center"/>
                    <w:rPr>
                      <w:szCs w:val="21"/>
                    </w:rPr>
                  </w:pPr>
                  <w:r>
                    <w:rPr>
                      <w:szCs w:val="21"/>
                    </w:rPr>
                    <w:t>ε-己内酰胺开环聚合而成，化学式为 [-NH-(CH₂)₅-CO-]ₙ</w:t>
                  </w:r>
                </w:p>
              </w:tc>
              <w:tc>
                <w:tcPr>
                  <w:tcW w:w="1246" w:type="pct"/>
                  <w:vAlign w:val="center"/>
                </w:tcPr>
                <w:p w14:paraId="6B03C8ED">
                  <w:pPr>
                    <w:spacing w:line="320" w:lineRule="exact"/>
                    <w:jc w:val="center"/>
                    <w:rPr>
                      <w:bCs/>
                      <w:szCs w:val="21"/>
                    </w:rPr>
                  </w:pPr>
                  <w:r>
                    <w:rPr>
                      <w:bCs/>
                      <w:szCs w:val="21"/>
                    </w:rPr>
                    <w:t>熔点：215–225℃，吸湿性强（饱和吸水率约9.5%），吸湿后玻璃化转变温度（Tg）显著降低（干态约50℃，湿态可降至0℃以下）。机械性能：高韧性、耐磨，但尺寸稳定性受湿度影响大。熔体粘度低，易于加工。</w:t>
                  </w:r>
                </w:p>
              </w:tc>
              <w:tc>
                <w:tcPr>
                  <w:tcW w:w="987" w:type="pct"/>
                  <w:vAlign w:val="center"/>
                </w:tcPr>
                <w:p w14:paraId="0B40136D">
                  <w:pPr>
                    <w:spacing w:line="320" w:lineRule="exact"/>
                    <w:jc w:val="center"/>
                    <w:rPr>
                      <w:bCs/>
                      <w:szCs w:val="21"/>
                    </w:rPr>
                  </w:pPr>
                  <w:r>
                    <w:rPr>
                      <w:bCs/>
                      <w:szCs w:val="21"/>
                    </w:rPr>
                    <w:t>可燃，燃烧时熔滴明显，火焰呈蓝色（带黄边），释放刺激性烟雾（含CO、HCN、氮氧化物等），无爆炸性但熔滴可能引燃其他材料。</w:t>
                  </w:r>
                </w:p>
              </w:tc>
              <w:tc>
                <w:tcPr>
                  <w:tcW w:w="851" w:type="pct"/>
                  <w:vAlign w:val="center"/>
                </w:tcPr>
                <w:p w14:paraId="343602A8">
                  <w:pPr>
                    <w:spacing w:line="320" w:lineRule="exact"/>
                    <w:jc w:val="center"/>
                    <w:rPr>
                      <w:bCs/>
                      <w:szCs w:val="21"/>
                    </w:rPr>
                  </w:pPr>
                  <w:r>
                    <w:rPr>
                      <w:bCs/>
                      <w:szCs w:val="21"/>
                    </w:rPr>
                    <w:t>常温无毒，但高温分解产物（如HCN、己内酰胺单体）具刺激性或低毒性。长期接触粉尘可能引发呼吸道不适，加工时需通风防吸入。</w:t>
                  </w:r>
                </w:p>
              </w:tc>
            </w:tr>
            <w:tr w14:paraId="0168AA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Align w:val="center"/>
                </w:tcPr>
                <w:p w14:paraId="77CFA7AC">
                  <w:pPr>
                    <w:spacing w:line="320" w:lineRule="exact"/>
                    <w:jc w:val="center"/>
                    <w:rPr>
                      <w:bCs/>
                      <w:szCs w:val="21"/>
                    </w:rPr>
                  </w:pPr>
                  <w:r>
                    <w:rPr>
                      <w:szCs w:val="21"/>
                    </w:rPr>
                    <w:t>PBT切片</w:t>
                  </w:r>
                </w:p>
              </w:tc>
              <w:tc>
                <w:tcPr>
                  <w:tcW w:w="1195" w:type="pct"/>
                  <w:vAlign w:val="center"/>
                </w:tcPr>
                <w:p w14:paraId="74607641">
                  <w:pPr>
                    <w:spacing w:line="320" w:lineRule="exact"/>
                    <w:jc w:val="center"/>
                    <w:rPr>
                      <w:bCs/>
                      <w:szCs w:val="21"/>
                    </w:rPr>
                  </w:pPr>
                  <w:r>
                    <w:rPr>
                      <w:bCs/>
                      <w:szCs w:val="21"/>
                    </w:rPr>
                    <w:t>对苯二甲酸（PTA）和丁二醇（BDO）通过缩聚反应形成的聚酯熔体</w:t>
                  </w:r>
                </w:p>
              </w:tc>
              <w:tc>
                <w:tcPr>
                  <w:tcW w:w="1246" w:type="pct"/>
                  <w:vAlign w:val="center"/>
                </w:tcPr>
                <w:p w14:paraId="33A596B9">
                  <w:pPr>
                    <w:spacing w:line="320" w:lineRule="exact"/>
                    <w:jc w:val="center"/>
                    <w:rPr>
                      <w:bCs/>
                      <w:szCs w:val="21"/>
                    </w:rPr>
                  </w:pPr>
                  <w:r>
                    <w:rPr>
                      <w:bCs/>
                      <w:szCs w:val="21"/>
                    </w:rPr>
                    <w:t>PBT切片为白色颗粒/粉末，熔点约225℃，耐化学腐蚀，不溶于水，易溶于强酸强碱。</w:t>
                  </w:r>
                </w:p>
              </w:tc>
              <w:tc>
                <w:tcPr>
                  <w:tcW w:w="987" w:type="pct"/>
                  <w:vAlign w:val="center"/>
                </w:tcPr>
                <w:p w14:paraId="7293FB77">
                  <w:pPr>
                    <w:spacing w:line="320" w:lineRule="exact"/>
                    <w:jc w:val="center"/>
                    <w:rPr>
                      <w:bCs/>
                      <w:szCs w:val="21"/>
                    </w:rPr>
                  </w:pPr>
                  <w:r>
                    <w:rPr>
                      <w:bCs/>
                      <w:szCs w:val="21"/>
                    </w:rPr>
                    <w:t>可燃，燃烧时产生黑烟和刺激性气体，无爆炸危险，但高温分解可能释放有毒挥发物。</w:t>
                  </w:r>
                </w:p>
              </w:tc>
              <w:tc>
                <w:tcPr>
                  <w:tcW w:w="851" w:type="pct"/>
                  <w:vAlign w:val="center"/>
                </w:tcPr>
                <w:p w14:paraId="3222F047">
                  <w:pPr>
                    <w:spacing w:line="320" w:lineRule="exact"/>
                    <w:jc w:val="center"/>
                    <w:rPr>
                      <w:bCs/>
                      <w:szCs w:val="21"/>
                    </w:rPr>
                  </w:pPr>
                  <w:r>
                    <w:rPr>
                      <w:bCs/>
                      <w:szCs w:val="21"/>
                    </w:rPr>
                    <w:t>低毒，无显著急性毒性；长期吸入粉尘或热解气体可能刺激呼吸道，无明确致癌性。</w:t>
                  </w:r>
                </w:p>
              </w:tc>
            </w:tr>
            <w:tr w14:paraId="4BC3E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Align w:val="center"/>
                </w:tcPr>
                <w:p w14:paraId="2772762E">
                  <w:pPr>
                    <w:spacing w:line="320" w:lineRule="exact"/>
                    <w:jc w:val="center"/>
                    <w:rPr>
                      <w:bCs/>
                      <w:szCs w:val="21"/>
                    </w:rPr>
                  </w:pPr>
                  <w:r>
                    <w:rPr>
                      <w:szCs w:val="21"/>
                    </w:rPr>
                    <w:t>纺丝油剂</w:t>
                  </w:r>
                </w:p>
              </w:tc>
              <w:tc>
                <w:tcPr>
                  <w:tcW w:w="1195" w:type="pct"/>
                  <w:vAlign w:val="center"/>
                </w:tcPr>
                <w:p w14:paraId="6D2C9701">
                  <w:pPr>
                    <w:spacing w:line="320" w:lineRule="exact"/>
                    <w:jc w:val="center"/>
                    <w:rPr>
                      <w:kern w:val="0"/>
                      <w:szCs w:val="21"/>
                    </w:rPr>
                  </w:pPr>
                  <w:r>
                    <w:rPr>
                      <w:kern w:val="0"/>
                      <w:szCs w:val="21"/>
                    </w:rPr>
                    <w:t>酯类25％、聚醚50％、脂肪醇聚氧乙烯醚15％、水10％。</w:t>
                  </w:r>
                </w:p>
              </w:tc>
              <w:tc>
                <w:tcPr>
                  <w:tcW w:w="1246" w:type="pct"/>
                  <w:vAlign w:val="center"/>
                </w:tcPr>
                <w:p w14:paraId="62A9F3F7">
                  <w:pPr>
                    <w:spacing w:line="320" w:lineRule="exact"/>
                    <w:jc w:val="center"/>
                    <w:rPr>
                      <w:bCs/>
                      <w:szCs w:val="21"/>
                    </w:rPr>
                  </w:pPr>
                  <w:r>
                    <w:rPr>
                      <w:szCs w:val="21"/>
                    </w:rPr>
                    <w:t>形状：流状，颜色：纯净的，有特殊气味，燃点＞100℃，密度（20℃）0.94g/cm</w:t>
                  </w:r>
                  <w:r>
                    <w:rPr>
                      <w:szCs w:val="21"/>
                      <w:vertAlign w:val="superscript"/>
                    </w:rPr>
                    <w:t>3</w:t>
                  </w:r>
                  <w:r>
                    <w:rPr>
                      <w:szCs w:val="21"/>
                    </w:rPr>
                    <w:t>，pH（150g/L）7.5±1.0。</w:t>
                  </w:r>
                </w:p>
              </w:tc>
              <w:tc>
                <w:tcPr>
                  <w:tcW w:w="987" w:type="pct"/>
                  <w:vAlign w:val="center"/>
                </w:tcPr>
                <w:p w14:paraId="2D0130DC">
                  <w:pPr>
                    <w:spacing w:line="320" w:lineRule="exact"/>
                    <w:jc w:val="center"/>
                    <w:rPr>
                      <w:bCs/>
                      <w:szCs w:val="21"/>
                    </w:rPr>
                  </w:pPr>
                  <w:r>
                    <w:rPr>
                      <w:szCs w:val="21"/>
                    </w:rPr>
                    <w:t>不可燃，没有爆炸的危险</w:t>
                  </w:r>
                </w:p>
              </w:tc>
              <w:tc>
                <w:tcPr>
                  <w:tcW w:w="851" w:type="pct"/>
                  <w:vAlign w:val="center"/>
                </w:tcPr>
                <w:p w14:paraId="21BC3181">
                  <w:pPr>
                    <w:spacing w:line="320" w:lineRule="exact"/>
                    <w:jc w:val="center"/>
                    <w:rPr>
                      <w:bCs/>
                      <w:szCs w:val="21"/>
                    </w:rPr>
                  </w:pPr>
                  <w:r>
                    <w:rPr>
                      <w:bCs/>
                      <w:szCs w:val="21"/>
                    </w:rPr>
                    <w:t>无毒</w:t>
                  </w:r>
                </w:p>
              </w:tc>
            </w:tr>
            <w:tr w14:paraId="06B7CC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Align w:val="center"/>
                </w:tcPr>
                <w:p w14:paraId="2FE807D8">
                  <w:pPr>
                    <w:spacing w:line="320" w:lineRule="exact"/>
                    <w:jc w:val="center"/>
                    <w:rPr>
                      <w:szCs w:val="21"/>
                    </w:rPr>
                  </w:pPr>
                  <w:r>
                    <w:rPr>
                      <w:szCs w:val="21"/>
                    </w:rPr>
                    <w:t>柴油</w:t>
                  </w:r>
                </w:p>
              </w:tc>
              <w:tc>
                <w:tcPr>
                  <w:tcW w:w="1195" w:type="pct"/>
                  <w:vAlign w:val="center"/>
                </w:tcPr>
                <w:p w14:paraId="7381C8DA">
                  <w:pPr>
                    <w:spacing w:line="320" w:lineRule="exact"/>
                    <w:jc w:val="center"/>
                    <w:rPr>
                      <w:kern w:val="0"/>
                      <w:szCs w:val="21"/>
                    </w:rPr>
                  </w:pPr>
                  <w:r>
                    <w:rPr>
                      <w:kern w:val="0"/>
                      <w:szCs w:val="21"/>
                    </w:rPr>
                    <w:t>稍有粘性的棕色液体</w:t>
                  </w:r>
                </w:p>
              </w:tc>
              <w:tc>
                <w:tcPr>
                  <w:tcW w:w="1246" w:type="pct"/>
                  <w:vAlign w:val="center"/>
                </w:tcPr>
                <w:p w14:paraId="709D87B6">
                  <w:pPr>
                    <w:spacing w:line="320" w:lineRule="exact"/>
                    <w:jc w:val="center"/>
                    <w:rPr>
                      <w:kern w:val="0"/>
                      <w:szCs w:val="21"/>
                    </w:rPr>
                  </w:pPr>
                  <w:r>
                    <w:rPr>
                      <w:kern w:val="0"/>
                      <w:szCs w:val="21"/>
                    </w:rPr>
                    <w:t>熔点为-18℃，沸点范围在282℃</w:t>
                  </w:r>
                </w:p>
                <w:p w14:paraId="550335CD">
                  <w:pPr>
                    <w:spacing w:line="320" w:lineRule="exact"/>
                    <w:jc w:val="center"/>
                    <w:rPr>
                      <w:szCs w:val="21"/>
                    </w:rPr>
                  </w:pPr>
                  <w:r>
                    <w:rPr>
                      <w:kern w:val="0"/>
                      <w:szCs w:val="21"/>
                    </w:rPr>
                    <w:t>至338℃之间，相对密度在0.87至0.9之间</w:t>
                  </w:r>
                </w:p>
              </w:tc>
              <w:tc>
                <w:tcPr>
                  <w:tcW w:w="987" w:type="pct"/>
                  <w:vAlign w:val="center"/>
                </w:tcPr>
                <w:p w14:paraId="7733D4CF">
                  <w:pPr>
                    <w:spacing w:line="320" w:lineRule="exact"/>
                    <w:jc w:val="center"/>
                    <w:rPr>
                      <w:szCs w:val="21"/>
                    </w:rPr>
                  </w:pPr>
                  <w:r>
                    <w:rPr>
                      <w:szCs w:val="21"/>
                    </w:rPr>
                    <w:t>可燃性和易燃性</w:t>
                  </w:r>
                </w:p>
              </w:tc>
              <w:tc>
                <w:tcPr>
                  <w:tcW w:w="851" w:type="pct"/>
                  <w:vAlign w:val="center"/>
                </w:tcPr>
                <w:p w14:paraId="464D7739">
                  <w:pPr>
                    <w:spacing w:line="320" w:lineRule="exact"/>
                    <w:jc w:val="center"/>
                    <w:rPr>
                      <w:bCs/>
                      <w:szCs w:val="21"/>
                    </w:rPr>
                  </w:pPr>
                  <w:r>
                    <w:rPr>
                      <w:bCs/>
                      <w:szCs w:val="21"/>
                    </w:rPr>
                    <w:t>可引起接触性皮炎、油性痤疮，吸入其雾滴或液体呛</w:t>
                  </w:r>
                </w:p>
                <w:p w14:paraId="1A77F327">
                  <w:pPr>
                    <w:spacing w:line="320" w:lineRule="exact"/>
                    <w:jc w:val="center"/>
                    <w:rPr>
                      <w:bCs/>
                      <w:szCs w:val="21"/>
                    </w:rPr>
                  </w:pPr>
                  <w:r>
                    <w:rPr>
                      <w:bCs/>
                      <w:szCs w:val="21"/>
                    </w:rPr>
                    <w:t>入可引起吸入性肺炎</w:t>
                  </w:r>
                </w:p>
              </w:tc>
            </w:tr>
          </w:tbl>
          <w:p w14:paraId="34FE63B5">
            <w:pPr>
              <w:pStyle w:val="79"/>
              <w:spacing w:before="0" w:after="0" w:line="500" w:lineRule="exact"/>
              <w:rPr>
                <w:rFonts w:cs="Times New Roman"/>
              </w:rPr>
            </w:pPr>
            <w:r>
              <w:rPr>
                <w:rFonts w:cs="Times New Roman"/>
              </w:rPr>
              <w:t>5、物料平衡</w:t>
            </w:r>
          </w:p>
          <w:p w14:paraId="1E43E069">
            <w:pPr>
              <w:pStyle w:val="76"/>
              <w:spacing w:line="500" w:lineRule="exact"/>
              <w:ind w:firstLine="480"/>
            </w:pPr>
            <w:r>
              <w:t>本项目主要生产单元纺丝单元的物料平衡见表2-1</w:t>
            </w:r>
            <w:r>
              <w:rPr>
                <w:rFonts w:hint="eastAsia"/>
              </w:rPr>
              <w:t>1</w:t>
            </w:r>
            <w:r>
              <w:t>，废丝回收系统物料平衡表见表2-1</w:t>
            </w:r>
            <w:r>
              <w:rPr>
                <w:rFonts w:hint="eastAsia"/>
              </w:rPr>
              <w:t>2</w:t>
            </w:r>
            <w:r>
              <w:t>。二期、三期项目总锑平衡表见表2-1</w:t>
            </w:r>
            <w:r>
              <w:rPr>
                <w:rFonts w:hint="eastAsia"/>
              </w:rPr>
              <w:t>3。</w:t>
            </w:r>
          </w:p>
          <w:p w14:paraId="2D04E4D4">
            <w:pPr>
              <w:tabs>
                <w:tab w:val="left" w:pos="0"/>
              </w:tabs>
              <w:spacing w:line="500" w:lineRule="exact"/>
              <w:jc w:val="center"/>
              <w:rPr>
                <w:b/>
                <w:szCs w:val="20"/>
              </w:rPr>
            </w:pPr>
            <w:r>
              <w:rPr>
                <w:b/>
                <w:szCs w:val="20"/>
              </w:rPr>
              <w:t>表</w:t>
            </w:r>
            <w:r>
              <w:rPr>
                <w:b/>
              </w:rPr>
              <w:t>2-1</w:t>
            </w:r>
            <w:r>
              <w:rPr>
                <w:rFonts w:hint="eastAsia"/>
                <w:b/>
              </w:rPr>
              <w:t>1</w:t>
            </w:r>
            <w:r>
              <w:rPr>
                <w:b/>
                <w:szCs w:val="20"/>
              </w:rPr>
              <w:t xml:space="preserve">  二期、三期项目</w:t>
            </w:r>
            <w:r>
              <w:rPr>
                <w:b/>
              </w:rPr>
              <w:t>纺丝单元物料平衡表</w:t>
            </w:r>
            <w:r>
              <w:rPr>
                <w:b/>
                <w:szCs w:val="20"/>
              </w:rPr>
              <w:t>（单位</w:t>
            </w:r>
            <w:r>
              <w:rPr>
                <w:b/>
              </w:rPr>
              <w:t>：t/a</w:t>
            </w:r>
            <w:r>
              <w:rPr>
                <w:b/>
                <w:szCs w:val="20"/>
              </w:rPr>
              <w:t>）</w:t>
            </w:r>
          </w:p>
          <w:tbl>
            <w:tblPr>
              <w:tblStyle w:val="9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1197"/>
              <w:gridCol w:w="1032"/>
              <w:gridCol w:w="539"/>
              <w:gridCol w:w="1186"/>
              <w:gridCol w:w="869"/>
              <w:gridCol w:w="856"/>
              <w:gridCol w:w="864"/>
              <w:gridCol w:w="856"/>
            </w:tblGrid>
            <w:tr w14:paraId="20D8CB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33" w:type="pct"/>
                  <w:vMerge w:val="restart"/>
                  <w:vAlign w:val="center"/>
                </w:tcPr>
                <w:p w14:paraId="1EB52ECA">
                  <w:pPr>
                    <w:widowControl/>
                    <w:jc w:val="center"/>
                    <w:rPr>
                      <w:b/>
                      <w:bCs/>
                      <w:kern w:val="0"/>
                      <w:szCs w:val="21"/>
                    </w:rPr>
                  </w:pPr>
                  <w:r>
                    <w:rPr>
                      <w:b/>
                      <w:bCs/>
                      <w:kern w:val="0"/>
                      <w:szCs w:val="21"/>
                    </w:rPr>
                    <w:t>序号</w:t>
                  </w:r>
                </w:p>
              </w:tc>
              <w:tc>
                <w:tcPr>
                  <w:tcW w:w="1406" w:type="pct"/>
                  <w:gridSpan w:val="2"/>
                  <w:vAlign w:val="center"/>
                </w:tcPr>
                <w:p w14:paraId="27D0B860">
                  <w:pPr>
                    <w:widowControl/>
                    <w:jc w:val="center"/>
                    <w:rPr>
                      <w:b/>
                      <w:bCs/>
                      <w:kern w:val="0"/>
                      <w:szCs w:val="21"/>
                    </w:rPr>
                  </w:pPr>
                  <w:r>
                    <w:rPr>
                      <w:b/>
                      <w:bCs/>
                      <w:kern w:val="0"/>
                      <w:szCs w:val="21"/>
                    </w:rPr>
                    <w:t>入方</w:t>
                  </w:r>
                </w:p>
              </w:tc>
              <w:tc>
                <w:tcPr>
                  <w:tcW w:w="3261" w:type="pct"/>
                  <w:gridSpan w:val="6"/>
                  <w:vAlign w:val="center"/>
                </w:tcPr>
                <w:p w14:paraId="0D3E0F2C">
                  <w:pPr>
                    <w:widowControl/>
                    <w:jc w:val="center"/>
                    <w:rPr>
                      <w:b/>
                      <w:bCs/>
                      <w:kern w:val="0"/>
                      <w:szCs w:val="21"/>
                    </w:rPr>
                  </w:pPr>
                  <w:r>
                    <w:rPr>
                      <w:b/>
                      <w:bCs/>
                      <w:kern w:val="0"/>
                      <w:szCs w:val="21"/>
                    </w:rPr>
                    <w:t>出方</w:t>
                  </w:r>
                </w:p>
              </w:tc>
            </w:tr>
            <w:tr w14:paraId="23825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3" w:type="pct"/>
                  <w:vMerge w:val="continue"/>
                  <w:vAlign w:val="center"/>
                </w:tcPr>
                <w:p w14:paraId="380C4FA6">
                  <w:pPr>
                    <w:widowControl/>
                    <w:jc w:val="left"/>
                    <w:rPr>
                      <w:b/>
                      <w:bCs/>
                      <w:kern w:val="0"/>
                      <w:szCs w:val="21"/>
                    </w:rPr>
                  </w:pPr>
                </w:p>
              </w:tc>
              <w:tc>
                <w:tcPr>
                  <w:tcW w:w="755" w:type="pct"/>
                  <w:vAlign w:val="center"/>
                </w:tcPr>
                <w:p w14:paraId="4B586C2B">
                  <w:pPr>
                    <w:widowControl/>
                    <w:jc w:val="center"/>
                    <w:rPr>
                      <w:b/>
                      <w:bCs/>
                      <w:kern w:val="0"/>
                      <w:szCs w:val="21"/>
                    </w:rPr>
                  </w:pPr>
                  <w:r>
                    <w:rPr>
                      <w:b/>
                      <w:bCs/>
                      <w:kern w:val="0"/>
                      <w:szCs w:val="21"/>
                    </w:rPr>
                    <w:t>物料名称</w:t>
                  </w:r>
                </w:p>
              </w:tc>
              <w:tc>
                <w:tcPr>
                  <w:tcW w:w="651" w:type="pct"/>
                  <w:vAlign w:val="center"/>
                </w:tcPr>
                <w:p w14:paraId="1A3A97CC">
                  <w:pPr>
                    <w:widowControl/>
                    <w:jc w:val="center"/>
                    <w:rPr>
                      <w:b/>
                      <w:bCs/>
                      <w:kern w:val="0"/>
                      <w:szCs w:val="21"/>
                    </w:rPr>
                  </w:pPr>
                  <w:r>
                    <w:rPr>
                      <w:b/>
                      <w:bCs/>
                      <w:kern w:val="0"/>
                      <w:szCs w:val="21"/>
                    </w:rPr>
                    <w:t>数量</w:t>
                  </w:r>
                </w:p>
              </w:tc>
              <w:tc>
                <w:tcPr>
                  <w:tcW w:w="340" w:type="pct"/>
                  <w:vAlign w:val="center"/>
                </w:tcPr>
                <w:p w14:paraId="54DE2F58">
                  <w:pPr>
                    <w:widowControl/>
                    <w:jc w:val="center"/>
                    <w:rPr>
                      <w:b/>
                      <w:bCs/>
                      <w:kern w:val="0"/>
                      <w:szCs w:val="21"/>
                    </w:rPr>
                  </w:pPr>
                  <w:r>
                    <w:rPr>
                      <w:b/>
                      <w:bCs/>
                      <w:kern w:val="0"/>
                      <w:szCs w:val="21"/>
                    </w:rPr>
                    <w:t>序号</w:t>
                  </w:r>
                </w:p>
              </w:tc>
              <w:tc>
                <w:tcPr>
                  <w:tcW w:w="748" w:type="pct"/>
                  <w:vAlign w:val="center"/>
                </w:tcPr>
                <w:p w14:paraId="6ACB32AF">
                  <w:pPr>
                    <w:widowControl/>
                    <w:jc w:val="center"/>
                    <w:rPr>
                      <w:b/>
                      <w:bCs/>
                      <w:kern w:val="0"/>
                      <w:szCs w:val="21"/>
                    </w:rPr>
                  </w:pPr>
                  <w:r>
                    <w:rPr>
                      <w:b/>
                      <w:bCs/>
                      <w:kern w:val="0"/>
                      <w:szCs w:val="21"/>
                    </w:rPr>
                    <w:t>物料名称</w:t>
                  </w:r>
                </w:p>
              </w:tc>
              <w:tc>
                <w:tcPr>
                  <w:tcW w:w="548" w:type="pct"/>
                  <w:vAlign w:val="center"/>
                </w:tcPr>
                <w:p w14:paraId="10645D1C">
                  <w:pPr>
                    <w:widowControl/>
                    <w:jc w:val="center"/>
                    <w:rPr>
                      <w:b/>
                      <w:bCs/>
                      <w:kern w:val="0"/>
                      <w:szCs w:val="21"/>
                    </w:rPr>
                  </w:pPr>
                  <w:r>
                    <w:rPr>
                      <w:b/>
                      <w:bCs/>
                      <w:kern w:val="0"/>
                      <w:szCs w:val="21"/>
                    </w:rPr>
                    <w:t>产品</w:t>
                  </w:r>
                </w:p>
              </w:tc>
              <w:tc>
                <w:tcPr>
                  <w:tcW w:w="540" w:type="pct"/>
                  <w:vAlign w:val="center"/>
                </w:tcPr>
                <w:p w14:paraId="7554C69F">
                  <w:pPr>
                    <w:widowControl/>
                    <w:jc w:val="center"/>
                    <w:rPr>
                      <w:b/>
                      <w:bCs/>
                      <w:kern w:val="0"/>
                      <w:szCs w:val="21"/>
                    </w:rPr>
                  </w:pPr>
                  <w:r>
                    <w:rPr>
                      <w:b/>
                      <w:bCs/>
                      <w:kern w:val="0"/>
                      <w:szCs w:val="21"/>
                    </w:rPr>
                    <w:t>废气</w:t>
                  </w:r>
                </w:p>
              </w:tc>
              <w:tc>
                <w:tcPr>
                  <w:tcW w:w="545" w:type="pct"/>
                  <w:vAlign w:val="center"/>
                </w:tcPr>
                <w:p w14:paraId="5054BE97">
                  <w:pPr>
                    <w:widowControl/>
                    <w:jc w:val="center"/>
                    <w:rPr>
                      <w:b/>
                      <w:bCs/>
                      <w:kern w:val="0"/>
                      <w:szCs w:val="21"/>
                    </w:rPr>
                  </w:pPr>
                  <w:r>
                    <w:rPr>
                      <w:b/>
                      <w:bCs/>
                      <w:kern w:val="0"/>
                      <w:szCs w:val="21"/>
                    </w:rPr>
                    <w:t>废水</w:t>
                  </w:r>
                </w:p>
              </w:tc>
              <w:tc>
                <w:tcPr>
                  <w:tcW w:w="540" w:type="pct"/>
                  <w:vAlign w:val="center"/>
                </w:tcPr>
                <w:p w14:paraId="5E20985F">
                  <w:pPr>
                    <w:widowControl/>
                    <w:jc w:val="center"/>
                    <w:rPr>
                      <w:b/>
                      <w:bCs/>
                      <w:kern w:val="0"/>
                      <w:szCs w:val="21"/>
                    </w:rPr>
                  </w:pPr>
                  <w:r>
                    <w:rPr>
                      <w:b/>
                      <w:bCs/>
                      <w:kern w:val="0"/>
                      <w:szCs w:val="21"/>
                    </w:rPr>
                    <w:t>固废</w:t>
                  </w:r>
                </w:p>
              </w:tc>
            </w:tr>
            <w:tr w14:paraId="04F8A3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3" w:type="pct"/>
                  <w:vAlign w:val="center"/>
                </w:tcPr>
                <w:p w14:paraId="5A15B814">
                  <w:pPr>
                    <w:widowControl/>
                    <w:jc w:val="center"/>
                    <w:rPr>
                      <w:kern w:val="0"/>
                      <w:szCs w:val="21"/>
                    </w:rPr>
                  </w:pPr>
                  <w:r>
                    <w:rPr>
                      <w:kern w:val="0"/>
                      <w:szCs w:val="21"/>
                    </w:rPr>
                    <w:t>1</w:t>
                  </w:r>
                </w:p>
              </w:tc>
              <w:tc>
                <w:tcPr>
                  <w:tcW w:w="755" w:type="pct"/>
                  <w:vAlign w:val="center"/>
                </w:tcPr>
                <w:p w14:paraId="0E43CF27">
                  <w:pPr>
                    <w:widowControl/>
                    <w:jc w:val="center"/>
                    <w:rPr>
                      <w:kern w:val="0"/>
                      <w:szCs w:val="21"/>
                    </w:rPr>
                  </w:pPr>
                  <w:r>
                    <w:rPr>
                      <w:kern w:val="0"/>
                      <w:szCs w:val="21"/>
                    </w:rPr>
                    <w:t>聚酯熔体</w:t>
                  </w:r>
                </w:p>
              </w:tc>
              <w:tc>
                <w:tcPr>
                  <w:tcW w:w="651" w:type="pct"/>
                  <w:vAlign w:val="center"/>
                </w:tcPr>
                <w:p w14:paraId="5A6ED69F">
                  <w:pPr>
                    <w:widowControl/>
                    <w:jc w:val="center"/>
                    <w:rPr>
                      <w:kern w:val="0"/>
                      <w:szCs w:val="21"/>
                    </w:rPr>
                  </w:pPr>
                  <w:r>
                    <w:rPr>
                      <w:kern w:val="0"/>
                      <w:szCs w:val="21"/>
                    </w:rPr>
                    <w:t>466785.3</w:t>
                  </w:r>
                </w:p>
              </w:tc>
              <w:tc>
                <w:tcPr>
                  <w:tcW w:w="340" w:type="pct"/>
                  <w:vAlign w:val="center"/>
                </w:tcPr>
                <w:p w14:paraId="692C683A">
                  <w:pPr>
                    <w:widowControl/>
                    <w:jc w:val="center"/>
                    <w:rPr>
                      <w:kern w:val="0"/>
                      <w:szCs w:val="21"/>
                    </w:rPr>
                  </w:pPr>
                  <w:r>
                    <w:rPr>
                      <w:kern w:val="0"/>
                      <w:szCs w:val="21"/>
                    </w:rPr>
                    <w:t>1</w:t>
                  </w:r>
                </w:p>
              </w:tc>
              <w:tc>
                <w:tcPr>
                  <w:tcW w:w="748" w:type="pct"/>
                  <w:vAlign w:val="center"/>
                </w:tcPr>
                <w:p w14:paraId="67A76A6F">
                  <w:pPr>
                    <w:widowControl/>
                    <w:jc w:val="center"/>
                    <w:rPr>
                      <w:kern w:val="0"/>
                      <w:szCs w:val="21"/>
                    </w:rPr>
                  </w:pPr>
                  <w:r>
                    <w:rPr>
                      <w:kern w:val="0"/>
                      <w:szCs w:val="21"/>
                    </w:rPr>
                    <w:t>POY成品</w:t>
                  </w:r>
                </w:p>
              </w:tc>
              <w:tc>
                <w:tcPr>
                  <w:tcW w:w="548" w:type="pct"/>
                  <w:vAlign w:val="center"/>
                </w:tcPr>
                <w:p w14:paraId="1CAB1DB6">
                  <w:pPr>
                    <w:widowControl/>
                    <w:jc w:val="center"/>
                    <w:rPr>
                      <w:kern w:val="0"/>
                      <w:szCs w:val="21"/>
                    </w:rPr>
                  </w:pPr>
                  <w:r>
                    <w:rPr>
                      <w:kern w:val="0"/>
                      <w:szCs w:val="21"/>
                    </w:rPr>
                    <w:t>248900</w:t>
                  </w:r>
                </w:p>
              </w:tc>
              <w:tc>
                <w:tcPr>
                  <w:tcW w:w="540" w:type="pct"/>
                  <w:vAlign w:val="center"/>
                </w:tcPr>
                <w:p w14:paraId="6B9F8C7B">
                  <w:pPr>
                    <w:widowControl/>
                    <w:jc w:val="left"/>
                    <w:rPr>
                      <w:kern w:val="0"/>
                      <w:szCs w:val="21"/>
                    </w:rPr>
                  </w:pPr>
                </w:p>
              </w:tc>
              <w:tc>
                <w:tcPr>
                  <w:tcW w:w="545" w:type="pct"/>
                  <w:vAlign w:val="center"/>
                </w:tcPr>
                <w:p w14:paraId="62DD41D1">
                  <w:pPr>
                    <w:widowControl/>
                    <w:jc w:val="left"/>
                    <w:rPr>
                      <w:kern w:val="0"/>
                      <w:szCs w:val="21"/>
                    </w:rPr>
                  </w:pPr>
                </w:p>
              </w:tc>
              <w:tc>
                <w:tcPr>
                  <w:tcW w:w="540" w:type="pct"/>
                  <w:vAlign w:val="center"/>
                </w:tcPr>
                <w:p w14:paraId="5D32E7EF">
                  <w:pPr>
                    <w:widowControl/>
                    <w:jc w:val="left"/>
                    <w:rPr>
                      <w:kern w:val="0"/>
                      <w:szCs w:val="21"/>
                    </w:rPr>
                  </w:pPr>
                </w:p>
              </w:tc>
            </w:tr>
            <w:tr w14:paraId="288047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3" w:type="pct"/>
                  <w:vAlign w:val="center"/>
                </w:tcPr>
                <w:p w14:paraId="5194F548">
                  <w:pPr>
                    <w:widowControl/>
                    <w:jc w:val="center"/>
                    <w:rPr>
                      <w:kern w:val="0"/>
                      <w:szCs w:val="21"/>
                    </w:rPr>
                  </w:pPr>
                  <w:r>
                    <w:rPr>
                      <w:kern w:val="0"/>
                      <w:szCs w:val="21"/>
                    </w:rPr>
                    <w:t>2</w:t>
                  </w:r>
                </w:p>
              </w:tc>
              <w:tc>
                <w:tcPr>
                  <w:tcW w:w="755" w:type="pct"/>
                  <w:vAlign w:val="center"/>
                </w:tcPr>
                <w:p w14:paraId="5A929BC7">
                  <w:pPr>
                    <w:widowControl/>
                    <w:jc w:val="center"/>
                    <w:rPr>
                      <w:kern w:val="0"/>
                      <w:szCs w:val="21"/>
                    </w:rPr>
                  </w:pPr>
                  <w:r>
                    <w:rPr>
                      <w:kern w:val="0"/>
                      <w:szCs w:val="21"/>
                    </w:rPr>
                    <w:t>PA6切片</w:t>
                  </w:r>
                </w:p>
              </w:tc>
              <w:tc>
                <w:tcPr>
                  <w:tcW w:w="651" w:type="pct"/>
                  <w:vAlign w:val="center"/>
                </w:tcPr>
                <w:p w14:paraId="456F0C37">
                  <w:pPr>
                    <w:widowControl/>
                    <w:jc w:val="center"/>
                    <w:rPr>
                      <w:kern w:val="0"/>
                      <w:szCs w:val="21"/>
                    </w:rPr>
                  </w:pPr>
                  <w:r>
                    <w:rPr>
                      <w:kern w:val="0"/>
                      <w:szCs w:val="21"/>
                    </w:rPr>
                    <w:t>35000</w:t>
                  </w:r>
                </w:p>
              </w:tc>
              <w:tc>
                <w:tcPr>
                  <w:tcW w:w="340" w:type="pct"/>
                  <w:vAlign w:val="center"/>
                </w:tcPr>
                <w:p w14:paraId="50347B89">
                  <w:pPr>
                    <w:widowControl/>
                    <w:jc w:val="center"/>
                    <w:rPr>
                      <w:kern w:val="0"/>
                      <w:szCs w:val="21"/>
                    </w:rPr>
                  </w:pPr>
                  <w:r>
                    <w:rPr>
                      <w:kern w:val="0"/>
                      <w:szCs w:val="21"/>
                    </w:rPr>
                    <w:t>2</w:t>
                  </w:r>
                </w:p>
              </w:tc>
              <w:tc>
                <w:tcPr>
                  <w:tcW w:w="748" w:type="pct"/>
                  <w:vAlign w:val="center"/>
                </w:tcPr>
                <w:p w14:paraId="087423A5">
                  <w:pPr>
                    <w:widowControl/>
                    <w:jc w:val="center"/>
                    <w:rPr>
                      <w:kern w:val="0"/>
                      <w:szCs w:val="21"/>
                    </w:rPr>
                  </w:pPr>
                  <w:r>
                    <w:rPr>
                      <w:kern w:val="0"/>
                      <w:szCs w:val="21"/>
                    </w:rPr>
                    <w:t>FDY成品</w:t>
                  </w:r>
                </w:p>
              </w:tc>
              <w:tc>
                <w:tcPr>
                  <w:tcW w:w="548" w:type="pct"/>
                  <w:vAlign w:val="center"/>
                </w:tcPr>
                <w:p w14:paraId="6A88217E">
                  <w:pPr>
                    <w:widowControl/>
                    <w:jc w:val="center"/>
                    <w:rPr>
                      <w:kern w:val="0"/>
                      <w:szCs w:val="21"/>
                    </w:rPr>
                  </w:pPr>
                  <w:r>
                    <w:rPr>
                      <w:kern w:val="0"/>
                      <w:szCs w:val="21"/>
                    </w:rPr>
                    <w:t>201100</w:t>
                  </w:r>
                </w:p>
              </w:tc>
              <w:tc>
                <w:tcPr>
                  <w:tcW w:w="540" w:type="pct"/>
                  <w:vAlign w:val="center"/>
                </w:tcPr>
                <w:p w14:paraId="0379D397">
                  <w:pPr>
                    <w:widowControl/>
                    <w:jc w:val="left"/>
                    <w:rPr>
                      <w:kern w:val="0"/>
                      <w:szCs w:val="21"/>
                    </w:rPr>
                  </w:pPr>
                </w:p>
              </w:tc>
              <w:tc>
                <w:tcPr>
                  <w:tcW w:w="545" w:type="pct"/>
                  <w:vAlign w:val="center"/>
                </w:tcPr>
                <w:p w14:paraId="73B70226">
                  <w:pPr>
                    <w:widowControl/>
                    <w:jc w:val="left"/>
                    <w:rPr>
                      <w:kern w:val="0"/>
                      <w:szCs w:val="21"/>
                    </w:rPr>
                  </w:pPr>
                </w:p>
              </w:tc>
              <w:tc>
                <w:tcPr>
                  <w:tcW w:w="540" w:type="pct"/>
                  <w:vAlign w:val="center"/>
                </w:tcPr>
                <w:p w14:paraId="4EDA51C8">
                  <w:pPr>
                    <w:widowControl/>
                    <w:jc w:val="left"/>
                    <w:rPr>
                      <w:kern w:val="0"/>
                      <w:szCs w:val="21"/>
                    </w:rPr>
                  </w:pPr>
                </w:p>
              </w:tc>
            </w:tr>
            <w:tr w14:paraId="09FB21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3" w:type="pct"/>
                  <w:vAlign w:val="center"/>
                </w:tcPr>
                <w:p w14:paraId="5C4CEE95">
                  <w:pPr>
                    <w:widowControl/>
                    <w:jc w:val="center"/>
                    <w:rPr>
                      <w:kern w:val="0"/>
                      <w:szCs w:val="21"/>
                    </w:rPr>
                  </w:pPr>
                  <w:r>
                    <w:rPr>
                      <w:kern w:val="0"/>
                      <w:szCs w:val="21"/>
                    </w:rPr>
                    <w:t>3</w:t>
                  </w:r>
                </w:p>
              </w:tc>
              <w:tc>
                <w:tcPr>
                  <w:tcW w:w="755" w:type="pct"/>
                  <w:vAlign w:val="center"/>
                </w:tcPr>
                <w:p w14:paraId="0E69AA91">
                  <w:pPr>
                    <w:widowControl/>
                    <w:jc w:val="center"/>
                    <w:rPr>
                      <w:kern w:val="0"/>
                      <w:szCs w:val="21"/>
                    </w:rPr>
                  </w:pPr>
                  <w:r>
                    <w:rPr>
                      <w:kern w:val="0"/>
                      <w:szCs w:val="21"/>
                    </w:rPr>
                    <w:t>PBT切片</w:t>
                  </w:r>
                </w:p>
              </w:tc>
              <w:tc>
                <w:tcPr>
                  <w:tcW w:w="651" w:type="pct"/>
                  <w:vAlign w:val="center"/>
                </w:tcPr>
                <w:p w14:paraId="06C12764">
                  <w:pPr>
                    <w:widowControl/>
                    <w:jc w:val="center"/>
                    <w:rPr>
                      <w:kern w:val="0"/>
                      <w:szCs w:val="21"/>
                    </w:rPr>
                  </w:pPr>
                  <w:r>
                    <w:rPr>
                      <w:kern w:val="0"/>
                      <w:szCs w:val="21"/>
                    </w:rPr>
                    <w:t>40000</w:t>
                  </w:r>
                </w:p>
              </w:tc>
              <w:tc>
                <w:tcPr>
                  <w:tcW w:w="340" w:type="pct"/>
                  <w:vAlign w:val="center"/>
                </w:tcPr>
                <w:p w14:paraId="3B10C8F9">
                  <w:pPr>
                    <w:widowControl/>
                    <w:jc w:val="center"/>
                    <w:rPr>
                      <w:kern w:val="0"/>
                      <w:szCs w:val="21"/>
                    </w:rPr>
                  </w:pPr>
                  <w:r>
                    <w:rPr>
                      <w:kern w:val="0"/>
                      <w:szCs w:val="21"/>
                    </w:rPr>
                    <w:t>3</w:t>
                  </w:r>
                </w:p>
              </w:tc>
              <w:tc>
                <w:tcPr>
                  <w:tcW w:w="748" w:type="pct"/>
                  <w:vAlign w:val="center"/>
                </w:tcPr>
                <w:p w14:paraId="0DFAC14A">
                  <w:pPr>
                    <w:widowControl/>
                    <w:jc w:val="center"/>
                    <w:rPr>
                      <w:kern w:val="0"/>
                      <w:szCs w:val="21"/>
                    </w:rPr>
                  </w:pPr>
                  <w:r>
                    <w:rPr>
                      <w:kern w:val="0"/>
                      <w:szCs w:val="21"/>
                    </w:rPr>
                    <w:t>BEY成品</w:t>
                  </w:r>
                </w:p>
              </w:tc>
              <w:tc>
                <w:tcPr>
                  <w:tcW w:w="548" w:type="pct"/>
                  <w:vAlign w:val="center"/>
                </w:tcPr>
                <w:p w14:paraId="67D5FCA3">
                  <w:pPr>
                    <w:widowControl/>
                    <w:jc w:val="center"/>
                    <w:rPr>
                      <w:kern w:val="0"/>
                      <w:szCs w:val="21"/>
                    </w:rPr>
                  </w:pPr>
                  <w:r>
                    <w:rPr>
                      <w:kern w:val="0"/>
                      <w:szCs w:val="21"/>
                    </w:rPr>
                    <w:t>60000</w:t>
                  </w:r>
                </w:p>
              </w:tc>
              <w:tc>
                <w:tcPr>
                  <w:tcW w:w="540" w:type="pct"/>
                  <w:vAlign w:val="center"/>
                </w:tcPr>
                <w:p w14:paraId="1749E15E">
                  <w:pPr>
                    <w:widowControl/>
                    <w:jc w:val="left"/>
                    <w:rPr>
                      <w:kern w:val="0"/>
                      <w:szCs w:val="21"/>
                    </w:rPr>
                  </w:pPr>
                </w:p>
              </w:tc>
              <w:tc>
                <w:tcPr>
                  <w:tcW w:w="545" w:type="pct"/>
                  <w:vAlign w:val="center"/>
                </w:tcPr>
                <w:p w14:paraId="0857990F">
                  <w:pPr>
                    <w:widowControl/>
                    <w:jc w:val="left"/>
                    <w:rPr>
                      <w:kern w:val="0"/>
                      <w:szCs w:val="21"/>
                    </w:rPr>
                  </w:pPr>
                </w:p>
              </w:tc>
              <w:tc>
                <w:tcPr>
                  <w:tcW w:w="540" w:type="pct"/>
                  <w:vAlign w:val="center"/>
                </w:tcPr>
                <w:p w14:paraId="239799FC">
                  <w:pPr>
                    <w:widowControl/>
                    <w:jc w:val="left"/>
                    <w:rPr>
                      <w:kern w:val="0"/>
                      <w:szCs w:val="21"/>
                    </w:rPr>
                  </w:pPr>
                </w:p>
              </w:tc>
            </w:tr>
            <w:tr w14:paraId="623B7C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3" w:type="pct"/>
                  <w:vAlign w:val="center"/>
                </w:tcPr>
                <w:p w14:paraId="0244EE9C">
                  <w:pPr>
                    <w:widowControl/>
                    <w:jc w:val="center"/>
                    <w:rPr>
                      <w:kern w:val="0"/>
                      <w:szCs w:val="21"/>
                    </w:rPr>
                  </w:pPr>
                  <w:r>
                    <w:rPr>
                      <w:kern w:val="0"/>
                      <w:szCs w:val="21"/>
                    </w:rPr>
                    <w:t>4</w:t>
                  </w:r>
                </w:p>
              </w:tc>
              <w:tc>
                <w:tcPr>
                  <w:tcW w:w="755" w:type="pct"/>
                  <w:vAlign w:val="center"/>
                </w:tcPr>
                <w:p w14:paraId="29828C19">
                  <w:pPr>
                    <w:widowControl/>
                    <w:jc w:val="center"/>
                    <w:rPr>
                      <w:kern w:val="0"/>
                      <w:szCs w:val="21"/>
                    </w:rPr>
                  </w:pPr>
                  <w:r>
                    <w:rPr>
                      <w:kern w:val="0"/>
                      <w:szCs w:val="21"/>
                    </w:rPr>
                    <w:t>纯水</w:t>
                  </w:r>
                </w:p>
              </w:tc>
              <w:tc>
                <w:tcPr>
                  <w:tcW w:w="651" w:type="pct"/>
                  <w:vAlign w:val="center"/>
                </w:tcPr>
                <w:p w14:paraId="1045621F">
                  <w:pPr>
                    <w:widowControl/>
                    <w:jc w:val="center"/>
                    <w:rPr>
                      <w:kern w:val="0"/>
                      <w:szCs w:val="21"/>
                    </w:rPr>
                  </w:pPr>
                  <w:r>
                    <w:rPr>
                      <w:kern w:val="0"/>
                      <w:szCs w:val="21"/>
                    </w:rPr>
                    <w:t>8502.8</w:t>
                  </w:r>
                </w:p>
              </w:tc>
              <w:tc>
                <w:tcPr>
                  <w:tcW w:w="340" w:type="pct"/>
                  <w:vAlign w:val="center"/>
                </w:tcPr>
                <w:p w14:paraId="50D1EADF">
                  <w:pPr>
                    <w:widowControl/>
                    <w:jc w:val="center"/>
                    <w:rPr>
                      <w:kern w:val="0"/>
                      <w:szCs w:val="21"/>
                    </w:rPr>
                  </w:pPr>
                  <w:r>
                    <w:rPr>
                      <w:kern w:val="0"/>
                      <w:szCs w:val="21"/>
                    </w:rPr>
                    <w:t>4</w:t>
                  </w:r>
                </w:p>
              </w:tc>
              <w:tc>
                <w:tcPr>
                  <w:tcW w:w="748" w:type="pct"/>
                  <w:vAlign w:val="center"/>
                </w:tcPr>
                <w:p w14:paraId="202C3BEA">
                  <w:pPr>
                    <w:widowControl/>
                    <w:jc w:val="center"/>
                    <w:rPr>
                      <w:kern w:val="0"/>
                      <w:szCs w:val="21"/>
                    </w:rPr>
                  </w:pPr>
                  <w:r>
                    <w:rPr>
                      <w:kern w:val="0"/>
                      <w:szCs w:val="21"/>
                    </w:rPr>
                    <w:t>涤锦成品</w:t>
                  </w:r>
                </w:p>
              </w:tc>
              <w:tc>
                <w:tcPr>
                  <w:tcW w:w="548" w:type="pct"/>
                  <w:vAlign w:val="center"/>
                </w:tcPr>
                <w:p w14:paraId="5C033DBF">
                  <w:pPr>
                    <w:widowControl/>
                    <w:jc w:val="center"/>
                    <w:rPr>
                      <w:kern w:val="0"/>
                      <w:szCs w:val="21"/>
                    </w:rPr>
                  </w:pPr>
                  <w:r>
                    <w:rPr>
                      <w:kern w:val="0"/>
                      <w:szCs w:val="21"/>
                    </w:rPr>
                    <w:t>40000</w:t>
                  </w:r>
                </w:p>
              </w:tc>
              <w:tc>
                <w:tcPr>
                  <w:tcW w:w="540" w:type="pct"/>
                  <w:vAlign w:val="center"/>
                </w:tcPr>
                <w:p w14:paraId="0364BC01">
                  <w:pPr>
                    <w:widowControl/>
                    <w:jc w:val="left"/>
                    <w:rPr>
                      <w:kern w:val="0"/>
                      <w:szCs w:val="21"/>
                    </w:rPr>
                  </w:pPr>
                </w:p>
              </w:tc>
              <w:tc>
                <w:tcPr>
                  <w:tcW w:w="545" w:type="pct"/>
                  <w:vAlign w:val="center"/>
                </w:tcPr>
                <w:p w14:paraId="4A8D3041">
                  <w:pPr>
                    <w:widowControl/>
                    <w:jc w:val="left"/>
                    <w:rPr>
                      <w:kern w:val="0"/>
                      <w:szCs w:val="21"/>
                    </w:rPr>
                  </w:pPr>
                </w:p>
              </w:tc>
              <w:tc>
                <w:tcPr>
                  <w:tcW w:w="540" w:type="pct"/>
                  <w:vAlign w:val="center"/>
                </w:tcPr>
                <w:p w14:paraId="258108CE">
                  <w:pPr>
                    <w:widowControl/>
                    <w:jc w:val="left"/>
                    <w:rPr>
                      <w:kern w:val="0"/>
                      <w:szCs w:val="21"/>
                    </w:rPr>
                  </w:pPr>
                </w:p>
              </w:tc>
            </w:tr>
            <w:tr w14:paraId="631452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33" w:type="pct"/>
                  <w:vAlign w:val="center"/>
                </w:tcPr>
                <w:p w14:paraId="1F237CFC">
                  <w:pPr>
                    <w:widowControl/>
                    <w:jc w:val="center"/>
                    <w:rPr>
                      <w:kern w:val="0"/>
                      <w:sz w:val="20"/>
                      <w:szCs w:val="20"/>
                    </w:rPr>
                  </w:pPr>
                  <w:r>
                    <w:rPr>
                      <w:kern w:val="0"/>
                      <w:sz w:val="20"/>
                      <w:szCs w:val="20"/>
                    </w:rPr>
                    <w:t>5</w:t>
                  </w:r>
                </w:p>
              </w:tc>
              <w:tc>
                <w:tcPr>
                  <w:tcW w:w="755" w:type="pct"/>
                  <w:vAlign w:val="center"/>
                </w:tcPr>
                <w:p w14:paraId="2F7EA484">
                  <w:pPr>
                    <w:widowControl/>
                    <w:jc w:val="center"/>
                    <w:rPr>
                      <w:kern w:val="0"/>
                      <w:szCs w:val="21"/>
                    </w:rPr>
                  </w:pPr>
                  <w:r>
                    <w:rPr>
                      <w:kern w:val="0"/>
                      <w:szCs w:val="21"/>
                    </w:rPr>
                    <w:t>纺丝油剂</w:t>
                  </w:r>
                </w:p>
              </w:tc>
              <w:tc>
                <w:tcPr>
                  <w:tcW w:w="651" w:type="pct"/>
                  <w:vAlign w:val="center"/>
                </w:tcPr>
                <w:p w14:paraId="287A350B">
                  <w:pPr>
                    <w:widowControl/>
                    <w:jc w:val="center"/>
                    <w:rPr>
                      <w:kern w:val="0"/>
                      <w:szCs w:val="21"/>
                    </w:rPr>
                  </w:pPr>
                  <w:r>
                    <w:rPr>
                      <w:kern w:val="0"/>
                      <w:szCs w:val="21"/>
                    </w:rPr>
                    <w:t>4157.7</w:t>
                  </w:r>
                </w:p>
              </w:tc>
              <w:tc>
                <w:tcPr>
                  <w:tcW w:w="340" w:type="pct"/>
                  <w:vAlign w:val="center"/>
                </w:tcPr>
                <w:p w14:paraId="7351BFB5">
                  <w:pPr>
                    <w:widowControl/>
                    <w:jc w:val="center"/>
                    <w:rPr>
                      <w:kern w:val="0"/>
                      <w:szCs w:val="21"/>
                    </w:rPr>
                  </w:pPr>
                  <w:r>
                    <w:rPr>
                      <w:kern w:val="0"/>
                      <w:szCs w:val="21"/>
                    </w:rPr>
                    <w:t>5</w:t>
                  </w:r>
                </w:p>
              </w:tc>
              <w:tc>
                <w:tcPr>
                  <w:tcW w:w="748" w:type="pct"/>
                  <w:vAlign w:val="center"/>
                </w:tcPr>
                <w:p w14:paraId="2234855B">
                  <w:pPr>
                    <w:widowControl/>
                    <w:jc w:val="center"/>
                    <w:rPr>
                      <w:kern w:val="0"/>
                      <w:szCs w:val="21"/>
                    </w:rPr>
                  </w:pPr>
                  <w:r>
                    <w:rPr>
                      <w:kern w:val="0"/>
                      <w:szCs w:val="21"/>
                    </w:rPr>
                    <w:t>纺丝油剂废气</w:t>
                  </w:r>
                </w:p>
              </w:tc>
              <w:tc>
                <w:tcPr>
                  <w:tcW w:w="548" w:type="pct"/>
                  <w:vAlign w:val="center"/>
                </w:tcPr>
                <w:p w14:paraId="53ECBE9D">
                  <w:pPr>
                    <w:widowControl/>
                    <w:jc w:val="left"/>
                    <w:rPr>
                      <w:kern w:val="0"/>
                      <w:szCs w:val="21"/>
                    </w:rPr>
                  </w:pPr>
                </w:p>
              </w:tc>
              <w:tc>
                <w:tcPr>
                  <w:tcW w:w="540" w:type="pct"/>
                  <w:vAlign w:val="center"/>
                </w:tcPr>
                <w:p w14:paraId="3C595C9C">
                  <w:pPr>
                    <w:widowControl/>
                    <w:jc w:val="center"/>
                    <w:rPr>
                      <w:kern w:val="0"/>
                      <w:szCs w:val="21"/>
                    </w:rPr>
                  </w:pPr>
                  <w:r>
                    <w:rPr>
                      <w:kern w:val="0"/>
                      <w:szCs w:val="21"/>
                    </w:rPr>
                    <w:t>59.54</w:t>
                  </w:r>
                </w:p>
              </w:tc>
              <w:tc>
                <w:tcPr>
                  <w:tcW w:w="545" w:type="pct"/>
                  <w:vAlign w:val="center"/>
                </w:tcPr>
                <w:p w14:paraId="4B42A2C4">
                  <w:pPr>
                    <w:widowControl/>
                    <w:jc w:val="left"/>
                    <w:rPr>
                      <w:kern w:val="0"/>
                      <w:szCs w:val="21"/>
                    </w:rPr>
                  </w:pPr>
                </w:p>
              </w:tc>
              <w:tc>
                <w:tcPr>
                  <w:tcW w:w="540" w:type="pct"/>
                  <w:vAlign w:val="center"/>
                </w:tcPr>
                <w:p w14:paraId="566B07BA">
                  <w:pPr>
                    <w:widowControl/>
                    <w:jc w:val="left"/>
                    <w:rPr>
                      <w:kern w:val="0"/>
                      <w:szCs w:val="21"/>
                    </w:rPr>
                  </w:pPr>
                </w:p>
              </w:tc>
            </w:tr>
            <w:tr w14:paraId="1722FE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33" w:type="pct"/>
                  <w:vAlign w:val="center"/>
                </w:tcPr>
                <w:p w14:paraId="1DA22A06">
                  <w:pPr>
                    <w:widowControl/>
                    <w:jc w:val="left"/>
                    <w:rPr>
                      <w:kern w:val="0"/>
                      <w:szCs w:val="21"/>
                    </w:rPr>
                  </w:pPr>
                </w:p>
              </w:tc>
              <w:tc>
                <w:tcPr>
                  <w:tcW w:w="755" w:type="pct"/>
                  <w:vAlign w:val="center"/>
                </w:tcPr>
                <w:p w14:paraId="7132E432">
                  <w:pPr>
                    <w:widowControl/>
                    <w:jc w:val="left"/>
                    <w:rPr>
                      <w:kern w:val="0"/>
                      <w:szCs w:val="21"/>
                    </w:rPr>
                  </w:pPr>
                </w:p>
              </w:tc>
              <w:tc>
                <w:tcPr>
                  <w:tcW w:w="651" w:type="pct"/>
                  <w:vAlign w:val="center"/>
                </w:tcPr>
                <w:p w14:paraId="48693EF6">
                  <w:pPr>
                    <w:widowControl/>
                    <w:jc w:val="left"/>
                    <w:rPr>
                      <w:kern w:val="0"/>
                      <w:szCs w:val="21"/>
                    </w:rPr>
                  </w:pPr>
                </w:p>
              </w:tc>
              <w:tc>
                <w:tcPr>
                  <w:tcW w:w="340" w:type="pct"/>
                  <w:vAlign w:val="center"/>
                </w:tcPr>
                <w:p w14:paraId="08A13352">
                  <w:pPr>
                    <w:widowControl/>
                    <w:jc w:val="center"/>
                    <w:rPr>
                      <w:kern w:val="0"/>
                      <w:sz w:val="20"/>
                      <w:szCs w:val="20"/>
                    </w:rPr>
                  </w:pPr>
                  <w:r>
                    <w:rPr>
                      <w:kern w:val="0"/>
                      <w:sz w:val="20"/>
                      <w:szCs w:val="20"/>
                    </w:rPr>
                    <w:t>6</w:t>
                  </w:r>
                </w:p>
              </w:tc>
              <w:tc>
                <w:tcPr>
                  <w:tcW w:w="748" w:type="pct"/>
                  <w:vAlign w:val="center"/>
                </w:tcPr>
                <w:p w14:paraId="2B3A7D00">
                  <w:pPr>
                    <w:widowControl/>
                    <w:jc w:val="center"/>
                    <w:rPr>
                      <w:kern w:val="0"/>
                      <w:szCs w:val="21"/>
                    </w:rPr>
                  </w:pPr>
                  <w:r>
                    <w:rPr>
                      <w:kern w:val="0"/>
                      <w:szCs w:val="21"/>
                    </w:rPr>
                    <w:t>切片结晶干燥废气</w:t>
                  </w:r>
                </w:p>
              </w:tc>
              <w:tc>
                <w:tcPr>
                  <w:tcW w:w="548" w:type="pct"/>
                  <w:vAlign w:val="center"/>
                </w:tcPr>
                <w:p w14:paraId="7DDA22EB">
                  <w:pPr>
                    <w:widowControl/>
                    <w:jc w:val="left"/>
                    <w:rPr>
                      <w:kern w:val="0"/>
                      <w:szCs w:val="21"/>
                    </w:rPr>
                  </w:pPr>
                </w:p>
              </w:tc>
              <w:tc>
                <w:tcPr>
                  <w:tcW w:w="540" w:type="pct"/>
                  <w:vAlign w:val="center"/>
                </w:tcPr>
                <w:p w14:paraId="347A7ADF">
                  <w:pPr>
                    <w:widowControl/>
                    <w:jc w:val="center"/>
                    <w:rPr>
                      <w:kern w:val="0"/>
                      <w:szCs w:val="21"/>
                    </w:rPr>
                  </w:pPr>
                  <w:r>
                    <w:rPr>
                      <w:kern w:val="0"/>
                      <w:szCs w:val="21"/>
                    </w:rPr>
                    <w:t>1.05</w:t>
                  </w:r>
                </w:p>
              </w:tc>
              <w:tc>
                <w:tcPr>
                  <w:tcW w:w="545" w:type="pct"/>
                  <w:vAlign w:val="center"/>
                </w:tcPr>
                <w:p w14:paraId="59C88D42">
                  <w:pPr>
                    <w:widowControl/>
                    <w:jc w:val="left"/>
                    <w:rPr>
                      <w:kern w:val="0"/>
                      <w:szCs w:val="21"/>
                    </w:rPr>
                  </w:pPr>
                </w:p>
              </w:tc>
              <w:tc>
                <w:tcPr>
                  <w:tcW w:w="540" w:type="pct"/>
                  <w:vAlign w:val="center"/>
                </w:tcPr>
                <w:p w14:paraId="7DE00B6B">
                  <w:pPr>
                    <w:widowControl/>
                    <w:jc w:val="left"/>
                    <w:rPr>
                      <w:kern w:val="0"/>
                      <w:szCs w:val="21"/>
                    </w:rPr>
                  </w:pPr>
                </w:p>
              </w:tc>
            </w:tr>
            <w:tr w14:paraId="23DC00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3" w:type="pct"/>
                  <w:vAlign w:val="center"/>
                </w:tcPr>
                <w:p w14:paraId="347863FB">
                  <w:pPr>
                    <w:widowControl/>
                    <w:jc w:val="left"/>
                    <w:rPr>
                      <w:kern w:val="0"/>
                      <w:szCs w:val="21"/>
                    </w:rPr>
                  </w:pPr>
                </w:p>
              </w:tc>
              <w:tc>
                <w:tcPr>
                  <w:tcW w:w="755" w:type="pct"/>
                  <w:vAlign w:val="center"/>
                </w:tcPr>
                <w:p w14:paraId="09A05D51">
                  <w:pPr>
                    <w:widowControl/>
                    <w:jc w:val="left"/>
                    <w:rPr>
                      <w:kern w:val="0"/>
                      <w:szCs w:val="21"/>
                    </w:rPr>
                  </w:pPr>
                </w:p>
              </w:tc>
              <w:tc>
                <w:tcPr>
                  <w:tcW w:w="651" w:type="pct"/>
                  <w:vAlign w:val="center"/>
                </w:tcPr>
                <w:p w14:paraId="6828AAB0">
                  <w:pPr>
                    <w:widowControl/>
                    <w:jc w:val="left"/>
                    <w:rPr>
                      <w:kern w:val="0"/>
                      <w:szCs w:val="21"/>
                    </w:rPr>
                  </w:pPr>
                </w:p>
              </w:tc>
              <w:tc>
                <w:tcPr>
                  <w:tcW w:w="340" w:type="pct"/>
                  <w:vAlign w:val="center"/>
                </w:tcPr>
                <w:p w14:paraId="7B291FF7">
                  <w:pPr>
                    <w:widowControl/>
                    <w:jc w:val="center"/>
                    <w:rPr>
                      <w:kern w:val="0"/>
                      <w:szCs w:val="21"/>
                    </w:rPr>
                  </w:pPr>
                  <w:r>
                    <w:rPr>
                      <w:kern w:val="0"/>
                      <w:szCs w:val="21"/>
                    </w:rPr>
                    <w:t>7</w:t>
                  </w:r>
                </w:p>
              </w:tc>
              <w:tc>
                <w:tcPr>
                  <w:tcW w:w="748" w:type="pct"/>
                  <w:vAlign w:val="center"/>
                </w:tcPr>
                <w:p w14:paraId="73BC347F">
                  <w:pPr>
                    <w:widowControl/>
                    <w:jc w:val="center"/>
                    <w:rPr>
                      <w:kern w:val="0"/>
                      <w:szCs w:val="21"/>
                    </w:rPr>
                  </w:pPr>
                  <w:r>
                    <w:rPr>
                      <w:kern w:val="0"/>
                      <w:szCs w:val="21"/>
                    </w:rPr>
                    <w:t>废无油丝</w:t>
                  </w:r>
                </w:p>
              </w:tc>
              <w:tc>
                <w:tcPr>
                  <w:tcW w:w="548" w:type="pct"/>
                  <w:vAlign w:val="center"/>
                </w:tcPr>
                <w:p w14:paraId="1636F063">
                  <w:pPr>
                    <w:widowControl/>
                    <w:jc w:val="left"/>
                    <w:rPr>
                      <w:kern w:val="0"/>
                      <w:szCs w:val="21"/>
                    </w:rPr>
                  </w:pPr>
                </w:p>
              </w:tc>
              <w:tc>
                <w:tcPr>
                  <w:tcW w:w="540" w:type="pct"/>
                  <w:vAlign w:val="center"/>
                </w:tcPr>
                <w:p w14:paraId="54B0D05E">
                  <w:pPr>
                    <w:widowControl/>
                    <w:jc w:val="left"/>
                    <w:rPr>
                      <w:kern w:val="0"/>
                      <w:szCs w:val="21"/>
                    </w:rPr>
                  </w:pPr>
                </w:p>
              </w:tc>
              <w:tc>
                <w:tcPr>
                  <w:tcW w:w="545" w:type="pct"/>
                  <w:vAlign w:val="center"/>
                </w:tcPr>
                <w:p w14:paraId="1E368E27">
                  <w:pPr>
                    <w:widowControl/>
                    <w:jc w:val="left"/>
                    <w:rPr>
                      <w:kern w:val="0"/>
                      <w:szCs w:val="21"/>
                    </w:rPr>
                  </w:pPr>
                </w:p>
              </w:tc>
              <w:tc>
                <w:tcPr>
                  <w:tcW w:w="540" w:type="pct"/>
                  <w:vAlign w:val="center"/>
                </w:tcPr>
                <w:p w14:paraId="2DF82624">
                  <w:pPr>
                    <w:widowControl/>
                    <w:jc w:val="center"/>
                    <w:rPr>
                      <w:kern w:val="0"/>
                      <w:szCs w:val="21"/>
                    </w:rPr>
                  </w:pPr>
                  <w:r>
                    <w:rPr>
                      <w:kern w:val="0"/>
                      <w:szCs w:val="21"/>
                    </w:rPr>
                    <w:t>2304.2</w:t>
                  </w:r>
                </w:p>
              </w:tc>
            </w:tr>
            <w:tr w14:paraId="7364AE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3" w:type="pct"/>
                  <w:vAlign w:val="center"/>
                </w:tcPr>
                <w:p w14:paraId="4A1999DD">
                  <w:pPr>
                    <w:widowControl/>
                    <w:jc w:val="left"/>
                    <w:rPr>
                      <w:kern w:val="0"/>
                      <w:szCs w:val="21"/>
                    </w:rPr>
                  </w:pPr>
                </w:p>
              </w:tc>
              <w:tc>
                <w:tcPr>
                  <w:tcW w:w="755" w:type="pct"/>
                  <w:vAlign w:val="center"/>
                </w:tcPr>
                <w:p w14:paraId="533097FD">
                  <w:pPr>
                    <w:widowControl/>
                    <w:jc w:val="left"/>
                    <w:rPr>
                      <w:kern w:val="0"/>
                      <w:szCs w:val="21"/>
                    </w:rPr>
                  </w:pPr>
                </w:p>
              </w:tc>
              <w:tc>
                <w:tcPr>
                  <w:tcW w:w="651" w:type="pct"/>
                  <w:vAlign w:val="center"/>
                </w:tcPr>
                <w:p w14:paraId="0A43A38C">
                  <w:pPr>
                    <w:widowControl/>
                    <w:jc w:val="left"/>
                    <w:rPr>
                      <w:kern w:val="0"/>
                      <w:szCs w:val="21"/>
                    </w:rPr>
                  </w:pPr>
                </w:p>
              </w:tc>
              <w:tc>
                <w:tcPr>
                  <w:tcW w:w="340" w:type="pct"/>
                  <w:vAlign w:val="center"/>
                </w:tcPr>
                <w:p w14:paraId="5FE5F525">
                  <w:pPr>
                    <w:widowControl/>
                    <w:jc w:val="center"/>
                    <w:rPr>
                      <w:kern w:val="0"/>
                      <w:sz w:val="20"/>
                      <w:szCs w:val="20"/>
                    </w:rPr>
                  </w:pPr>
                  <w:r>
                    <w:rPr>
                      <w:kern w:val="0"/>
                      <w:sz w:val="20"/>
                      <w:szCs w:val="20"/>
                    </w:rPr>
                    <w:t>8</w:t>
                  </w:r>
                </w:p>
              </w:tc>
              <w:tc>
                <w:tcPr>
                  <w:tcW w:w="748" w:type="pct"/>
                  <w:vAlign w:val="center"/>
                </w:tcPr>
                <w:p w14:paraId="13FA6AA1">
                  <w:pPr>
                    <w:widowControl/>
                    <w:jc w:val="center"/>
                    <w:rPr>
                      <w:kern w:val="0"/>
                      <w:szCs w:val="21"/>
                    </w:rPr>
                  </w:pPr>
                  <w:r>
                    <w:rPr>
                      <w:kern w:val="0"/>
                      <w:szCs w:val="21"/>
                    </w:rPr>
                    <w:t>废含油丝</w:t>
                  </w:r>
                </w:p>
              </w:tc>
              <w:tc>
                <w:tcPr>
                  <w:tcW w:w="548" w:type="pct"/>
                  <w:vAlign w:val="center"/>
                </w:tcPr>
                <w:p w14:paraId="08D96255">
                  <w:pPr>
                    <w:widowControl/>
                    <w:jc w:val="left"/>
                    <w:rPr>
                      <w:kern w:val="0"/>
                      <w:szCs w:val="21"/>
                    </w:rPr>
                  </w:pPr>
                </w:p>
              </w:tc>
              <w:tc>
                <w:tcPr>
                  <w:tcW w:w="540" w:type="pct"/>
                  <w:vAlign w:val="center"/>
                </w:tcPr>
                <w:p w14:paraId="169E0111">
                  <w:pPr>
                    <w:widowControl/>
                    <w:jc w:val="left"/>
                    <w:rPr>
                      <w:kern w:val="0"/>
                      <w:szCs w:val="21"/>
                    </w:rPr>
                  </w:pPr>
                </w:p>
              </w:tc>
              <w:tc>
                <w:tcPr>
                  <w:tcW w:w="545" w:type="pct"/>
                  <w:vAlign w:val="center"/>
                </w:tcPr>
                <w:p w14:paraId="469BA6C4">
                  <w:pPr>
                    <w:widowControl/>
                    <w:jc w:val="left"/>
                    <w:rPr>
                      <w:kern w:val="0"/>
                      <w:szCs w:val="21"/>
                    </w:rPr>
                  </w:pPr>
                </w:p>
              </w:tc>
              <w:tc>
                <w:tcPr>
                  <w:tcW w:w="540" w:type="pct"/>
                  <w:vAlign w:val="center"/>
                </w:tcPr>
                <w:p w14:paraId="5C5992E1">
                  <w:pPr>
                    <w:widowControl/>
                    <w:jc w:val="center"/>
                    <w:rPr>
                      <w:kern w:val="0"/>
                      <w:szCs w:val="21"/>
                    </w:rPr>
                  </w:pPr>
                  <w:r>
                    <w:rPr>
                      <w:kern w:val="0"/>
                      <w:szCs w:val="21"/>
                    </w:rPr>
                    <w:t>2081</w:t>
                  </w:r>
                </w:p>
              </w:tc>
            </w:tr>
            <w:tr w14:paraId="6280DA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8" w:type="pct"/>
                  <w:gridSpan w:val="2"/>
                  <w:vMerge w:val="restart"/>
                  <w:vAlign w:val="center"/>
                </w:tcPr>
                <w:p w14:paraId="787D0E3B">
                  <w:pPr>
                    <w:widowControl/>
                    <w:jc w:val="center"/>
                    <w:rPr>
                      <w:kern w:val="0"/>
                      <w:szCs w:val="21"/>
                    </w:rPr>
                  </w:pPr>
                  <w:r>
                    <w:rPr>
                      <w:kern w:val="0"/>
                      <w:szCs w:val="21"/>
                    </w:rPr>
                    <w:t>合计</w:t>
                  </w:r>
                </w:p>
              </w:tc>
              <w:tc>
                <w:tcPr>
                  <w:tcW w:w="651" w:type="pct"/>
                  <w:vMerge w:val="restart"/>
                  <w:vAlign w:val="center"/>
                </w:tcPr>
                <w:p w14:paraId="7097F6ED">
                  <w:pPr>
                    <w:widowControl/>
                    <w:jc w:val="center"/>
                    <w:rPr>
                      <w:kern w:val="0"/>
                      <w:szCs w:val="21"/>
                    </w:rPr>
                  </w:pPr>
                  <w:r>
                    <w:rPr>
                      <w:kern w:val="0"/>
                      <w:szCs w:val="21"/>
                    </w:rPr>
                    <w:t>554445.8</w:t>
                  </w:r>
                </w:p>
              </w:tc>
              <w:tc>
                <w:tcPr>
                  <w:tcW w:w="1088" w:type="pct"/>
                  <w:gridSpan w:val="2"/>
                  <w:vAlign w:val="center"/>
                </w:tcPr>
                <w:p w14:paraId="10E8C7EE">
                  <w:pPr>
                    <w:widowControl/>
                    <w:jc w:val="center"/>
                    <w:rPr>
                      <w:kern w:val="0"/>
                      <w:szCs w:val="21"/>
                    </w:rPr>
                  </w:pPr>
                  <w:r>
                    <w:rPr>
                      <w:kern w:val="0"/>
                      <w:szCs w:val="21"/>
                    </w:rPr>
                    <w:t>小计</w:t>
                  </w:r>
                </w:p>
              </w:tc>
              <w:tc>
                <w:tcPr>
                  <w:tcW w:w="548" w:type="pct"/>
                  <w:vAlign w:val="center"/>
                </w:tcPr>
                <w:p w14:paraId="4D4AA33E">
                  <w:pPr>
                    <w:widowControl/>
                    <w:jc w:val="center"/>
                    <w:rPr>
                      <w:kern w:val="0"/>
                      <w:szCs w:val="21"/>
                    </w:rPr>
                  </w:pPr>
                  <w:r>
                    <w:rPr>
                      <w:kern w:val="0"/>
                      <w:szCs w:val="21"/>
                    </w:rPr>
                    <w:t>550000</w:t>
                  </w:r>
                </w:p>
              </w:tc>
              <w:tc>
                <w:tcPr>
                  <w:tcW w:w="540" w:type="pct"/>
                  <w:vAlign w:val="center"/>
                </w:tcPr>
                <w:p w14:paraId="43655AB0">
                  <w:pPr>
                    <w:widowControl/>
                    <w:jc w:val="center"/>
                    <w:rPr>
                      <w:kern w:val="0"/>
                      <w:szCs w:val="21"/>
                    </w:rPr>
                  </w:pPr>
                  <w:r>
                    <w:rPr>
                      <w:kern w:val="0"/>
                      <w:szCs w:val="21"/>
                    </w:rPr>
                    <w:t>60.6</w:t>
                  </w:r>
                </w:p>
              </w:tc>
              <w:tc>
                <w:tcPr>
                  <w:tcW w:w="545" w:type="pct"/>
                  <w:vAlign w:val="center"/>
                </w:tcPr>
                <w:p w14:paraId="2254F1A0">
                  <w:pPr>
                    <w:widowControl/>
                    <w:jc w:val="left"/>
                    <w:rPr>
                      <w:kern w:val="0"/>
                      <w:szCs w:val="21"/>
                    </w:rPr>
                  </w:pPr>
                </w:p>
              </w:tc>
              <w:tc>
                <w:tcPr>
                  <w:tcW w:w="540" w:type="pct"/>
                  <w:vAlign w:val="center"/>
                </w:tcPr>
                <w:p w14:paraId="2FC638E1">
                  <w:pPr>
                    <w:widowControl/>
                    <w:jc w:val="center"/>
                    <w:rPr>
                      <w:kern w:val="0"/>
                      <w:szCs w:val="21"/>
                    </w:rPr>
                  </w:pPr>
                  <w:r>
                    <w:rPr>
                      <w:kern w:val="0"/>
                      <w:szCs w:val="21"/>
                    </w:rPr>
                    <w:t>4385.2</w:t>
                  </w:r>
                </w:p>
              </w:tc>
            </w:tr>
            <w:tr w14:paraId="18654A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8" w:type="pct"/>
                  <w:gridSpan w:val="2"/>
                  <w:vMerge w:val="continue"/>
                  <w:vAlign w:val="center"/>
                </w:tcPr>
                <w:p w14:paraId="044EBE4E">
                  <w:pPr>
                    <w:widowControl/>
                    <w:jc w:val="left"/>
                    <w:rPr>
                      <w:kern w:val="0"/>
                      <w:szCs w:val="21"/>
                    </w:rPr>
                  </w:pPr>
                </w:p>
              </w:tc>
              <w:tc>
                <w:tcPr>
                  <w:tcW w:w="651" w:type="pct"/>
                  <w:vMerge w:val="continue"/>
                  <w:vAlign w:val="center"/>
                </w:tcPr>
                <w:p w14:paraId="5BE77BF1">
                  <w:pPr>
                    <w:widowControl/>
                    <w:jc w:val="left"/>
                    <w:rPr>
                      <w:kern w:val="0"/>
                      <w:szCs w:val="21"/>
                    </w:rPr>
                  </w:pPr>
                </w:p>
              </w:tc>
              <w:tc>
                <w:tcPr>
                  <w:tcW w:w="3261" w:type="pct"/>
                  <w:gridSpan w:val="6"/>
                  <w:vAlign w:val="center"/>
                </w:tcPr>
                <w:p w14:paraId="5A8AC2F0">
                  <w:pPr>
                    <w:widowControl/>
                    <w:jc w:val="center"/>
                    <w:rPr>
                      <w:kern w:val="0"/>
                      <w:szCs w:val="21"/>
                    </w:rPr>
                  </w:pPr>
                  <w:r>
                    <w:rPr>
                      <w:kern w:val="0"/>
                      <w:szCs w:val="21"/>
                    </w:rPr>
                    <w:t>554445.8</w:t>
                  </w:r>
                </w:p>
              </w:tc>
            </w:tr>
          </w:tbl>
          <w:p w14:paraId="370DC59F">
            <w:pPr>
              <w:tabs>
                <w:tab w:val="left" w:pos="0"/>
              </w:tabs>
              <w:spacing w:line="500" w:lineRule="exact"/>
              <w:jc w:val="center"/>
              <w:rPr>
                <w:b/>
                <w:szCs w:val="20"/>
              </w:rPr>
            </w:pPr>
          </w:p>
          <w:p w14:paraId="02468436">
            <w:pPr>
              <w:tabs>
                <w:tab w:val="left" w:pos="0"/>
              </w:tabs>
              <w:spacing w:line="500" w:lineRule="exact"/>
              <w:jc w:val="center"/>
              <w:rPr>
                <w:b/>
                <w:szCs w:val="20"/>
              </w:rPr>
            </w:pPr>
            <w:r>
              <w:rPr>
                <w:b/>
                <w:szCs w:val="20"/>
              </w:rPr>
              <w:t>表2-1</w:t>
            </w:r>
            <w:r>
              <w:rPr>
                <w:rFonts w:hint="eastAsia"/>
                <w:b/>
                <w:szCs w:val="20"/>
              </w:rPr>
              <w:t>2</w:t>
            </w:r>
            <w:r>
              <w:rPr>
                <w:b/>
                <w:szCs w:val="20"/>
              </w:rPr>
              <w:t xml:space="preserve">  废丝回收系统物料平衡表（单位：t/a）</w:t>
            </w:r>
          </w:p>
          <w:tbl>
            <w:tblPr>
              <w:tblStyle w:val="9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316"/>
              <w:gridCol w:w="1016"/>
              <w:gridCol w:w="829"/>
              <w:gridCol w:w="1641"/>
              <w:gridCol w:w="1019"/>
              <w:gridCol w:w="659"/>
              <w:gridCol w:w="915"/>
            </w:tblGrid>
            <w:tr w14:paraId="69AD57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35" w:type="pct"/>
                  <w:vMerge w:val="restart"/>
                  <w:vAlign w:val="center"/>
                </w:tcPr>
                <w:p w14:paraId="664AC23D">
                  <w:pPr>
                    <w:widowControl/>
                    <w:jc w:val="center"/>
                    <w:rPr>
                      <w:b/>
                      <w:bCs/>
                      <w:kern w:val="0"/>
                      <w:szCs w:val="21"/>
                    </w:rPr>
                  </w:pPr>
                  <w:r>
                    <w:rPr>
                      <w:b/>
                      <w:bCs/>
                      <w:kern w:val="0"/>
                      <w:szCs w:val="21"/>
                    </w:rPr>
                    <w:t>序号</w:t>
                  </w:r>
                </w:p>
              </w:tc>
              <w:tc>
                <w:tcPr>
                  <w:tcW w:w="1471" w:type="pct"/>
                  <w:gridSpan w:val="2"/>
                  <w:vAlign w:val="center"/>
                </w:tcPr>
                <w:p w14:paraId="5D0A87F6">
                  <w:pPr>
                    <w:widowControl/>
                    <w:jc w:val="center"/>
                    <w:rPr>
                      <w:b/>
                      <w:bCs/>
                      <w:kern w:val="0"/>
                      <w:szCs w:val="21"/>
                    </w:rPr>
                  </w:pPr>
                  <w:r>
                    <w:rPr>
                      <w:b/>
                      <w:bCs/>
                      <w:kern w:val="0"/>
                      <w:szCs w:val="21"/>
                    </w:rPr>
                    <w:t>入方</w:t>
                  </w:r>
                </w:p>
              </w:tc>
              <w:tc>
                <w:tcPr>
                  <w:tcW w:w="3194" w:type="pct"/>
                  <w:gridSpan w:val="5"/>
                  <w:vAlign w:val="center"/>
                </w:tcPr>
                <w:p w14:paraId="780EC520">
                  <w:pPr>
                    <w:widowControl/>
                    <w:jc w:val="center"/>
                    <w:rPr>
                      <w:b/>
                      <w:bCs/>
                      <w:kern w:val="0"/>
                      <w:szCs w:val="21"/>
                    </w:rPr>
                  </w:pPr>
                  <w:r>
                    <w:rPr>
                      <w:b/>
                      <w:bCs/>
                      <w:kern w:val="0"/>
                      <w:szCs w:val="21"/>
                    </w:rPr>
                    <w:t>出方</w:t>
                  </w:r>
                </w:p>
              </w:tc>
            </w:tr>
            <w:tr w14:paraId="765A73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35" w:type="pct"/>
                  <w:vMerge w:val="continue"/>
                  <w:vAlign w:val="center"/>
                </w:tcPr>
                <w:p w14:paraId="3A114B4C">
                  <w:pPr>
                    <w:widowControl/>
                    <w:jc w:val="left"/>
                    <w:rPr>
                      <w:b/>
                      <w:bCs/>
                      <w:kern w:val="0"/>
                      <w:szCs w:val="21"/>
                    </w:rPr>
                  </w:pPr>
                </w:p>
              </w:tc>
              <w:tc>
                <w:tcPr>
                  <w:tcW w:w="830" w:type="pct"/>
                  <w:vAlign w:val="center"/>
                </w:tcPr>
                <w:p w14:paraId="4482866A">
                  <w:pPr>
                    <w:widowControl/>
                    <w:jc w:val="center"/>
                    <w:rPr>
                      <w:b/>
                      <w:bCs/>
                      <w:kern w:val="0"/>
                      <w:szCs w:val="21"/>
                    </w:rPr>
                  </w:pPr>
                  <w:r>
                    <w:rPr>
                      <w:b/>
                      <w:bCs/>
                      <w:kern w:val="0"/>
                      <w:szCs w:val="21"/>
                    </w:rPr>
                    <w:t>物料名称</w:t>
                  </w:r>
                </w:p>
              </w:tc>
              <w:tc>
                <w:tcPr>
                  <w:tcW w:w="641" w:type="pct"/>
                  <w:vAlign w:val="center"/>
                </w:tcPr>
                <w:p w14:paraId="5E6B683F">
                  <w:pPr>
                    <w:widowControl/>
                    <w:jc w:val="center"/>
                    <w:rPr>
                      <w:b/>
                      <w:bCs/>
                      <w:kern w:val="0"/>
                      <w:szCs w:val="21"/>
                    </w:rPr>
                  </w:pPr>
                  <w:r>
                    <w:rPr>
                      <w:b/>
                      <w:bCs/>
                      <w:kern w:val="0"/>
                      <w:szCs w:val="21"/>
                    </w:rPr>
                    <w:t>数量</w:t>
                  </w:r>
                </w:p>
              </w:tc>
              <w:tc>
                <w:tcPr>
                  <w:tcW w:w="523" w:type="pct"/>
                  <w:vAlign w:val="center"/>
                </w:tcPr>
                <w:p w14:paraId="598B2DA0">
                  <w:pPr>
                    <w:widowControl/>
                    <w:jc w:val="center"/>
                    <w:rPr>
                      <w:b/>
                      <w:bCs/>
                      <w:kern w:val="0"/>
                      <w:szCs w:val="21"/>
                    </w:rPr>
                  </w:pPr>
                  <w:r>
                    <w:rPr>
                      <w:b/>
                      <w:bCs/>
                      <w:kern w:val="0"/>
                      <w:szCs w:val="21"/>
                    </w:rPr>
                    <w:t>序号</w:t>
                  </w:r>
                </w:p>
              </w:tc>
              <w:tc>
                <w:tcPr>
                  <w:tcW w:w="1035" w:type="pct"/>
                  <w:vAlign w:val="center"/>
                </w:tcPr>
                <w:p w14:paraId="4B622CD0">
                  <w:pPr>
                    <w:widowControl/>
                    <w:jc w:val="center"/>
                    <w:rPr>
                      <w:b/>
                      <w:bCs/>
                      <w:kern w:val="0"/>
                      <w:szCs w:val="21"/>
                    </w:rPr>
                  </w:pPr>
                  <w:r>
                    <w:rPr>
                      <w:b/>
                      <w:bCs/>
                      <w:kern w:val="0"/>
                      <w:szCs w:val="21"/>
                    </w:rPr>
                    <w:t>物料名称</w:t>
                  </w:r>
                </w:p>
              </w:tc>
              <w:tc>
                <w:tcPr>
                  <w:tcW w:w="643" w:type="pct"/>
                  <w:vAlign w:val="center"/>
                </w:tcPr>
                <w:p w14:paraId="03D86208">
                  <w:pPr>
                    <w:widowControl/>
                    <w:jc w:val="center"/>
                    <w:rPr>
                      <w:b/>
                      <w:bCs/>
                      <w:kern w:val="0"/>
                      <w:szCs w:val="21"/>
                    </w:rPr>
                  </w:pPr>
                  <w:r>
                    <w:rPr>
                      <w:b/>
                      <w:bCs/>
                      <w:kern w:val="0"/>
                      <w:szCs w:val="21"/>
                    </w:rPr>
                    <w:t>废气</w:t>
                  </w:r>
                </w:p>
              </w:tc>
              <w:tc>
                <w:tcPr>
                  <w:tcW w:w="416" w:type="pct"/>
                  <w:vAlign w:val="center"/>
                </w:tcPr>
                <w:p w14:paraId="1F357405">
                  <w:pPr>
                    <w:widowControl/>
                    <w:jc w:val="center"/>
                    <w:rPr>
                      <w:b/>
                      <w:bCs/>
                      <w:kern w:val="0"/>
                      <w:szCs w:val="21"/>
                    </w:rPr>
                  </w:pPr>
                  <w:r>
                    <w:rPr>
                      <w:b/>
                      <w:bCs/>
                      <w:kern w:val="0"/>
                      <w:szCs w:val="21"/>
                    </w:rPr>
                    <w:t>废水</w:t>
                  </w:r>
                </w:p>
              </w:tc>
              <w:tc>
                <w:tcPr>
                  <w:tcW w:w="576" w:type="pct"/>
                  <w:vAlign w:val="center"/>
                </w:tcPr>
                <w:p w14:paraId="60B0B69C">
                  <w:pPr>
                    <w:widowControl/>
                    <w:jc w:val="center"/>
                    <w:rPr>
                      <w:b/>
                      <w:bCs/>
                      <w:kern w:val="0"/>
                      <w:szCs w:val="21"/>
                    </w:rPr>
                  </w:pPr>
                  <w:r>
                    <w:rPr>
                      <w:b/>
                      <w:bCs/>
                      <w:kern w:val="0"/>
                      <w:szCs w:val="21"/>
                    </w:rPr>
                    <w:t>固废</w:t>
                  </w:r>
                </w:p>
              </w:tc>
            </w:tr>
            <w:tr w14:paraId="5C62CE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35" w:type="pct"/>
                  <w:vAlign w:val="center"/>
                </w:tcPr>
                <w:p w14:paraId="071B9C10">
                  <w:pPr>
                    <w:widowControl/>
                    <w:jc w:val="center"/>
                    <w:rPr>
                      <w:kern w:val="0"/>
                      <w:szCs w:val="21"/>
                    </w:rPr>
                  </w:pPr>
                  <w:r>
                    <w:rPr>
                      <w:kern w:val="0"/>
                      <w:szCs w:val="21"/>
                    </w:rPr>
                    <w:t>1</w:t>
                  </w:r>
                </w:p>
              </w:tc>
              <w:tc>
                <w:tcPr>
                  <w:tcW w:w="830" w:type="pct"/>
                  <w:vAlign w:val="center"/>
                </w:tcPr>
                <w:p w14:paraId="493EBCE5">
                  <w:pPr>
                    <w:widowControl/>
                    <w:jc w:val="center"/>
                    <w:rPr>
                      <w:kern w:val="0"/>
                      <w:szCs w:val="21"/>
                    </w:rPr>
                  </w:pPr>
                  <w:r>
                    <w:rPr>
                      <w:kern w:val="0"/>
                      <w:szCs w:val="21"/>
                    </w:rPr>
                    <w:t>废无油丝</w:t>
                  </w:r>
                </w:p>
              </w:tc>
              <w:tc>
                <w:tcPr>
                  <w:tcW w:w="641" w:type="pct"/>
                  <w:vAlign w:val="center"/>
                </w:tcPr>
                <w:p w14:paraId="06E1880B">
                  <w:pPr>
                    <w:widowControl/>
                    <w:jc w:val="center"/>
                    <w:rPr>
                      <w:kern w:val="0"/>
                      <w:szCs w:val="21"/>
                    </w:rPr>
                  </w:pPr>
                  <w:r>
                    <w:rPr>
                      <w:kern w:val="0"/>
                      <w:szCs w:val="21"/>
                    </w:rPr>
                    <w:t>2304.2</w:t>
                  </w:r>
                </w:p>
              </w:tc>
              <w:tc>
                <w:tcPr>
                  <w:tcW w:w="523" w:type="pct"/>
                  <w:vAlign w:val="center"/>
                </w:tcPr>
                <w:p w14:paraId="152CC239">
                  <w:pPr>
                    <w:widowControl/>
                    <w:jc w:val="center"/>
                    <w:rPr>
                      <w:kern w:val="0"/>
                      <w:szCs w:val="21"/>
                    </w:rPr>
                  </w:pPr>
                  <w:r>
                    <w:rPr>
                      <w:kern w:val="0"/>
                      <w:szCs w:val="21"/>
                    </w:rPr>
                    <w:t>1</w:t>
                  </w:r>
                </w:p>
              </w:tc>
              <w:tc>
                <w:tcPr>
                  <w:tcW w:w="1035" w:type="pct"/>
                  <w:vAlign w:val="center"/>
                </w:tcPr>
                <w:p w14:paraId="7123CF55">
                  <w:pPr>
                    <w:widowControl/>
                    <w:jc w:val="center"/>
                    <w:rPr>
                      <w:kern w:val="0"/>
                      <w:szCs w:val="21"/>
                    </w:rPr>
                  </w:pPr>
                  <w:r>
                    <w:rPr>
                      <w:kern w:val="0"/>
                      <w:szCs w:val="21"/>
                    </w:rPr>
                    <w:t>摩擦料</w:t>
                  </w:r>
                </w:p>
              </w:tc>
              <w:tc>
                <w:tcPr>
                  <w:tcW w:w="643" w:type="pct"/>
                  <w:vAlign w:val="center"/>
                </w:tcPr>
                <w:p w14:paraId="7AE9AD10">
                  <w:pPr>
                    <w:widowControl/>
                    <w:jc w:val="center"/>
                    <w:rPr>
                      <w:kern w:val="0"/>
                      <w:szCs w:val="21"/>
                    </w:rPr>
                  </w:pPr>
                </w:p>
              </w:tc>
              <w:tc>
                <w:tcPr>
                  <w:tcW w:w="416" w:type="pct"/>
                  <w:vAlign w:val="center"/>
                </w:tcPr>
                <w:p w14:paraId="71A13B0A">
                  <w:pPr>
                    <w:widowControl/>
                    <w:jc w:val="left"/>
                    <w:rPr>
                      <w:rFonts w:eastAsia="Times New Roman"/>
                      <w:kern w:val="0"/>
                      <w:sz w:val="20"/>
                      <w:szCs w:val="20"/>
                    </w:rPr>
                  </w:pPr>
                </w:p>
              </w:tc>
              <w:tc>
                <w:tcPr>
                  <w:tcW w:w="576" w:type="pct"/>
                  <w:vAlign w:val="center"/>
                </w:tcPr>
                <w:p w14:paraId="5162F521">
                  <w:pPr>
                    <w:widowControl/>
                    <w:jc w:val="left"/>
                    <w:rPr>
                      <w:rFonts w:eastAsia="Times New Roman"/>
                      <w:kern w:val="0"/>
                      <w:sz w:val="20"/>
                      <w:szCs w:val="20"/>
                    </w:rPr>
                  </w:pPr>
                  <w:r>
                    <w:rPr>
                      <w:kern w:val="0"/>
                      <w:szCs w:val="21"/>
                    </w:rPr>
                    <w:t>24000</w:t>
                  </w:r>
                </w:p>
              </w:tc>
            </w:tr>
            <w:tr w14:paraId="6046E1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35" w:type="pct"/>
                  <w:vAlign w:val="center"/>
                </w:tcPr>
                <w:p w14:paraId="559DAF95">
                  <w:pPr>
                    <w:widowControl/>
                    <w:jc w:val="center"/>
                    <w:rPr>
                      <w:kern w:val="0"/>
                      <w:szCs w:val="21"/>
                    </w:rPr>
                  </w:pPr>
                  <w:r>
                    <w:rPr>
                      <w:kern w:val="0"/>
                      <w:szCs w:val="21"/>
                    </w:rPr>
                    <w:t>2</w:t>
                  </w:r>
                </w:p>
              </w:tc>
              <w:tc>
                <w:tcPr>
                  <w:tcW w:w="830" w:type="pct"/>
                  <w:vAlign w:val="center"/>
                </w:tcPr>
                <w:p w14:paraId="1D65D0B5">
                  <w:pPr>
                    <w:widowControl/>
                    <w:jc w:val="center"/>
                    <w:rPr>
                      <w:kern w:val="0"/>
                      <w:szCs w:val="21"/>
                    </w:rPr>
                  </w:pPr>
                  <w:r>
                    <w:rPr>
                      <w:kern w:val="0"/>
                      <w:szCs w:val="21"/>
                    </w:rPr>
                    <w:t>废含油丝</w:t>
                  </w:r>
                </w:p>
              </w:tc>
              <w:tc>
                <w:tcPr>
                  <w:tcW w:w="641" w:type="pct"/>
                  <w:vAlign w:val="center"/>
                </w:tcPr>
                <w:p w14:paraId="6604609B">
                  <w:pPr>
                    <w:widowControl/>
                    <w:jc w:val="center"/>
                    <w:rPr>
                      <w:kern w:val="0"/>
                      <w:szCs w:val="21"/>
                    </w:rPr>
                  </w:pPr>
                  <w:r>
                    <w:rPr>
                      <w:kern w:val="0"/>
                      <w:szCs w:val="21"/>
                    </w:rPr>
                    <w:t>2081</w:t>
                  </w:r>
                </w:p>
              </w:tc>
              <w:tc>
                <w:tcPr>
                  <w:tcW w:w="523" w:type="pct"/>
                  <w:vAlign w:val="center"/>
                </w:tcPr>
                <w:p w14:paraId="50FB04A2">
                  <w:pPr>
                    <w:widowControl/>
                    <w:jc w:val="center"/>
                    <w:rPr>
                      <w:kern w:val="0"/>
                      <w:szCs w:val="21"/>
                    </w:rPr>
                  </w:pPr>
                  <w:r>
                    <w:rPr>
                      <w:kern w:val="0"/>
                      <w:szCs w:val="21"/>
                    </w:rPr>
                    <w:t>2</w:t>
                  </w:r>
                </w:p>
              </w:tc>
              <w:tc>
                <w:tcPr>
                  <w:tcW w:w="1035" w:type="pct"/>
                  <w:vAlign w:val="center"/>
                </w:tcPr>
                <w:p w14:paraId="48ED8B06">
                  <w:pPr>
                    <w:widowControl/>
                    <w:jc w:val="center"/>
                    <w:rPr>
                      <w:kern w:val="0"/>
                      <w:szCs w:val="21"/>
                    </w:rPr>
                  </w:pPr>
                  <w:r>
                    <w:rPr>
                      <w:kern w:val="0"/>
                      <w:szCs w:val="21"/>
                    </w:rPr>
                    <w:t>杂质废料</w:t>
                  </w:r>
                </w:p>
              </w:tc>
              <w:tc>
                <w:tcPr>
                  <w:tcW w:w="643" w:type="pct"/>
                  <w:vAlign w:val="center"/>
                </w:tcPr>
                <w:p w14:paraId="52B89CF3">
                  <w:pPr>
                    <w:widowControl/>
                    <w:jc w:val="center"/>
                    <w:rPr>
                      <w:rFonts w:eastAsia="Times New Roman"/>
                      <w:kern w:val="0"/>
                      <w:sz w:val="20"/>
                      <w:szCs w:val="20"/>
                    </w:rPr>
                  </w:pPr>
                </w:p>
              </w:tc>
              <w:tc>
                <w:tcPr>
                  <w:tcW w:w="416" w:type="pct"/>
                  <w:vAlign w:val="center"/>
                </w:tcPr>
                <w:p w14:paraId="0F6A00E7">
                  <w:pPr>
                    <w:widowControl/>
                    <w:jc w:val="center"/>
                    <w:rPr>
                      <w:rFonts w:eastAsia="Times New Roman"/>
                      <w:kern w:val="0"/>
                      <w:sz w:val="20"/>
                      <w:szCs w:val="20"/>
                    </w:rPr>
                  </w:pPr>
                </w:p>
              </w:tc>
              <w:tc>
                <w:tcPr>
                  <w:tcW w:w="576" w:type="pct"/>
                  <w:vAlign w:val="center"/>
                </w:tcPr>
                <w:p w14:paraId="70B16399">
                  <w:pPr>
                    <w:widowControl/>
                    <w:jc w:val="center"/>
                    <w:rPr>
                      <w:kern w:val="0"/>
                      <w:szCs w:val="21"/>
                    </w:rPr>
                  </w:pPr>
                  <w:r>
                    <w:rPr>
                      <w:kern w:val="0"/>
                      <w:szCs w:val="21"/>
                    </w:rPr>
                    <w:t>160</w:t>
                  </w:r>
                </w:p>
              </w:tc>
            </w:tr>
            <w:tr w14:paraId="7D7682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35" w:type="pct"/>
                  <w:vAlign w:val="center"/>
                </w:tcPr>
                <w:p w14:paraId="1A5689AF">
                  <w:pPr>
                    <w:widowControl/>
                    <w:jc w:val="center"/>
                    <w:rPr>
                      <w:kern w:val="0"/>
                      <w:szCs w:val="21"/>
                    </w:rPr>
                  </w:pPr>
                  <w:r>
                    <w:rPr>
                      <w:kern w:val="0"/>
                      <w:szCs w:val="21"/>
                    </w:rPr>
                    <w:t>3</w:t>
                  </w:r>
                </w:p>
              </w:tc>
              <w:tc>
                <w:tcPr>
                  <w:tcW w:w="830" w:type="pct"/>
                  <w:vAlign w:val="center"/>
                </w:tcPr>
                <w:p w14:paraId="04ECBBB8">
                  <w:pPr>
                    <w:widowControl/>
                    <w:jc w:val="center"/>
                    <w:rPr>
                      <w:kern w:val="0"/>
                      <w:szCs w:val="21"/>
                    </w:rPr>
                  </w:pPr>
                  <w:r>
                    <w:rPr>
                      <w:kern w:val="0"/>
                      <w:szCs w:val="21"/>
                    </w:rPr>
                    <w:t>集团内回收废丝</w:t>
                  </w:r>
                </w:p>
              </w:tc>
              <w:tc>
                <w:tcPr>
                  <w:tcW w:w="641" w:type="pct"/>
                  <w:vAlign w:val="center"/>
                </w:tcPr>
                <w:p w14:paraId="08EA3DB7">
                  <w:pPr>
                    <w:widowControl/>
                    <w:jc w:val="center"/>
                    <w:rPr>
                      <w:kern w:val="0"/>
                      <w:szCs w:val="21"/>
                    </w:rPr>
                  </w:pPr>
                  <w:r>
                    <w:rPr>
                      <w:kern w:val="0"/>
                      <w:szCs w:val="21"/>
                    </w:rPr>
                    <w:t>19846.8</w:t>
                  </w:r>
                </w:p>
              </w:tc>
              <w:tc>
                <w:tcPr>
                  <w:tcW w:w="523" w:type="pct"/>
                  <w:vAlign w:val="center"/>
                </w:tcPr>
                <w:p w14:paraId="1D4E4DFB">
                  <w:pPr>
                    <w:widowControl/>
                    <w:jc w:val="center"/>
                    <w:rPr>
                      <w:kern w:val="0"/>
                      <w:szCs w:val="21"/>
                    </w:rPr>
                  </w:pPr>
                  <w:r>
                    <w:rPr>
                      <w:kern w:val="0"/>
                      <w:szCs w:val="21"/>
                    </w:rPr>
                    <w:t>3</w:t>
                  </w:r>
                </w:p>
              </w:tc>
              <w:tc>
                <w:tcPr>
                  <w:tcW w:w="1035" w:type="pct"/>
                  <w:vAlign w:val="center"/>
                </w:tcPr>
                <w:p w14:paraId="60124802">
                  <w:pPr>
                    <w:widowControl/>
                    <w:jc w:val="center"/>
                    <w:rPr>
                      <w:kern w:val="0"/>
                      <w:szCs w:val="21"/>
                    </w:rPr>
                  </w:pPr>
                  <w:r>
                    <w:rPr>
                      <w:kern w:val="0"/>
                      <w:szCs w:val="21"/>
                    </w:rPr>
                    <w:t>废丝回收废气</w:t>
                  </w:r>
                </w:p>
              </w:tc>
              <w:tc>
                <w:tcPr>
                  <w:tcW w:w="643" w:type="pct"/>
                  <w:vAlign w:val="center"/>
                </w:tcPr>
                <w:p w14:paraId="0C9C0DF9">
                  <w:pPr>
                    <w:widowControl/>
                    <w:jc w:val="center"/>
                    <w:rPr>
                      <w:kern w:val="0"/>
                      <w:szCs w:val="21"/>
                    </w:rPr>
                  </w:pPr>
                  <w:r>
                    <w:rPr>
                      <w:kern w:val="0"/>
                      <w:szCs w:val="21"/>
                    </w:rPr>
                    <w:t>72</w:t>
                  </w:r>
                </w:p>
              </w:tc>
              <w:tc>
                <w:tcPr>
                  <w:tcW w:w="416" w:type="pct"/>
                  <w:vAlign w:val="center"/>
                </w:tcPr>
                <w:p w14:paraId="59D0CF70">
                  <w:pPr>
                    <w:widowControl/>
                    <w:jc w:val="center"/>
                    <w:rPr>
                      <w:kern w:val="0"/>
                      <w:szCs w:val="21"/>
                    </w:rPr>
                  </w:pPr>
                </w:p>
              </w:tc>
              <w:tc>
                <w:tcPr>
                  <w:tcW w:w="576" w:type="pct"/>
                  <w:vAlign w:val="center"/>
                </w:tcPr>
                <w:p w14:paraId="3AB2EE8E">
                  <w:pPr>
                    <w:widowControl/>
                    <w:jc w:val="center"/>
                    <w:rPr>
                      <w:rFonts w:eastAsia="Times New Roman"/>
                      <w:kern w:val="0"/>
                      <w:sz w:val="20"/>
                      <w:szCs w:val="20"/>
                    </w:rPr>
                  </w:pPr>
                </w:p>
              </w:tc>
            </w:tr>
            <w:tr w14:paraId="2B1F46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5" w:type="pct"/>
                  <w:gridSpan w:val="2"/>
                  <w:vMerge w:val="restart"/>
                  <w:vAlign w:val="center"/>
                </w:tcPr>
                <w:p w14:paraId="467A065A">
                  <w:pPr>
                    <w:widowControl/>
                    <w:jc w:val="center"/>
                    <w:rPr>
                      <w:kern w:val="0"/>
                      <w:szCs w:val="21"/>
                    </w:rPr>
                  </w:pPr>
                  <w:r>
                    <w:rPr>
                      <w:kern w:val="0"/>
                      <w:szCs w:val="21"/>
                    </w:rPr>
                    <w:t>合计</w:t>
                  </w:r>
                </w:p>
              </w:tc>
              <w:tc>
                <w:tcPr>
                  <w:tcW w:w="641" w:type="pct"/>
                  <w:vMerge w:val="restart"/>
                  <w:vAlign w:val="center"/>
                </w:tcPr>
                <w:p w14:paraId="52528309">
                  <w:pPr>
                    <w:widowControl/>
                    <w:jc w:val="center"/>
                    <w:rPr>
                      <w:kern w:val="0"/>
                      <w:szCs w:val="21"/>
                    </w:rPr>
                  </w:pPr>
                  <w:r>
                    <w:rPr>
                      <w:kern w:val="0"/>
                      <w:szCs w:val="21"/>
                    </w:rPr>
                    <w:t>24232</w:t>
                  </w:r>
                </w:p>
              </w:tc>
              <w:tc>
                <w:tcPr>
                  <w:tcW w:w="1558" w:type="pct"/>
                  <w:gridSpan w:val="2"/>
                  <w:vAlign w:val="center"/>
                </w:tcPr>
                <w:p w14:paraId="4279D007">
                  <w:pPr>
                    <w:widowControl/>
                    <w:jc w:val="center"/>
                    <w:rPr>
                      <w:kern w:val="0"/>
                      <w:szCs w:val="21"/>
                    </w:rPr>
                  </w:pPr>
                  <w:r>
                    <w:rPr>
                      <w:kern w:val="0"/>
                      <w:szCs w:val="21"/>
                    </w:rPr>
                    <w:t>小计</w:t>
                  </w:r>
                </w:p>
              </w:tc>
              <w:tc>
                <w:tcPr>
                  <w:tcW w:w="643" w:type="pct"/>
                  <w:vAlign w:val="center"/>
                </w:tcPr>
                <w:p w14:paraId="50499638">
                  <w:pPr>
                    <w:widowControl/>
                    <w:jc w:val="center"/>
                    <w:rPr>
                      <w:kern w:val="0"/>
                      <w:szCs w:val="21"/>
                    </w:rPr>
                  </w:pPr>
                  <w:r>
                    <w:rPr>
                      <w:kern w:val="0"/>
                      <w:szCs w:val="21"/>
                    </w:rPr>
                    <w:t>72</w:t>
                  </w:r>
                </w:p>
              </w:tc>
              <w:tc>
                <w:tcPr>
                  <w:tcW w:w="416" w:type="pct"/>
                  <w:vAlign w:val="center"/>
                </w:tcPr>
                <w:p w14:paraId="3214CE2B">
                  <w:pPr>
                    <w:widowControl/>
                    <w:jc w:val="center"/>
                    <w:rPr>
                      <w:kern w:val="0"/>
                      <w:szCs w:val="21"/>
                    </w:rPr>
                  </w:pPr>
                </w:p>
              </w:tc>
              <w:tc>
                <w:tcPr>
                  <w:tcW w:w="576" w:type="pct"/>
                  <w:vAlign w:val="center"/>
                </w:tcPr>
                <w:p w14:paraId="633609B5">
                  <w:pPr>
                    <w:widowControl/>
                    <w:jc w:val="center"/>
                    <w:rPr>
                      <w:kern w:val="0"/>
                      <w:szCs w:val="21"/>
                    </w:rPr>
                  </w:pPr>
                  <w:r>
                    <w:rPr>
                      <w:kern w:val="0"/>
                      <w:szCs w:val="21"/>
                    </w:rPr>
                    <w:t>24160</w:t>
                  </w:r>
                </w:p>
              </w:tc>
            </w:tr>
            <w:tr w14:paraId="049EB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65" w:type="pct"/>
                  <w:gridSpan w:val="2"/>
                  <w:vMerge w:val="continue"/>
                  <w:vAlign w:val="center"/>
                </w:tcPr>
                <w:p w14:paraId="69E1D12E">
                  <w:pPr>
                    <w:widowControl/>
                    <w:jc w:val="left"/>
                    <w:rPr>
                      <w:kern w:val="0"/>
                      <w:szCs w:val="21"/>
                    </w:rPr>
                  </w:pPr>
                </w:p>
              </w:tc>
              <w:tc>
                <w:tcPr>
                  <w:tcW w:w="641" w:type="pct"/>
                  <w:vMerge w:val="continue"/>
                  <w:vAlign w:val="center"/>
                </w:tcPr>
                <w:p w14:paraId="1722C2A1">
                  <w:pPr>
                    <w:widowControl/>
                    <w:jc w:val="left"/>
                    <w:rPr>
                      <w:kern w:val="0"/>
                      <w:szCs w:val="21"/>
                    </w:rPr>
                  </w:pPr>
                </w:p>
              </w:tc>
              <w:tc>
                <w:tcPr>
                  <w:tcW w:w="3194" w:type="pct"/>
                  <w:gridSpan w:val="5"/>
                  <w:vAlign w:val="center"/>
                </w:tcPr>
                <w:p w14:paraId="2B916A10">
                  <w:pPr>
                    <w:widowControl/>
                    <w:jc w:val="center"/>
                    <w:rPr>
                      <w:kern w:val="0"/>
                      <w:szCs w:val="21"/>
                    </w:rPr>
                  </w:pPr>
                  <w:r>
                    <w:rPr>
                      <w:kern w:val="0"/>
                      <w:szCs w:val="21"/>
                    </w:rPr>
                    <w:t>24232</w:t>
                  </w:r>
                </w:p>
              </w:tc>
            </w:tr>
          </w:tbl>
          <w:p w14:paraId="58E83BCE">
            <w:pPr>
              <w:tabs>
                <w:tab w:val="left" w:pos="0"/>
              </w:tabs>
              <w:spacing w:line="500" w:lineRule="exact"/>
              <w:jc w:val="center"/>
              <w:rPr>
                <w:b/>
                <w:szCs w:val="20"/>
              </w:rPr>
            </w:pPr>
            <w:r>
              <w:rPr>
                <w:b/>
                <w:szCs w:val="20"/>
              </w:rPr>
              <w:t>表2-1</w:t>
            </w:r>
            <w:r>
              <w:rPr>
                <w:rFonts w:hint="eastAsia"/>
                <w:b/>
                <w:szCs w:val="20"/>
              </w:rPr>
              <w:t>3</w:t>
            </w:r>
            <w:r>
              <w:rPr>
                <w:b/>
                <w:szCs w:val="20"/>
              </w:rPr>
              <w:t xml:space="preserve">  二期、三期项目总锑平衡表（单位：t/a）</w:t>
            </w:r>
          </w:p>
          <w:tbl>
            <w:tblPr>
              <w:tblStyle w:val="9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1230"/>
              <w:gridCol w:w="953"/>
              <w:gridCol w:w="588"/>
              <w:gridCol w:w="1156"/>
              <w:gridCol w:w="872"/>
              <w:gridCol w:w="872"/>
              <w:gridCol w:w="872"/>
              <w:gridCol w:w="867"/>
            </w:tblGrid>
            <w:tr w14:paraId="1D14CF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26" w:type="pct"/>
                  <w:vMerge w:val="restart"/>
                  <w:vAlign w:val="center"/>
                </w:tcPr>
                <w:p w14:paraId="604B3576">
                  <w:pPr>
                    <w:widowControl/>
                    <w:jc w:val="center"/>
                    <w:rPr>
                      <w:kern w:val="0"/>
                      <w:szCs w:val="21"/>
                    </w:rPr>
                  </w:pPr>
                  <w:r>
                    <w:rPr>
                      <w:kern w:val="0"/>
                      <w:szCs w:val="21"/>
                    </w:rPr>
                    <w:t>序号</w:t>
                  </w:r>
                </w:p>
              </w:tc>
              <w:tc>
                <w:tcPr>
                  <w:tcW w:w="1377" w:type="pct"/>
                  <w:gridSpan w:val="2"/>
                  <w:vAlign w:val="center"/>
                </w:tcPr>
                <w:p w14:paraId="404ED1B9">
                  <w:pPr>
                    <w:widowControl/>
                    <w:jc w:val="center"/>
                    <w:rPr>
                      <w:kern w:val="0"/>
                      <w:szCs w:val="21"/>
                    </w:rPr>
                  </w:pPr>
                  <w:r>
                    <w:rPr>
                      <w:kern w:val="0"/>
                      <w:szCs w:val="21"/>
                    </w:rPr>
                    <w:t>入方</w:t>
                  </w:r>
                </w:p>
              </w:tc>
              <w:tc>
                <w:tcPr>
                  <w:tcW w:w="3297" w:type="pct"/>
                  <w:gridSpan w:val="6"/>
                  <w:vAlign w:val="center"/>
                </w:tcPr>
                <w:p w14:paraId="2AD08897">
                  <w:pPr>
                    <w:widowControl/>
                    <w:jc w:val="center"/>
                    <w:rPr>
                      <w:kern w:val="0"/>
                      <w:szCs w:val="21"/>
                    </w:rPr>
                  </w:pPr>
                  <w:r>
                    <w:rPr>
                      <w:kern w:val="0"/>
                      <w:szCs w:val="21"/>
                    </w:rPr>
                    <w:t>出方</w:t>
                  </w:r>
                </w:p>
              </w:tc>
            </w:tr>
            <w:tr w14:paraId="52C106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26" w:type="pct"/>
                  <w:vMerge w:val="continue"/>
                  <w:vAlign w:val="center"/>
                </w:tcPr>
                <w:p w14:paraId="426119D5">
                  <w:pPr>
                    <w:widowControl/>
                    <w:jc w:val="left"/>
                    <w:rPr>
                      <w:kern w:val="0"/>
                      <w:szCs w:val="21"/>
                    </w:rPr>
                  </w:pPr>
                </w:p>
              </w:tc>
              <w:tc>
                <w:tcPr>
                  <w:tcW w:w="776" w:type="pct"/>
                  <w:vAlign w:val="center"/>
                </w:tcPr>
                <w:p w14:paraId="2228D2F4">
                  <w:pPr>
                    <w:widowControl/>
                    <w:jc w:val="center"/>
                    <w:rPr>
                      <w:kern w:val="0"/>
                      <w:szCs w:val="21"/>
                    </w:rPr>
                  </w:pPr>
                  <w:r>
                    <w:rPr>
                      <w:kern w:val="0"/>
                      <w:szCs w:val="21"/>
                    </w:rPr>
                    <w:t>物料名称</w:t>
                  </w:r>
                </w:p>
              </w:tc>
              <w:tc>
                <w:tcPr>
                  <w:tcW w:w="601" w:type="pct"/>
                  <w:vAlign w:val="center"/>
                </w:tcPr>
                <w:p w14:paraId="13319490">
                  <w:pPr>
                    <w:widowControl/>
                    <w:jc w:val="center"/>
                    <w:rPr>
                      <w:kern w:val="0"/>
                      <w:szCs w:val="21"/>
                    </w:rPr>
                  </w:pPr>
                  <w:r>
                    <w:rPr>
                      <w:kern w:val="0"/>
                      <w:szCs w:val="21"/>
                    </w:rPr>
                    <w:t>数量</w:t>
                  </w:r>
                </w:p>
              </w:tc>
              <w:tc>
                <w:tcPr>
                  <w:tcW w:w="371" w:type="pct"/>
                  <w:vAlign w:val="center"/>
                </w:tcPr>
                <w:p w14:paraId="701D1B72">
                  <w:pPr>
                    <w:widowControl/>
                    <w:jc w:val="center"/>
                    <w:rPr>
                      <w:kern w:val="0"/>
                      <w:szCs w:val="21"/>
                    </w:rPr>
                  </w:pPr>
                  <w:r>
                    <w:rPr>
                      <w:kern w:val="0"/>
                      <w:szCs w:val="21"/>
                    </w:rPr>
                    <w:t>序号</w:t>
                  </w:r>
                </w:p>
              </w:tc>
              <w:tc>
                <w:tcPr>
                  <w:tcW w:w="729" w:type="pct"/>
                  <w:vAlign w:val="center"/>
                </w:tcPr>
                <w:p w14:paraId="27B2DB07">
                  <w:pPr>
                    <w:widowControl/>
                    <w:jc w:val="center"/>
                    <w:rPr>
                      <w:kern w:val="0"/>
                      <w:szCs w:val="21"/>
                    </w:rPr>
                  </w:pPr>
                  <w:r>
                    <w:rPr>
                      <w:kern w:val="0"/>
                      <w:szCs w:val="21"/>
                    </w:rPr>
                    <w:t>物料名称</w:t>
                  </w:r>
                </w:p>
              </w:tc>
              <w:tc>
                <w:tcPr>
                  <w:tcW w:w="550" w:type="pct"/>
                  <w:vAlign w:val="center"/>
                </w:tcPr>
                <w:p w14:paraId="138963B4">
                  <w:pPr>
                    <w:widowControl/>
                    <w:jc w:val="center"/>
                    <w:rPr>
                      <w:kern w:val="0"/>
                      <w:szCs w:val="21"/>
                    </w:rPr>
                  </w:pPr>
                  <w:r>
                    <w:rPr>
                      <w:kern w:val="0"/>
                      <w:szCs w:val="21"/>
                    </w:rPr>
                    <w:t>产品</w:t>
                  </w:r>
                </w:p>
              </w:tc>
              <w:tc>
                <w:tcPr>
                  <w:tcW w:w="550" w:type="pct"/>
                  <w:vAlign w:val="center"/>
                </w:tcPr>
                <w:p w14:paraId="18C2A0CC">
                  <w:pPr>
                    <w:widowControl/>
                    <w:jc w:val="center"/>
                    <w:rPr>
                      <w:kern w:val="0"/>
                      <w:szCs w:val="21"/>
                    </w:rPr>
                  </w:pPr>
                  <w:r>
                    <w:rPr>
                      <w:kern w:val="0"/>
                      <w:szCs w:val="21"/>
                    </w:rPr>
                    <w:t>废气</w:t>
                  </w:r>
                </w:p>
              </w:tc>
              <w:tc>
                <w:tcPr>
                  <w:tcW w:w="550" w:type="pct"/>
                  <w:vAlign w:val="center"/>
                </w:tcPr>
                <w:p w14:paraId="7D9F729F">
                  <w:pPr>
                    <w:widowControl/>
                    <w:jc w:val="center"/>
                    <w:rPr>
                      <w:kern w:val="0"/>
                      <w:szCs w:val="21"/>
                    </w:rPr>
                  </w:pPr>
                  <w:r>
                    <w:rPr>
                      <w:kern w:val="0"/>
                      <w:szCs w:val="21"/>
                    </w:rPr>
                    <w:t>废水</w:t>
                  </w:r>
                </w:p>
              </w:tc>
              <w:tc>
                <w:tcPr>
                  <w:tcW w:w="547" w:type="pct"/>
                  <w:vAlign w:val="center"/>
                </w:tcPr>
                <w:p w14:paraId="68FD26A9">
                  <w:pPr>
                    <w:widowControl/>
                    <w:jc w:val="center"/>
                    <w:rPr>
                      <w:kern w:val="0"/>
                      <w:szCs w:val="21"/>
                    </w:rPr>
                  </w:pPr>
                  <w:r>
                    <w:rPr>
                      <w:kern w:val="0"/>
                      <w:szCs w:val="21"/>
                    </w:rPr>
                    <w:t>固废</w:t>
                  </w:r>
                </w:p>
              </w:tc>
            </w:tr>
            <w:tr w14:paraId="526403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6" w:type="pct"/>
                  <w:vAlign w:val="center"/>
                </w:tcPr>
                <w:p w14:paraId="5227EACF">
                  <w:pPr>
                    <w:widowControl/>
                    <w:jc w:val="center"/>
                    <w:rPr>
                      <w:kern w:val="0"/>
                      <w:szCs w:val="21"/>
                    </w:rPr>
                  </w:pPr>
                  <w:r>
                    <w:rPr>
                      <w:kern w:val="0"/>
                      <w:szCs w:val="21"/>
                    </w:rPr>
                    <w:t>1</w:t>
                  </w:r>
                </w:p>
              </w:tc>
              <w:tc>
                <w:tcPr>
                  <w:tcW w:w="776" w:type="pct"/>
                  <w:vAlign w:val="center"/>
                </w:tcPr>
                <w:p w14:paraId="6067FA5D">
                  <w:pPr>
                    <w:widowControl/>
                    <w:jc w:val="center"/>
                    <w:rPr>
                      <w:kern w:val="0"/>
                      <w:szCs w:val="21"/>
                    </w:rPr>
                  </w:pPr>
                  <w:r>
                    <w:rPr>
                      <w:kern w:val="0"/>
                      <w:szCs w:val="21"/>
                    </w:rPr>
                    <w:t>聚酯熔体带入锑</w:t>
                  </w:r>
                </w:p>
              </w:tc>
              <w:tc>
                <w:tcPr>
                  <w:tcW w:w="601" w:type="pct"/>
                  <w:vAlign w:val="center"/>
                </w:tcPr>
                <w:p w14:paraId="0FFCA299">
                  <w:pPr>
                    <w:widowControl/>
                    <w:jc w:val="center"/>
                    <w:rPr>
                      <w:kern w:val="0"/>
                      <w:szCs w:val="21"/>
                    </w:rPr>
                  </w:pPr>
                  <w:r>
                    <w:rPr>
                      <w:kern w:val="0"/>
                      <w:szCs w:val="21"/>
                    </w:rPr>
                    <w:t>96.89</w:t>
                  </w:r>
                </w:p>
              </w:tc>
              <w:tc>
                <w:tcPr>
                  <w:tcW w:w="371" w:type="pct"/>
                  <w:vAlign w:val="center"/>
                </w:tcPr>
                <w:p w14:paraId="69F66EC4">
                  <w:pPr>
                    <w:widowControl/>
                    <w:jc w:val="center"/>
                    <w:rPr>
                      <w:kern w:val="0"/>
                      <w:szCs w:val="21"/>
                    </w:rPr>
                  </w:pPr>
                  <w:r>
                    <w:rPr>
                      <w:kern w:val="0"/>
                      <w:szCs w:val="21"/>
                    </w:rPr>
                    <w:t>1</w:t>
                  </w:r>
                </w:p>
              </w:tc>
              <w:tc>
                <w:tcPr>
                  <w:tcW w:w="729" w:type="pct"/>
                  <w:vAlign w:val="center"/>
                </w:tcPr>
                <w:p w14:paraId="2E045555">
                  <w:pPr>
                    <w:widowControl/>
                    <w:jc w:val="center"/>
                    <w:rPr>
                      <w:kern w:val="0"/>
                      <w:szCs w:val="21"/>
                    </w:rPr>
                  </w:pPr>
                  <w:r>
                    <w:rPr>
                      <w:kern w:val="0"/>
                      <w:szCs w:val="21"/>
                    </w:rPr>
                    <w:t>进入产品锑</w:t>
                  </w:r>
                </w:p>
              </w:tc>
              <w:tc>
                <w:tcPr>
                  <w:tcW w:w="550" w:type="pct"/>
                  <w:vAlign w:val="center"/>
                </w:tcPr>
                <w:p w14:paraId="774A6894">
                  <w:pPr>
                    <w:widowControl/>
                    <w:jc w:val="center"/>
                    <w:rPr>
                      <w:kern w:val="0"/>
                      <w:szCs w:val="21"/>
                    </w:rPr>
                  </w:pPr>
                  <w:r>
                    <w:rPr>
                      <w:kern w:val="0"/>
                      <w:szCs w:val="21"/>
                    </w:rPr>
                    <w:t>95.93</w:t>
                  </w:r>
                </w:p>
              </w:tc>
              <w:tc>
                <w:tcPr>
                  <w:tcW w:w="550" w:type="pct"/>
                  <w:vAlign w:val="center"/>
                </w:tcPr>
                <w:p w14:paraId="7C9AF9A3">
                  <w:pPr>
                    <w:widowControl/>
                    <w:jc w:val="center"/>
                    <w:rPr>
                      <w:kern w:val="0"/>
                      <w:szCs w:val="21"/>
                    </w:rPr>
                  </w:pPr>
                  <w:r>
                    <w:rPr>
                      <w:kern w:val="0"/>
                      <w:szCs w:val="21"/>
                    </w:rPr>
                    <w:t>/</w:t>
                  </w:r>
                </w:p>
              </w:tc>
              <w:tc>
                <w:tcPr>
                  <w:tcW w:w="550" w:type="pct"/>
                  <w:vAlign w:val="center"/>
                </w:tcPr>
                <w:p w14:paraId="6067D66D">
                  <w:pPr>
                    <w:widowControl/>
                    <w:jc w:val="center"/>
                    <w:rPr>
                      <w:rFonts w:eastAsiaTheme="minorEastAsia"/>
                      <w:kern w:val="0"/>
                      <w:sz w:val="20"/>
                      <w:szCs w:val="20"/>
                    </w:rPr>
                  </w:pPr>
                  <w:r>
                    <w:rPr>
                      <w:rFonts w:eastAsiaTheme="minorEastAsia"/>
                      <w:kern w:val="0"/>
                      <w:sz w:val="20"/>
                      <w:szCs w:val="20"/>
                    </w:rPr>
                    <w:t>/</w:t>
                  </w:r>
                </w:p>
              </w:tc>
              <w:tc>
                <w:tcPr>
                  <w:tcW w:w="547" w:type="pct"/>
                  <w:vAlign w:val="center"/>
                </w:tcPr>
                <w:p w14:paraId="0A9A0950">
                  <w:pPr>
                    <w:widowControl/>
                    <w:jc w:val="center"/>
                    <w:rPr>
                      <w:rFonts w:eastAsiaTheme="minorEastAsia"/>
                      <w:kern w:val="0"/>
                      <w:sz w:val="20"/>
                      <w:szCs w:val="20"/>
                    </w:rPr>
                  </w:pPr>
                  <w:r>
                    <w:rPr>
                      <w:rFonts w:eastAsiaTheme="minorEastAsia"/>
                      <w:kern w:val="0"/>
                      <w:sz w:val="20"/>
                      <w:szCs w:val="20"/>
                    </w:rPr>
                    <w:t>/</w:t>
                  </w:r>
                </w:p>
              </w:tc>
            </w:tr>
            <w:tr w14:paraId="6DA2E8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6" w:type="pct"/>
                  <w:vAlign w:val="center"/>
                </w:tcPr>
                <w:p w14:paraId="61DD8923">
                  <w:pPr>
                    <w:widowControl/>
                    <w:jc w:val="center"/>
                    <w:rPr>
                      <w:kern w:val="0"/>
                      <w:szCs w:val="21"/>
                    </w:rPr>
                  </w:pPr>
                </w:p>
              </w:tc>
              <w:tc>
                <w:tcPr>
                  <w:tcW w:w="776" w:type="pct"/>
                  <w:vAlign w:val="center"/>
                </w:tcPr>
                <w:p w14:paraId="0AE2EA38">
                  <w:pPr>
                    <w:widowControl/>
                    <w:jc w:val="center"/>
                    <w:rPr>
                      <w:kern w:val="0"/>
                      <w:szCs w:val="21"/>
                    </w:rPr>
                  </w:pPr>
                </w:p>
              </w:tc>
              <w:tc>
                <w:tcPr>
                  <w:tcW w:w="601" w:type="pct"/>
                  <w:vAlign w:val="center"/>
                </w:tcPr>
                <w:p w14:paraId="3E402C67">
                  <w:pPr>
                    <w:widowControl/>
                    <w:jc w:val="center"/>
                    <w:rPr>
                      <w:kern w:val="0"/>
                      <w:szCs w:val="21"/>
                    </w:rPr>
                  </w:pPr>
                </w:p>
              </w:tc>
              <w:tc>
                <w:tcPr>
                  <w:tcW w:w="371" w:type="pct"/>
                  <w:vAlign w:val="center"/>
                </w:tcPr>
                <w:p w14:paraId="3EF43EE3">
                  <w:pPr>
                    <w:widowControl/>
                    <w:jc w:val="center"/>
                    <w:rPr>
                      <w:kern w:val="0"/>
                      <w:szCs w:val="21"/>
                    </w:rPr>
                  </w:pPr>
                  <w:r>
                    <w:rPr>
                      <w:kern w:val="0"/>
                      <w:szCs w:val="21"/>
                    </w:rPr>
                    <w:t>2</w:t>
                  </w:r>
                </w:p>
              </w:tc>
              <w:tc>
                <w:tcPr>
                  <w:tcW w:w="729" w:type="pct"/>
                  <w:vAlign w:val="center"/>
                </w:tcPr>
                <w:p w14:paraId="3B1D71A4">
                  <w:pPr>
                    <w:widowControl/>
                    <w:jc w:val="center"/>
                    <w:rPr>
                      <w:kern w:val="0"/>
                      <w:szCs w:val="21"/>
                    </w:rPr>
                  </w:pPr>
                  <w:r>
                    <w:rPr>
                      <w:kern w:val="0"/>
                      <w:szCs w:val="21"/>
                    </w:rPr>
                    <w:t>纺丝组件清洗水中含锑</w:t>
                  </w:r>
                </w:p>
              </w:tc>
              <w:tc>
                <w:tcPr>
                  <w:tcW w:w="550" w:type="pct"/>
                  <w:vAlign w:val="center"/>
                </w:tcPr>
                <w:p w14:paraId="739D7EFC">
                  <w:pPr>
                    <w:widowControl/>
                    <w:jc w:val="center"/>
                    <w:rPr>
                      <w:kern w:val="0"/>
                      <w:szCs w:val="21"/>
                    </w:rPr>
                  </w:pPr>
                  <w:r>
                    <w:rPr>
                      <w:kern w:val="0"/>
                      <w:szCs w:val="21"/>
                    </w:rPr>
                    <w:t>/</w:t>
                  </w:r>
                </w:p>
              </w:tc>
              <w:tc>
                <w:tcPr>
                  <w:tcW w:w="550" w:type="pct"/>
                  <w:vAlign w:val="center"/>
                </w:tcPr>
                <w:p w14:paraId="7C1D84A7">
                  <w:pPr>
                    <w:widowControl/>
                    <w:jc w:val="center"/>
                    <w:rPr>
                      <w:kern w:val="0"/>
                      <w:szCs w:val="21"/>
                    </w:rPr>
                  </w:pPr>
                  <w:r>
                    <w:rPr>
                      <w:kern w:val="0"/>
                      <w:szCs w:val="21"/>
                    </w:rPr>
                    <w:t>/</w:t>
                  </w:r>
                </w:p>
              </w:tc>
              <w:tc>
                <w:tcPr>
                  <w:tcW w:w="550" w:type="pct"/>
                  <w:vAlign w:val="center"/>
                </w:tcPr>
                <w:p w14:paraId="1376E54B">
                  <w:pPr>
                    <w:widowControl/>
                    <w:jc w:val="center"/>
                    <w:rPr>
                      <w:kern w:val="0"/>
                      <w:sz w:val="20"/>
                      <w:szCs w:val="20"/>
                    </w:rPr>
                  </w:pPr>
                  <w:r>
                    <w:rPr>
                      <w:kern w:val="0"/>
                      <w:sz w:val="20"/>
                      <w:szCs w:val="20"/>
                    </w:rPr>
                    <w:t>0.04</w:t>
                  </w:r>
                </w:p>
              </w:tc>
              <w:tc>
                <w:tcPr>
                  <w:tcW w:w="547" w:type="pct"/>
                  <w:vAlign w:val="center"/>
                </w:tcPr>
                <w:p w14:paraId="53473401">
                  <w:pPr>
                    <w:widowControl/>
                    <w:jc w:val="center"/>
                    <w:rPr>
                      <w:rFonts w:eastAsiaTheme="minorEastAsia"/>
                      <w:kern w:val="0"/>
                      <w:sz w:val="20"/>
                      <w:szCs w:val="20"/>
                    </w:rPr>
                  </w:pPr>
                  <w:r>
                    <w:rPr>
                      <w:rFonts w:eastAsiaTheme="minorEastAsia"/>
                      <w:kern w:val="0"/>
                      <w:sz w:val="20"/>
                      <w:szCs w:val="20"/>
                    </w:rPr>
                    <w:t>/</w:t>
                  </w:r>
                </w:p>
              </w:tc>
            </w:tr>
            <w:tr w14:paraId="6ABB88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6" w:type="pct"/>
                  <w:vAlign w:val="center"/>
                </w:tcPr>
                <w:p w14:paraId="1DB78974">
                  <w:pPr>
                    <w:widowControl/>
                    <w:jc w:val="center"/>
                    <w:rPr>
                      <w:kern w:val="0"/>
                      <w:szCs w:val="21"/>
                    </w:rPr>
                  </w:pPr>
                </w:p>
              </w:tc>
              <w:tc>
                <w:tcPr>
                  <w:tcW w:w="776" w:type="pct"/>
                  <w:vAlign w:val="center"/>
                </w:tcPr>
                <w:p w14:paraId="2520DDC4">
                  <w:pPr>
                    <w:widowControl/>
                    <w:jc w:val="center"/>
                    <w:rPr>
                      <w:kern w:val="0"/>
                      <w:szCs w:val="21"/>
                    </w:rPr>
                  </w:pPr>
                </w:p>
              </w:tc>
              <w:tc>
                <w:tcPr>
                  <w:tcW w:w="601" w:type="pct"/>
                  <w:vAlign w:val="center"/>
                </w:tcPr>
                <w:p w14:paraId="78E86BA3">
                  <w:pPr>
                    <w:widowControl/>
                    <w:jc w:val="center"/>
                    <w:rPr>
                      <w:kern w:val="0"/>
                      <w:szCs w:val="21"/>
                    </w:rPr>
                  </w:pPr>
                </w:p>
              </w:tc>
              <w:tc>
                <w:tcPr>
                  <w:tcW w:w="371" w:type="pct"/>
                  <w:vAlign w:val="center"/>
                </w:tcPr>
                <w:p w14:paraId="07763857">
                  <w:pPr>
                    <w:widowControl/>
                    <w:jc w:val="center"/>
                    <w:rPr>
                      <w:kern w:val="0"/>
                      <w:szCs w:val="21"/>
                    </w:rPr>
                  </w:pPr>
                  <w:r>
                    <w:rPr>
                      <w:kern w:val="0"/>
                      <w:szCs w:val="21"/>
                    </w:rPr>
                    <w:t>3</w:t>
                  </w:r>
                </w:p>
              </w:tc>
              <w:tc>
                <w:tcPr>
                  <w:tcW w:w="729" w:type="pct"/>
                  <w:vAlign w:val="center"/>
                </w:tcPr>
                <w:p w14:paraId="5D5C1947">
                  <w:pPr>
                    <w:widowControl/>
                    <w:jc w:val="center"/>
                    <w:rPr>
                      <w:kern w:val="0"/>
                      <w:szCs w:val="21"/>
                    </w:rPr>
                  </w:pPr>
                  <w:r>
                    <w:rPr>
                      <w:kern w:val="0"/>
                      <w:szCs w:val="21"/>
                    </w:rPr>
                    <w:t>进入废丝</w:t>
                  </w:r>
                </w:p>
              </w:tc>
              <w:tc>
                <w:tcPr>
                  <w:tcW w:w="550" w:type="pct"/>
                  <w:vAlign w:val="center"/>
                </w:tcPr>
                <w:p w14:paraId="3142910F">
                  <w:pPr>
                    <w:widowControl/>
                    <w:jc w:val="center"/>
                    <w:rPr>
                      <w:kern w:val="0"/>
                      <w:szCs w:val="21"/>
                    </w:rPr>
                  </w:pPr>
                  <w:r>
                    <w:rPr>
                      <w:kern w:val="0"/>
                      <w:szCs w:val="21"/>
                    </w:rPr>
                    <w:t>/</w:t>
                  </w:r>
                </w:p>
              </w:tc>
              <w:tc>
                <w:tcPr>
                  <w:tcW w:w="550" w:type="pct"/>
                  <w:vAlign w:val="center"/>
                </w:tcPr>
                <w:p w14:paraId="61C3C53D">
                  <w:pPr>
                    <w:widowControl/>
                    <w:jc w:val="center"/>
                    <w:rPr>
                      <w:kern w:val="0"/>
                      <w:szCs w:val="21"/>
                    </w:rPr>
                  </w:pPr>
                  <w:r>
                    <w:rPr>
                      <w:kern w:val="0"/>
                      <w:szCs w:val="21"/>
                    </w:rPr>
                    <w:t>/</w:t>
                  </w:r>
                </w:p>
              </w:tc>
              <w:tc>
                <w:tcPr>
                  <w:tcW w:w="550" w:type="pct"/>
                  <w:vAlign w:val="center"/>
                </w:tcPr>
                <w:p w14:paraId="2E72985E">
                  <w:pPr>
                    <w:widowControl/>
                    <w:jc w:val="center"/>
                    <w:rPr>
                      <w:kern w:val="0"/>
                      <w:sz w:val="20"/>
                      <w:szCs w:val="20"/>
                    </w:rPr>
                  </w:pPr>
                  <w:r>
                    <w:rPr>
                      <w:kern w:val="0"/>
                      <w:sz w:val="20"/>
                      <w:szCs w:val="20"/>
                    </w:rPr>
                    <w:t>/</w:t>
                  </w:r>
                </w:p>
              </w:tc>
              <w:tc>
                <w:tcPr>
                  <w:tcW w:w="547" w:type="pct"/>
                  <w:vAlign w:val="center"/>
                </w:tcPr>
                <w:p w14:paraId="7D4C1481">
                  <w:pPr>
                    <w:widowControl/>
                    <w:jc w:val="center"/>
                    <w:rPr>
                      <w:rFonts w:eastAsiaTheme="minorEastAsia"/>
                      <w:kern w:val="0"/>
                      <w:sz w:val="20"/>
                      <w:szCs w:val="20"/>
                    </w:rPr>
                  </w:pPr>
                  <w:r>
                    <w:rPr>
                      <w:kern w:val="0"/>
                      <w:szCs w:val="21"/>
                    </w:rPr>
                    <w:t>0.92</w:t>
                  </w:r>
                </w:p>
              </w:tc>
            </w:tr>
            <w:tr w14:paraId="498EC1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02" w:type="pct"/>
                  <w:gridSpan w:val="2"/>
                  <w:vMerge w:val="restart"/>
                  <w:vAlign w:val="center"/>
                </w:tcPr>
                <w:p w14:paraId="37653019">
                  <w:pPr>
                    <w:widowControl/>
                    <w:jc w:val="center"/>
                    <w:rPr>
                      <w:kern w:val="0"/>
                      <w:szCs w:val="21"/>
                    </w:rPr>
                  </w:pPr>
                  <w:r>
                    <w:rPr>
                      <w:kern w:val="0"/>
                      <w:szCs w:val="21"/>
                    </w:rPr>
                    <w:t>合计</w:t>
                  </w:r>
                </w:p>
              </w:tc>
              <w:tc>
                <w:tcPr>
                  <w:tcW w:w="601" w:type="pct"/>
                  <w:vMerge w:val="restart"/>
                  <w:vAlign w:val="center"/>
                </w:tcPr>
                <w:p w14:paraId="3FF2F690">
                  <w:pPr>
                    <w:widowControl/>
                    <w:jc w:val="center"/>
                    <w:rPr>
                      <w:kern w:val="0"/>
                      <w:szCs w:val="21"/>
                    </w:rPr>
                  </w:pPr>
                  <w:r>
                    <w:rPr>
                      <w:kern w:val="0"/>
                      <w:szCs w:val="21"/>
                    </w:rPr>
                    <w:t>96.89</w:t>
                  </w:r>
                </w:p>
              </w:tc>
              <w:tc>
                <w:tcPr>
                  <w:tcW w:w="1100" w:type="pct"/>
                  <w:gridSpan w:val="2"/>
                  <w:vAlign w:val="center"/>
                </w:tcPr>
                <w:p w14:paraId="66E9D717">
                  <w:pPr>
                    <w:widowControl/>
                    <w:jc w:val="center"/>
                    <w:rPr>
                      <w:kern w:val="0"/>
                      <w:szCs w:val="21"/>
                    </w:rPr>
                  </w:pPr>
                  <w:r>
                    <w:rPr>
                      <w:kern w:val="0"/>
                      <w:szCs w:val="21"/>
                    </w:rPr>
                    <w:t>小计</w:t>
                  </w:r>
                </w:p>
              </w:tc>
              <w:tc>
                <w:tcPr>
                  <w:tcW w:w="550" w:type="pct"/>
                  <w:vAlign w:val="center"/>
                </w:tcPr>
                <w:p w14:paraId="33ED72F6">
                  <w:pPr>
                    <w:widowControl/>
                    <w:jc w:val="center"/>
                    <w:rPr>
                      <w:kern w:val="0"/>
                      <w:szCs w:val="21"/>
                    </w:rPr>
                  </w:pPr>
                  <w:r>
                    <w:rPr>
                      <w:kern w:val="0"/>
                      <w:szCs w:val="21"/>
                    </w:rPr>
                    <w:t>95.93</w:t>
                  </w:r>
                </w:p>
              </w:tc>
              <w:tc>
                <w:tcPr>
                  <w:tcW w:w="550" w:type="pct"/>
                  <w:vAlign w:val="center"/>
                </w:tcPr>
                <w:p w14:paraId="37600688">
                  <w:pPr>
                    <w:widowControl/>
                    <w:jc w:val="center"/>
                    <w:rPr>
                      <w:kern w:val="0"/>
                      <w:szCs w:val="21"/>
                    </w:rPr>
                  </w:pPr>
                  <w:r>
                    <w:rPr>
                      <w:kern w:val="0"/>
                      <w:szCs w:val="21"/>
                    </w:rPr>
                    <w:t>/</w:t>
                  </w:r>
                </w:p>
              </w:tc>
              <w:tc>
                <w:tcPr>
                  <w:tcW w:w="550" w:type="pct"/>
                  <w:vAlign w:val="center"/>
                </w:tcPr>
                <w:p w14:paraId="79E76DF6">
                  <w:pPr>
                    <w:widowControl/>
                    <w:jc w:val="center"/>
                    <w:rPr>
                      <w:kern w:val="0"/>
                      <w:szCs w:val="21"/>
                    </w:rPr>
                  </w:pPr>
                  <w:r>
                    <w:rPr>
                      <w:kern w:val="0"/>
                      <w:sz w:val="20"/>
                      <w:szCs w:val="20"/>
                    </w:rPr>
                    <w:t>0.04</w:t>
                  </w:r>
                </w:p>
              </w:tc>
              <w:tc>
                <w:tcPr>
                  <w:tcW w:w="547" w:type="pct"/>
                  <w:vAlign w:val="center"/>
                </w:tcPr>
                <w:p w14:paraId="3E727F69">
                  <w:pPr>
                    <w:widowControl/>
                    <w:jc w:val="center"/>
                    <w:rPr>
                      <w:kern w:val="0"/>
                      <w:szCs w:val="21"/>
                    </w:rPr>
                  </w:pPr>
                  <w:r>
                    <w:rPr>
                      <w:kern w:val="0"/>
                      <w:szCs w:val="21"/>
                    </w:rPr>
                    <w:t>0.92</w:t>
                  </w:r>
                </w:p>
              </w:tc>
            </w:tr>
            <w:tr w14:paraId="4B66A0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02" w:type="pct"/>
                  <w:gridSpan w:val="2"/>
                  <w:vMerge w:val="continue"/>
                  <w:vAlign w:val="center"/>
                </w:tcPr>
                <w:p w14:paraId="04A31E7B">
                  <w:pPr>
                    <w:widowControl/>
                    <w:jc w:val="left"/>
                    <w:rPr>
                      <w:kern w:val="0"/>
                      <w:szCs w:val="21"/>
                    </w:rPr>
                  </w:pPr>
                </w:p>
              </w:tc>
              <w:tc>
                <w:tcPr>
                  <w:tcW w:w="601" w:type="pct"/>
                  <w:vMerge w:val="continue"/>
                  <w:vAlign w:val="center"/>
                </w:tcPr>
                <w:p w14:paraId="00D4FE46">
                  <w:pPr>
                    <w:widowControl/>
                    <w:jc w:val="left"/>
                    <w:rPr>
                      <w:kern w:val="0"/>
                      <w:szCs w:val="21"/>
                    </w:rPr>
                  </w:pPr>
                </w:p>
              </w:tc>
              <w:tc>
                <w:tcPr>
                  <w:tcW w:w="3297" w:type="pct"/>
                  <w:gridSpan w:val="6"/>
                  <w:vAlign w:val="center"/>
                </w:tcPr>
                <w:p w14:paraId="062B6FA4">
                  <w:pPr>
                    <w:widowControl/>
                    <w:jc w:val="center"/>
                    <w:rPr>
                      <w:kern w:val="0"/>
                      <w:szCs w:val="21"/>
                    </w:rPr>
                  </w:pPr>
                  <w:r>
                    <w:rPr>
                      <w:kern w:val="0"/>
                      <w:szCs w:val="21"/>
                    </w:rPr>
                    <w:t>96.89</w:t>
                  </w:r>
                </w:p>
              </w:tc>
            </w:tr>
          </w:tbl>
          <w:p w14:paraId="3B281D22">
            <w:pPr>
              <w:pStyle w:val="79"/>
              <w:spacing w:before="0" w:after="0" w:line="500" w:lineRule="exact"/>
              <w:rPr>
                <w:rFonts w:cs="Times New Roman"/>
              </w:rPr>
            </w:pPr>
            <w:r>
              <w:rPr>
                <w:rFonts w:cs="Times New Roman"/>
              </w:rPr>
              <w:t>6、水平衡</w:t>
            </w:r>
          </w:p>
          <w:p w14:paraId="0CF278A5">
            <w:pPr>
              <w:pStyle w:val="76"/>
              <w:spacing w:line="500" w:lineRule="exact"/>
              <w:ind w:firstLine="480"/>
            </w:pPr>
            <w:r>
              <w:t>本项目在厂区内扩建，相较原有项目，不涉及工艺废水新增。本项目水平衡图见图2-2，本项目建成后全厂水平衡图见图2-3。</w:t>
            </w:r>
          </w:p>
          <w:p w14:paraId="4D0B1CDF">
            <w:pPr>
              <w:pStyle w:val="76"/>
              <w:ind w:firstLine="0" w:firstLineChars="0"/>
            </w:pPr>
            <w:r>
              <w:object>
                <v:shape id="_x0000_i1026" o:spt="75" type="#_x0000_t75" style="height:194.95pt;width:360pt;" o:ole="t" filled="f" o:preferrelative="t" stroked="f" coordsize="21600,21600">
                  <v:path/>
                  <v:fill on="f" focussize="0,0"/>
                  <v:stroke on="f" joinstyle="miter"/>
                  <v:imagedata r:id="rId13" o:title=""/>
                  <o:lock v:ext="edit" aspectratio="t"/>
                  <w10:wrap type="none"/>
                  <w10:anchorlock/>
                </v:shape>
                <o:OLEObject Type="Embed" ProgID="Visio.Drawing.15" ShapeID="_x0000_i1026" DrawAspect="Content" ObjectID="_1468075726" r:id="rId12">
                  <o:LockedField>false</o:LockedField>
                </o:OLEObject>
              </w:object>
            </w:r>
          </w:p>
          <w:p w14:paraId="3E5F6310">
            <w:pPr>
              <w:pStyle w:val="76"/>
              <w:ind w:firstLine="0" w:firstLineChars="0"/>
              <w:jc w:val="center"/>
              <w:rPr>
                <w:b/>
              </w:rPr>
            </w:pPr>
            <w:r>
              <w:rPr>
                <w:b/>
              </w:rPr>
              <w:t>图2-2 本项目水平衡图</w:t>
            </w:r>
          </w:p>
          <w:p w14:paraId="6C6844A9">
            <w:pPr>
              <w:pStyle w:val="76"/>
              <w:ind w:firstLine="0" w:firstLineChars="0"/>
              <w:rPr>
                <w:bCs/>
              </w:rPr>
            </w:pPr>
          </w:p>
          <w:p w14:paraId="771EFE27">
            <w:pPr>
              <w:pStyle w:val="76"/>
              <w:ind w:firstLine="0" w:firstLineChars="0"/>
              <w:rPr>
                <w:bCs/>
              </w:rPr>
            </w:pPr>
            <w:r>
              <w:drawing>
                <wp:inline distT="0" distB="0" distL="0" distR="0">
                  <wp:extent cx="4921885" cy="5922010"/>
                  <wp:effectExtent l="0" t="0" r="0" b="2540"/>
                  <wp:docPr id="12425094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09460" name="图片 1"/>
                          <pic:cNvPicPr>
                            <a:picLocks noChangeAspect="1"/>
                          </pic:cNvPicPr>
                        </pic:nvPicPr>
                        <pic:blipFill>
                          <a:blip r:embed="rId14"/>
                          <a:stretch>
                            <a:fillRect/>
                          </a:stretch>
                        </pic:blipFill>
                        <pic:spPr>
                          <a:xfrm>
                            <a:off x="0" y="0"/>
                            <a:ext cx="4931952" cy="5934255"/>
                          </a:xfrm>
                          <a:prstGeom prst="rect">
                            <a:avLst/>
                          </a:prstGeom>
                        </pic:spPr>
                      </pic:pic>
                    </a:graphicData>
                  </a:graphic>
                </wp:inline>
              </w:drawing>
            </w:r>
          </w:p>
          <w:p w14:paraId="7B091A9F">
            <w:pPr>
              <w:pStyle w:val="76"/>
              <w:ind w:firstLine="0" w:firstLineChars="0"/>
              <w:jc w:val="center"/>
              <w:rPr>
                <w:b/>
              </w:rPr>
            </w:pPr>
            <w:r>
              <w:rPr>
                <w:b/>
              </w:rPr>
              <w:t>图2-3 本项目建成后全厂水平衡图</w:t>
            </w:r>
          </w:p>
          <w:p w14:paraId="274F3ABA">
            <w:pPr>
              <w:pStyle w:val="76"/>
              <w:spacing w:line="500" w:lineRule="exact"/>
              <w:ind w:firstLine="0" w:firstLineChars="0"/>
              <w:rPr>
                <w:b/>
                <w:bCs/>
              </w:rPr>
            </w:pPr>
            <w:r>
              <w:rPr>
                <w:b/>
                <w:bCs/>
              </w:rPr>
              <w:t>7、劳动定员及工作制度</w:t>
            </w:r>
          </w:p>
          <w:p w14:paraId="258CB9E1">
            <w:pPr>
              <w:pStyle w:val="76"/>
              <w:spacing w:line="500" w:lineRule="exact"/>
              <w:ind w:firstLine="480"/>
            </w:pPr>
            <w:r>
              <w:t>劳动定员：相较已验收项目，本项目员工新增1000人，包含于一期项目中</w:t>
            </w:r>
            <w:r>
              <w:rPr>
                <w:rFonts w:hint="eastAsia"/>
              </w:rPr>
              <w:t>。</w:t>
            </w:r>
          </w:p>
          <w:p w14:paraId="22C3AB15">
            <w:pPr>
              <w:pStyle w:val="76"/>
              <w:spacing w:line="500" w:lineRule="exact"/>
              <w:ind w:firstLine="480"/>
            </w:pPr>
            <w:r>
              <w:t>工作制度：实行三班制，每班8小时，年工作350天</w:t>
            </w:r>
            <w:r>
              <w:rPr>
                <w:rFonts w:hint="eastAsia"/>
              </w:rPr>
              <w:t>。</w:t>
            </w:r>
          </w:p>
          <w:p w14:paraId="4786FCE6">
            <w:pPr>
              <w:pStyle w:val="79"/>
              <w:spacing w:before="0" w:after="0" w:line="500" w:lineRule="exact"/>
              <w:rPr>
                <w:rFonts w:cs="Times New Roman"/>
              </w:rPr>
            </w:pPr>
            <w:r>
              <w:rPr>
                <w:rFonts w:cs="Times New Roman"/>
              </w:rPr>
              <w:t>8、平面布置</w:t>
            </w:r>
          </w:p>
          <w:p w14:paraId="20A0ED35">
            <w:pPr>
              <w:pStyle w:val="76"/>
              <w:spacing w:line="500" w:lineRule="exact"/>
              <w:ind w:firstLine="480"/>
            </w:pPr>
            <w:r>
              <w:t>二期、三期项目用地位于国望高科成子河西侧厂区内部，用地范围分为生产区、罐区、宿舍等区域，主要新增建筑包括1座50万吨纺丝车间2、2个换热站、1座立体库5、1座空压站、2个乙二醇储罐。纺丝车间2共四层，一、二、三层分别为卷绕设备、纺丝设备以及熔体计量泵，四层为空调机组。聚酯熔体由一期项目聚酯车间2通过管路输送至纺丝车间2。废丝回收生产线位于一期一阶段项目纺丝车间1一层北部。立体库5位于纺丝车间2西侧。换热站分别位于一期聚酯车间1东侧及聚酯车间2西侧。综合动力站、综合给水站和循环冷却水站均依托一期一阶段已验收建筑，位于二期三期项目用地范围北侧；供热依托泗阳意杨环保能源有限公司，位于国望高科厂区北侧土地，为全厂所有聚酯、纺丝装置提供主要的热源；危废暂存库依托现有，位于芮邦科技厂区西北界。新增2个废丝房（一般工业固废暂存仓库）分别位于纺丝车间2一层东西</w:t>
            </w:r>
            <w:r>
              <w:rPr>
                <w:rFonts w:hint="eastAsia"/>
              </w:rPr>
              <w:t>两</w:t>
            </w:r>
            <w:r>
              <w:t>侧。新增2个乙二醇储罐于现有罐区西侧，并设置围堰。污水处理依托江苏芮邦科技有限公司污水站，位于纺丝车间2东侧，主要用于生产、生活污水、事故废水的收集处理；厂区内所有装置及仓储均设置环形消防通道，高层建筑还预留消防登高操作场地，满足消防及运输的要求。新增5座员工宿舍楼，位于一期一阶段已验收员工宿舍西侧。</w:t>
            </w:r>
          </w:p>
          <w:p w14:paraId="58B8C213">
            <w:pPr>
              <w:spacing w:line="500" w:lineRule="exact"/>
              <w:rPr>
                <w:b/>
                <w:bCs/>
                <w:sz w:val="24"/>
                <w:szCs w:val="22"/>
              </w:rPr>
            </w:pPr>
            <w:r>
              <w:rPr>
                <w:sz w:val="24"/>
              </w:rPr>
              <w:t>本项目平面布置图见附图6。</w:t>
            </w:r>
          </w:p>
        </w:tc>
      </w:tr>
      <w:tr w14:paraId="261947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215" w:type="pct"/>
            <w:tcBorders>
              <w:top w:val="single" w:color="auto" w:sz="4" w:space="0"/>
              <w:bottom w:val="single" w:color="auto" w:sz="4" w:space="0"/>
            </w:tcBorders>
            <w:vAlign w:val="center"/>
          </w:tcPr>
          <w:p w14:paraId="146D915C">
            <w:pPr>
              <w:pStyle w:val="42"/>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工艺流程和产排污环节</w:t>
            </w:r>
          </w:p>
        </w:tc>
        <w:tc>
          <w:tcPr>
            <w:tcW w:w="4785" w:type="pct"/>
            <w:tcBorders>
              <w:top w:val="single" w:color="auto" w:sz="4" w:space="0"/>
              <w:bottom w:val="single" w:color="auto" w:sz="4" w:space="0"/>
            </w:tcBorders>
          </w:tcPr>
          <w:p w14:paraId="4A6E3403">
            <w:pPr>
              <w:spacing w:line="500" w:lineRule="exact"/>
              <w:rPr>
                <w:b/>
                <w:bCs/>
                <w:sz w:val="24"/>
                <w:szCs w:val="22"/>
              </w:rPr>
            </w:pPr>
            <w:r>
              <w:rPr>
                <w:b/>
                <w:bCs/>
                <w:sz w:val="24"/>
                <w:szCs w:val="22"/>
              </w:rPr>
              <w:t>工艺流程简述：</w:t>
            </w:r>
          </w:p>
          <w:p w14:paraId="00CE3CC6">
            <w:pPr>
              <w:spacing w:line="500" w:lineRule="exact"/>
              <w:rPr>
                <w:b/>
                <w:bCs/>
                <w:sz w:val="24"/>
                <w:szCs w:val="22"/>
              </w:rPr>
            </w:pPr>
            <w:r>
              <w:rPr>
                <w:b/>
                <w:bCs/>
                <w:sz w:val="24"/>
                <w:szCs w:val="22"/>
              </w:rPr>
              <w:t>1、POY工艺流程</w:t>
            </w:r>
          </w:p>
          <w:p w14:paraId="02FE17B4">
            <w:pPr>
              <w:pStyle w:val="76"/>
              <w:spacing w:line="500" w:lineRule="exact"/>
              <w:ind w:firstLine="480"/>
            </w:pPr>
            <w:r>
              <w:t>本项目POY纺丝工艺流程图见图2-4。</w:t>
            </w:r>
          </w:p>
          <w:p w14:paraId="68E00877">
            <w:pPr>
              <w:jc w:val="center"/>
              <w:rPr>
                <w:sz w:val="24"/>
                <w:szCs w:val="22"/>
              </w:rPr>
            </w:pPr>
          </w:p>
          <w:p w14:paraId="75B1ABC8">
            <w:pPr>
              <w:jc w:val="center"/>
              <w:rPr>
                <w:b/>
                <w:bCs/>
                <w:sz w:val="24"/>
                <w:szCs w:val="22"/>
              </w:rPr>
            </w:pPr>
            <w:r>
              <w:rPr>
                <w:b/>
                <w:bCs/>
                <w:sz w:val="24"/>
                <w:szCs w:val="22"/>
              </w:rPr>
              <w:drawing>
                <wp:inline distT="0" distB="0" distL="0" distR="0">
                  <wp:extent cx="4150995" cy="8427085"/>
                  <wp:effectExtent l="0" t="0" r="1905" b="0"/>
                  <wp:docPr id="2137516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16378" name="图片 1"/>
                          <pic:cNvPicPr>
                            <a:picLocks noChangeAspect="1"/>
                          </pic:cNvPicPr>
                        </pic:nvPicPr>
                        <pic:blipFill>
                          <a:blip r:embed="rId15"/>
                          <a:stretch>
                            <a:fillRect/>
                          </a:stretch>
                        </pic:blipFill>
                        <pic:spPr>
                          <a:xfrm>
                            <a:off x="0" y="0"/>
                            <a:ext cx="4155632" cy="8436992"/>
                          </a:xfrm>
                          <a:prstGeom prst="rect">
                            <a:avLst/>
                          </a:prstGeom>
                        </pic:spPr>
                      </pic:pic>
                    </a:graphicData>
                  </a:graphic>
                </wp:inline>
              </w:drawing>
            </w:r>
          </w:p>
          <w:p w14:paraId="3C18147D">
            <w:pPr>
              <w:jc w:val="center"/>
              <w:rPr>
                <w:b/>
                <w:bCs/>
                <w:sz w:val="24"/>
                <w:szCs w:val="22"/>
              </w:rPr>
            </w:pPr>
            <w:r>
              <w:rPr>
                <w:b/>
                <w:bCs/>
                <w:sz w:val="24"/>
                <w:szCs w:val="22"/>
              </w:rPr>
              <w:t>图2-4  本项目POY纺丝工艺流程图</w:t>
            </w:r>
          </w:p>
          <w:p w14:paraId="02D6CA91">
            <w:pPr>
              <w:pStyle w:val="76"/>
              <w:spacing w:line="500" w:lineRule="exact"/>
              <w:ind w:firstLine="482"/>
              <w:rPr>
                <w:b/>
                <w:bCs/>
              </w:rPr>
            </w:pPr>
            <w:r>
              <w:rPr>
                <w:b/>
                <w:bCs/>
              </w:rPr>
              <w:t>工艺流程简述如下：</w:t>
            </w:r>
          </w:p>
          <w:p w14:paraId="0525D746">
            <w:pPr>
              <w:pStyle w:val="76"/>
              <w:spacing w:line="500" w:lineRule="exact"/>
              <w:ind w:firstLine="480"/>
            </w:pPr>
            <w:r>
              <w:t>自熔体分配系统来的聚酯熔体以一定温度进入由气相热媒保温的纺丝箱体，经计量泵定量后送至纺丝组件。纺丝位入口处设有冷冻阀以保证可以单独停机。熔体在纺丝组件处再次被过滤和均化后挤出喷丝板进入侧吹风室，被一定温度的侧冷吹风冷却固化为丝束。经由油剂计量泵定量供油剂的油嘴上油后通过纺丝甬道进入卷绕。</w:t>
            </w:r>
          </w:p>
          <w:p w14:paraId="2F5729CE">
            <w:pPr>
              <w:pStyle w:val="76"/>
              <w:spacing w:line="500" w:lineRule="exact"/>
              <w:ind w:firstLine="480"/>
              <w:rPr>
                <w:bCs/>
              </w:rPr>
            </w:pPr>
            <w:r>
              <w:rPr>
                <w:bCs/>
              </w:rPr>
              <w:t>需要说明的是，PET聚酯熔体管道输送、挤出纺丝过程中可能有微量乙醛及非甲烷总烃产生</w:t>
            </w:r>
            <w:r>
              <w:t>并通过无组织排放</w:t>
            </w:r>
            <w:r>
              <w:rPr>
                <w:bCs/>
              </w:rPr>
              <w:t>。乙醛沸点较低（20.8℃），是聚酯反应过程中的副产物，在聚酯单元真空系统中以气态逸散，通过喷淋进入酯化废水中，送至国望酯化废水，</w:t>
            </w:r>
            <w:r>
              <w:t>极少量的真空系统不凝汽送入泗阳意杨环保科技有限公司焚烧处理后通过排气筒排放。因此，聚酯熔体中乙醛单体含量极低，</w:t>
            </w:r>
            <w:r>
              <w:rPr>
                <w:bCs/>
              </w:rPr>
              <w:t>可以按忽略不计考虑。此外，聚酯熔体管道运输温度约235~260℃，挤出温度约260°C~290°C，PET熔体挤出后会快速侧冷吹风冷却固化为丝束。整个纺丝过程温度低于PET分解产生乙醛的温度（300℃以上）。</w:t>
            </w:r>
            <w:r>
              <w:t>因此，聚酯熔体运输和挤出的过程中产生的非甲烷总烃及乙醛量极少，本次评价仅进行定性分析，不进行定量核算</w:t>
            </w:r>
            <w:r>
              <w:rPr>
                <w:bCs/>
              </w:rPr>
              <w:t>。</w:t>
            </w:r>
          </w:p>
          <w:p w14:paraId="02BA7015">
            <w:pPr>
              <w:pStyle w:val="76"/>
              <w:spacing w:line="500" w:lineRule="exact"/>
              <w:ind w:firstLine="480"/>
            </w:pPr>
            <w:r>
              <w:t>丝束上油后通过纺丝甬道，经过切丝吸丝装置后，绕过第一导丝盘，再经过预网络器，然后绕过第二导丝盘，经过断丝检测器，丝束进入卷绕头被卷绕在纸管上，卷绕头为自动换筒。卷绕头上方设有断丝检测器，并与切丝吸丝装置及废丝收集系统相连接。卷装定时自动切换，手动落筒。落筒后的丝饼由操作人员送包装间，经检验、分级、包装、出厂。</w:t>
            </w:r>
          </w:p>
          <w:p w14:paraId="476C291A">
            <w:pPr>
              <w:pStyle w:val="76"/>
              <w:spacing w:line="500" w:lineRule="exact"/>
              <w:ind w:firstLine="480"/>
            </w:pPr>
            <w:r>
              <w:t>涤纶丝在上油、拉伸、卷绕等过程中需要使用油剂，在纺丝中起到润滑和消除静电等作用，POY纺丝油剂的使用量约为5kg/吨产品，由于POY的牵伸在室温进行即可，因此</w:t>
            </w:r>
            <w:r>
              <w:rPr>
                <w:rFonts w:hint="eastAsia"/>
              </w:rPr>
              <w:t>，</w:t>
            </w:r>
            <w:r>
              <w:t>在车间里随水蒸气挥发的油剂废气（G1-1、G1-2）很少，约0.04kg/t纺丝，大部分附着在产品上。其中约95%的油剂经集气抽风装置收集后，由设在各纺丝车间屋顶的静电式油气分离装置处理后（处理效率约80%）达标排入大气。</w:t>
            </w:r>
          </w:p>
          <w:p w14:paraId="1B71A3F3">
            <w:pPr>
              <w:pStyle w:val="76"/>
              <w:spacing w:line="500" w:lineRule="exact"/>
              <w:ind w:firstLine="480"/>
            </w:pPr>
            <w:r>
              <w:t>在POY纺丝过程中有废无油丝（S1）和废含油丝（S2）等固体废物产生。</w:t>
            </w:r>
          </w:p>
          <w:p w14:paraId="71AB66CF">
            <w:pPr>
              <w:spacing w:line="500" w:lineRule="exact"/>
              <w:rPr>
                <w:b/>
                <w:bCs/>
                <w:sz w:val="24"/>
                <w:szCs w:val="22"/>
              </w:rPr>
            </w:pPr>
            <w:r>
              <w:rPr>
                <w:b/>
                <w:bCs/>
                <w:sz w:val="24"/>
                <w:szCs w:val="22"/>
              </w:rPr>
              <w:t>2、FDY工艺流程</w:t>
            </w:r>
          </w:p>
          <w:p w14:paraId="5794029E">
            <w:pPr>
              <w:spacing w:line="500" w:lineRule="exact"/>
              <w:ind w:firstLine="480"/>
              <w:rPr>
                <w:bCs/>
                <w:sz w:val="24"/>
              </w:rPr>
            </w:pPr>
            <w:r>
              <w:rPr>
                <w:bCs/>
                <w:sz w:val="24"/>
              </w:rPr>
              <w:t>本项目FDY纺丝工艺流程图见图2-5。</w:t>
            </w:r>
          </w:p>
          <w:p w14:paraId="64354522">
            <w:pPr>
              <w:jc w:val="center"/>
              <w:rPr>
                <w:bCs/>
                <w:sz w:val="24"/>
              </w:rPr>
            </w:pPr>
            <w:r>
              <w:rPr>
                <w:bCs/>
                <w:sz w:val="24"/>
              </w:rPr>
              <w:drawing>
                <wp:inline distT="0" distB="0" distL="0" distR="0">
                  <wp:extent cx="3723640" cy="7119620"/>
                  <wp:effectExtent l="0" t="0" r="0" b="5080"/>
                  <wp:docPr id="5172540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54027" name="图片 1"/>
                          <pic:cNvPicPr>
                            <a:picLocks noChangeAspect="1"/>
                          </pic:cNvPicPr>
                        </pic:nvPicPr>
                        <pic:blipFill>
                          <a:blip r:embed="rId16"/>
                          <a:stretch>
                            <a:fillRect/>
                          </a:stretch>
                        </pic:blipFill>
                        <pic:spPr>
                          <a:xfrm>
                            <a:off x="0" y="0"/>
                            <a:ext cx="3733744" cy="7138952"/>
                          </a:xfrm>
                          <a:prstGeom prst="rect">
                            <a:avLst/>
                          </a:prstGeom>
                        </pic:spPr>
                      </pic:pic>
                    </a:graphicData>
                  </a:graphic>
                </wp:inline>
              </w:drawing>
            </w:r>
          </w:p>
          <w:p w14:paraId="6AAA0C1B">
            <w:pPr>
              <w:spacing w:line="500" w:lineRule="exact"/>
              <w:jc w:val="center"/>
              <w:rPr>
                <w:b/>
                <w:bCs/>
                <w:sz w:val="24"/>
                <w:szCs w:val="22"/>
              </w:rPr>
            </w:pPr>
            <w:r>
              <w:rPr>
                <w:b/>
                <w:bCs/>
                <w:sz w:val="24"/>
                <w:szCs w:val="22"/>
              </w:rPr>
              <w:t>图2-5  本项目FDY纺丝工艺流程图</w:t>
            </w:r>
          </w:p>
          <w:p w14:paraId="189F5116">
            <w:pPr>
              <w:spacing w:line="500" w:lineRule="exact"/>
              <w:ind w:firstLine="480"/>
              <w:rPr>
                <w:b/>
                <w:bCs/>
                <w:sz w:val="24"/>
                <w:szCs w:val="22"/>
              </w:rPr>
            </w:pPr>
            <w:r>
              <w:rPr>
                <w:b/>
                <w:bCs/>
                <w:sz w:val="24"/>
                <w:szCs w:val="22"/>
              </w:rPr>
              <w:t>工艺流程简述如下：</w:t>
            </w:r>
          </w:p>
          <w:p w14:paraId="32F67456">
            <w:pPr>
              <w:spacing w:line="500" w:lineRule="exact"/>
              <w:ind w:firstLine="480" w:firstLineChars="200"/>
              <w:rPr>
                <w:sz w:val="24"/>
              </w:rPr>
            </w:pPr>
            <w:r>
              <w:rPr>
                <w:sz w:val="24"/>
              </w:rPr>
              <w:t>聚酯熔体经增压泵熔体输送管道到纺丝，高速卷绕成全牵伸丝（FDY）。在分配管道系统中的静态混合器保证聚合物熔体温度分布均匀，不产生任何死点。</w:t>
            </w:r>
          </w:p>
          <w:p w14:paraId="33D9DBB0">
            <w:pPr>
              <w:spacing w:line="500" w:lineRule="exact"/>
              <w:ind w:firstLine="480" w:firstLineChars="200"/>
              <w:rPr>
                <w:sz w:val="24"/>
              </w:rPr>
            </w:pPr>
            <w:r>
              <w:rPr>
                <w:sz w:val="24"/>
              </w:rPr>
              <w:t>在纺丝箱的每个纺丝位前面装有一个压缩空气冷冻阀，当需要更换计量泵和纺丝组件时，通入压缩空气，将熔体凝结，起到截止作用；反之则停止通入压缩空气，管道内的熔体即被阀体传热熔化而使熔体继续流通。</w:t>
            </w:r>
          </w:p>
          <w:p w14:paraId="47CDBD9D">
            <w:pPr>
              <w:spacing w:line="500" w:lineRule="exact"/>
              <w:ind w:firstLine="480" w:firstLineChars="200"/>
              <w:rPr>
                <w:sz w:val="24"/>
              </w:rPr>
            </w:pPr>
            <w:r>
              <w:rPr>
                <w:sz w:val="24"/>
              </w:rPr>
              <w:t>每条线36个部位，每位12头或24头，每个纺丝位有纺丝计量泵和纺丝组件，每只组件1块喷丝板，熔体分别经组件过滤后从喷丝板喷出，在风冷装置中冷却成丝束。纺丝组件采用具有国际先进水平的下装式自压密封组件。</w:t>
            </w:r>
          </w:p>
          <w:p w14:paraId="3AEFFF3C">
            <w:pPr>
              <w:spacing w:line="500" w:lineRule="exact"/>
              <w:ind w:firstLine="480" w:firstLineChars="200"/>
              <w:rPr>
                <w:sz w:val="24"/>
              </w:rPr>
            </w:pPr>
            <w:r>
              <w:rPr>
                <w:sz w:val="24"/>
              </w:rPr>
              <w:t>熔体进入纺丝箱后，通过密封在纺丝箱体内的，由热媒蒸汽加热保温的熔体分配管道，进入每个纺丝位的纺丝计量泵中，每个纺丝计量泵将每路熔体精确计量、加压。通过组件座进入纺丝组件，经过组件过滤分配后，从喷丝板喷出，在侧吹风装置中冷却成型。经风冷装置冷却固化后的丝束，通过纺丝甬道进入FDY高速卷绕机。</w:t>
            </w:r>
          </w:p>
          <w:p w14:paraId="241F7A6A">
            <w:pPr>
              <w:spacing w:line="500" w:lineRule="exact"/>
              <w:ind w:firstLine="480" w:firstLineChars="200"/>
              <w:rPr>
                <w:sz w:val="24"/>
              </w:rPr>
            </w:pPr>
            <w:r>
              <w:rPr>
                <w:sz w:val="24"/>
              </w:rPr>
              <w:t>从甬道出来的丝束，进入牵伸卷绕机，经切丝器、吸丝器，第一热辊（温度约为90℃）、第二热辊（温度约为120℃）、网络喷嘴及断丝检测器后，分别引入高速卷绕头。每个纺丝位对应一台或两台卷绕头，每个卷绕头12束丝，分别在锭子主动传动的筒管轴上被卷绕成12个丝饼。当丝饼直径达到设定时，自控系统发出信号，使切丝器、吸丝器一起动作，卷绕头会进行全自动无废丝换筒，卷绕头还带有丝饼自动推出器及提升装置。落筒后的丝饼由操作人员送包装间，经检验、分级、包装、出厂。</w:t>
            </w:r>
          </w:p>
          <w:p w14:paraId="355E7CA6">
            <w:pPr>
              <w:spacing w:line="500" w:lineRule="exact"/>
              <w:ind w:firstLine="480" w:firstLineChars="200"/>
              <w:rPr>
                <w:sz w:val="24"/>
              </w:rPr>
            </w:pPr>
            <w:r>
              <w:rPr>
                <w:bCs/>
                <w:sz w:val="24"/>
              </w:rPr>
              <w:t>需要说明的是，PET聚酯熔体管道输送、挤出纺丝过程中可能有微量乙醛及非甲烷总烃产生</w:t>
            </w:r>
            <w:r>
              <w:rPr>
                <w:sz w:val="24"/>
              </w:rPr>
              <w:t>并通过无组织排放</w:t>
            </w:r>
            <w:r>
              <w:rPr>
                <w:bCs/>
                <w:sz w:val="24"/>
              </w:rPr>
              <w:t>。乙醛沸点较低（20.8℃），是聚酯反应过程中的副产物，在聚酯单元真空系统中以气态逸散，通过喷淋进入酯化废水中，送至国望酯化废水，</w:t>
            </w:r>
            <w:r>
              <w:rPr>
                <w:sz w:val="24"/>
              </w:rPr>
              <w:t>极少量的真空系统不凝汽送入泗阳意杨环保科技有限公司焚烧处理后通过排气筒排放。因此</w:t>
            </w:r>
            <w:r>
              <w:rPr>
                <w:rFonts w:hint="eastAsia"/>
                <w:sz w:val="24"/>
              </w:rPr>
              <w:t>，</w:t>
            </w:r>
            <w:r>
              <w:rPr>
                <w:sz w:val="24"/>
              </w:rPr>
              <w:t>聚酯熔体中乙醛单体含量极低，</w:t>
            </w:r>
            <w:r>
              <w:rPr>
                <w:bCs/>
                <w:sz w:val="24"/>
              </w:rPr>
              <w:t>可以按忽略不计考虑。此外，聚酯熔体管道运输温度约235~260℃，挤出温度约260°C~290°C，PET熔体挤出后会快速侧冷吹风冷却固化为丝束。整个纺丝过程温度低于PET分解产生乙醛的温度（300℃以上）。</w:t>
            </w:r>
            <w:r>
              <w:rPr>
                <w:sz w:val="24"/>
              </w:rPr>
              <w:t>因此聚酯熔体运输和挤出的过程中产生的非甲烷总烃及乙醛量极少，本次评价仅进行定性分析，不进行定量核算</w:t>
            </w:r>
            <w:r>
              <w:rPr>
                <w:bCs/>
                <w:sz w:val="24"/>
              </w:rPr>
              <w:t>。</w:t>
            </w:r>
          </w:p>
          <w:p w14:paraId="66A7F146">
            <w:pPr>
              <w:spacing w:line="500" w:lineRule="exact"/>
              <w:ind w:firstLine="480"/>
              <w:rPr>
                <w:sz w:val="24"/>
                <w:szCs w:val="22"/>
              </w:rPr>
            </w:pPr>
            <w:r>
              <w:rPr>
                <w:bCs/>
                <w:sz w:val="24"/>
              </w:rPr>
              <w:t>涤纶丝在上油、</w:t>
            </w:r>
            <w:bookmarkStart w:id="25" w:name="_Hlk69554751"/>
            <w:r>
              <w:rPr>
                <w:bCs/>
                <w:sz w:val="24"/>
              </w:rPr>
              <w:t>拉伸、卷绕</w:t>
            </w:r>
            <w:bookmarkEnd w:id="25"/>
            <w:r>
              <w:rPr>
                <w:bCs/>
                <w:sz w:val="24"/>
              </w:rPr>
              <w:t>等过程中需要使用油剂，在纺丝中起到润滑和消除静电等作用，FDY纺丝油剂的使用量约为12kg/吨产品，最后附着在产品上的FDY油剂约为9.7kg/吨产品，约有0.3kg /吨的FDY纺丝油剂变成</w:t>
            </w:r>
            <w:r>
              <w:rPr>
                <w:b/>
                <w:sz w:val="24"/>
              </w:rPr>
              <w:t>纺丝油剂废气</w:t>
            </w:r>
            <w:r>
              <w:rPr>
                <w:bCs/>
                <w:sz w:val="24"/>
              </w:rPr>
              <w:t>（G2-1、G2-2），油剂废气经集气抽风装置收集（收集率95%），由设在各纺丝车间屋顶的静电式油气分离装置处理后</w:t>
            </w:r>
            <w:r>
              <w:rPr>
                <w:bCs/>
                <w:spacing w:val="-2"/>
                <w:sz w:val="24"/>
              </w:rPr>
              <w:t>（处理效率约80%），达标排入大气。</w:t>
            </w:r>
          </w:p>
          <w:p w14:paraId="53DFF02E">
            <w:pPr>
              <w:pStyle w:val="78"/>
              <w:spacing w:before="0" w:after="0" w:line="500" w:lineRule="exact"/>
              <w:ind w:firstLine="523" w:firstLineChars="218"/>
              <w:rPr>
                <w:rFonts w:cs="Times New Roman"/>
                <w:bCs/>
                <w:szCs w:val="24"/>
              </w:rPr>
            </w:pPr>
            <w:r>
              <w:rPr>
                <w:rFonts w:cs="Times New Roman"/>
                <w:b w:val="0"/>
                <w:kern w:val="2"/>
                <w:szCs w:val="22"/>
              </w:rPr>
              <w:t>在FDY纺丝过程中有废无油丝（S1）和废含油丝（S2）等固体废物产生。</w:t>
            </w:r>
          </w:p>
          <w:p w14:paraId="510E082D">
            <w:pPr>
              <w:spacing w:line="500" w:lineRule="exact"/>
              <w:rPr>
                <w:b/>
                <w:bCs/>
                <w:sz w:val="24"/>
                <w:szCs w:val="22"/>
              </w:rPr>
            </w:pPr>
            <w:r>
              <w:rPr>
                <w:b/>
                <w:bCs/>
                <w:sz w:val="24"/>
                <w:szCs w:val="22"/>
              </w:rPr>
              <w:t>3、BEY、涤锦工艺流程</w:t>
            </w:r>
          </w:p>
          <w:p w14:paraId="225C7CAB">
            <w:pPr>
              <w:spacing w:line="500" w:lineRule="exact"/>
              <w:ind w:firstLine="480" w:firstLineChars="200"/>
              <w:rPr>
                <w:sz w:val="24"/>
                <w:szCs w:val="22"/>
              </w:rPr>
            </w:pPr>
            <w:r>
              <w:rPr>
                <w:sz w:val="24"/>
              </w:rPr>
              <w:t>BEY（涤锦）</w:t>
            </w:r>
            <w:r>
              <w:rPr>
                <w:sz w:val="24"/>
                <w:szCs w:val="22"/>
              </w:rPr>
              <w:t>纺丝生产工艺流程见图2-6。</w:t>
            </w:r>
          </w:p>
          <w:p w14:paraId="51276930">
            <w:pPr>
              <w:ind w:left="-1" w:leftChars="-20" w:hanging="41" w:hangingChars="17"/>
              <w:jc w:val="center"/>
              <w:rPr>
                <w:b/>
                <w:sz w:val="24"/>
                <w:szCs w:val="22"/>
              </w:rPr>
            </w:pPr>
            <w:r>
              <w:rPr>
                <w:b/>
                <w:sz w:val="24"/>
                <w:szCs w:val="22"/>
              </w:rPr>
              <w:drawing>
                <wp:inline distT="0" distB="0" distL="0" distR="0">
                  <wp:extent cx="4920615" cy="8084185"/>
                  <wp:effectExtent l="0" t="0" r="0" b="0"/>
                  <wp:docPr id="16152870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87010" name="图片 1"/>
                          <pic:cNvPicPr>
                            <a:picLocks noChangeAspect="1"/>
                          </pic:cNvPicPr>
                        </pic:nvPicPr>
                        <pic:blipFill>
                          <a:blip r:embed="rId17"/>
                          <a:stretch>
                            <a:fillRect/>
                          </a:stretch>
                        </pic:blipFill>
                        <pic:spPr>
                          <a:xfrm>
                            <a:off x="0" y="0"/>
                            <a:ext cx="4927665" cy="8095703"/>
                          </a:xfrm>
                          <a:prstGeom prst="rect">
                            <a:avLst/>
                          </a:prstGeom>
                        </pic:spPr>
                      </pic:pic>
                    </a:graphicData>
                  </a:graphic>
                </wp:inline>
              </w:drawing>
            </w:r>
          </w:p>
          <w:p w14:paraId="6FFB31B3">
            <w:pPr>
              <w:spacing w:line="500" w:lineRule="exact"/>
              <w:jc w:val="center"/>
              <w:rPr>
                <w:b/>
                <w:sz w:val="24"/>
                <w:szCs w:val="22"/>
              </w:rPr>
            </w:pPr>
            <w:r>
              <w:rPr>
                <w:b/>
                <w:sz w:val="24"/>
                <w:szCs w:val="22"/>
              </w:rPr>
              <w:t>图2-6  BEY、涤锦纺丝生产流程图</w:t>
            </w:r>
          </w:p>
          <w:p w14:paraId="12AE8303">
            <w:pPr>
              <w:spacing w:line="500" w:lineRule="exact"/>
              <w:ind w:firstLine="480" w:firstLineChars="200"/>
              <w:rPr>
                <w:sz w:val="24"/>
              </w:rPr>
            </w:pPr>
            <w:r>
              <w:rPr>
                <w:sz w:val="24"/>
              </w:rPr>
              <w:t>通过外购部分PBT切片（或PA6切片），经过结晶干燥后进入螺杆挤压机熔融挤出熔体后，进入高粘组分箱体中，由终聚釜生产的低粘聚酯熔体经增压泵低粘熔体输送管道输送至纺丝工段的低粘组分箱体，高粘组分箱体和低粘组分箱体通过各自的计量泵打入双组分复合组件中，形成双组分熔体。双组分熔体再经过冷却、上油等操作后，最终高速卷绕成全牵伸丝BEY（或涤锦）包装外售或移料加弹车间。纺丝</w:t>
            </w:r>
            <w:bookmarkStart w:id="26" w:name="bkReivew80615"/>
            <w:r>
              <w:rPr>
                <w:sz w:val="24"/>
              </w:rPr>
              <w:t>位</w:t>
            </w:r>
            <w:bookmarkEnd w:id="26"/>
            <w:r>
              <w:rPr>
                <w:sz w:val="24"/>
              </w:rPr>
              <w:t>入口处设有冷冻阀以保证可以单独停机。熔体在纺丝组件处再次被过滤和均化后挤出喷丝板进入侧吹风室，被一定温度的侧冷吹风冷却固化为丝束。经由油剂计量泵定量供油剂的油嘴上油后通过纺丝甬道进入卷绕。</w:t>
            </w:r>
          </w:p>
          <w:p w14:paraId="4BE4BB9E">
            <w:pPr>
              <w:spacing w:line="500" w:lineRule="exact"/>
              <w:ind w:firstLine="480" w:firstLineChars="200"/>
              <w:rPr>
                <w:sz w:val="24"/>
              </w:rPr>
            </w:pPr>
            <w:r>
              <w:rPr>
                <w:sz w:val="24"/>
              </w:rPr>
              <w:t>丝束上油后通过纺丝甬道，经过切丝吸丝装置后，绕过第一导丝盘，再经过预网络器，然后绕过第二导丝盘，经过断丝检测器，丝束进入卷绕头被卷绕在纸管上，卷绕头为自动换筒。卷绕头上方设有断丝检测器，并与切丝吸丝装置及废丝收集系统相连接。卷装定时自动切换，手动落筒。落筒后的丝饼由操作人员送包装间，经检验、分级、包装、出厂。</w:t>
            </w:r>
          </w:p>
          <w:p w14:paraId="458C5530">
            <w:pPr>
              <w:spacing w:line="500" w:lineRule="exact"/>
              <w:ind w:firstLine="480" w:firstLineChars="200"/>
              <w:rPr>
                <w:sz w:val="24"/>
              </w:rPr>
            </w:pPr>
            <w:r>
              <w:rPr>
                <w:sz w:val="24"/>
              </w:rPr>
              <w:t>需要说明的是，PET聚酯熔体管道输送、挤出纺丝过程中可能有微量乙醛及非甲烷总烃产生并通过无组织排放。乙醛沸点较低（20.8℃），是聚酯反应过程中的副产物，在聚酯单元真空系统中以气态逸散，通过喷淋进入酯化废水中，送至国望酯化废水，极少量的真空系统不凝汽送入泗阳意杨环保科技有限公司焚烧处理后通过排气筒排放。因此聚酯熔体中乙醛单体含量极低，可以按忽略不计考虑。此外，聚酯熔体管道运输温度约235~245℃，挤出温度约260°C左右，PET熔体挤出后会快速侧冷吹风冷却固化为丝束。整个纺丝过程温度低于PET分解产生乙醛的温度（300℃以上）。因此聚酯熔体运输和挤出的过程中产生的非甲烷总烃及乙醛量极少，本次评价仅进行定性分析，不进行定量核算。</w:t>
            </w:r>
          </w:p>
          <w:p w14:paraId="095C3943">
            <w:pPr>
              <w:spacing w:line="500" w:lineRule="exact"/>
              <w:ind w:firstLine="480" w:firstLineChars="200"/>
              <w:rPr>
                <w:bCs/>
                <w:sz w:val="24"/>
              </w:rPr>
            </w:pPr>
            <w:r>
              <w:rPr>
                <w:bCs/>
                <w:sz w:val="24"/>
              </w:rPr>
              <w:t>PBT切片干燥结晶、螺杆挤压过程中可能有微量四氢呋喃及非甲烷总烃产生。四氢呋喃其沸点较低（66</w:t>
            </w:r>
            <w:r>
              <w:rPr>
                <w:sz w:val="24"/>
              </w:rPr>
              <w:t>℃</w:t>
            </w:r>
            <w:r>
              <w:rPr>
                <w:bCs/>
                <w:sz w:val="24"/>
              </w:rPr>
              <w:t>），是PBT聚酯反应过程中的副产物，在PBT聚酯反应过程往往以气态逸散，并被回收收集。因此，本项目使用的PBT切片成品（颗粒状固体）中存在四氢呋喃单体量可以忽略不计。此外，切片干燥结晶和螺杆挤出温度均较低，分别为120℃~150℃和225</w:t>
            </w:r>
            <w:r>
              <w:rPr>
                <w:sz w:val="24"/>
              </w:rPr>
              <w:t>℃左右</w:t>
            </w:r>
            <w:r>
              <w:rPr>
                <w:bCs/>
                <w:sz w:val="24"/>
              </w:rPr>
              <w:t>，均低于PBT切片分解温度（270</w:t>
            </w:r>
            <w:r>
              <w:rPr>
                <w:sz w:val="24"/>
              </w:rPr>
              <w:t>℃</w:t>
            </w:r>
            <w:r>
              <w:rPr>
                <w:bCs/>
                <w:sz w:val="24"/>
              </w:rPr>
              <w:t>），切片干燥结晶和螺杆挤出过程产生非甲烷总烃及四氢呋喃的量极少，本次评价仅进行定性分析，不进行定量核算。</w:t>
            </w:r>
          </w:p>
          <w:p w14:paraId="63ED7DD9">
            <w:pPr>
              <w:spacing w:line="500" w:lineRule="exact"/>
              <w:ind w:firstLine="480" w:firstLineChars="200"/>
              <w:rPr>
                <w:sz w:val="24"/>
              </w:rPr>
            </w:pPr>
            <w:r>
              <w:rPr>
                <w:sz w:val="24"/>
              </w:rPr>
              <w:t>PA6切片</w:t>
            </w:r>
            <w:r>
              <w:rPr>
                <w:bCs/>
                <w:sz w:val="24"/>
              </w:rPr>
              <w:t>干燥结晶、螺杆挤压过程中可能有微量氨及非甲烷总烃产生。</w:t>
            </w:r>
            <w:r>
              <w:rPr>
                <w:sz w:val="24"/>
              </w:rPr>
              <w:t>PA6</w:t>
            </w:r>
            <w:r>
              <w:rPr>
                <w:bCs/>
                <w:sz w:val="24"/>
              </w:rPr>
              <w:t>切片干燥结晶和螺杆挤出工序温度较低，分别为120℃~150℃和240</w:t>
            </w:r>
            <w:r>
              <w:rPr>
                <w:sz w:val="24"/>
              </w:rPr>
              <w:t>℃</w:t>
            </w:r>
            <w:r>
              <w:rPr>
                <w:bCs/>
                <w:sz w:val="24"/>
              </w:rPr>
              <w:t>左右，均低于</w:t>
            </w:r>
            <w:r>
              <w:rPr>
                <w:sz w:val="24"/>
              </w:rPr>
              <w:t>PA6切片</w:t>
            </w:r>
            <w:r>
              <w:rPr>
                <w:bCs/>
                <w:sz w:val="24"/>
              </w:rPr>
              <w:t>分解温度（300</w:t>
            </w:r>
            <w:r>
              <w:rPr>
                <w:sz w:val="24"/>
              </w:rPr>
              <w:t>℃以上</w:t>
            </w:r>
            <w:r>
              <w:rPr>
                <w:bCs/>
                <w:sz w:val="24"/>
              </w:rPr>
              <w:t>），因此PA6螺杆挤出过程产生氨及非甲烷总烃的量极少，本次评价仅进行定性分析，不进行定量核算。</w:t>
            </w:r>
          </w:p>
          <w:p w14:paraId="20FE78B6">
            <w:pPr>
              <w:spacing w:line="500" w:lineRule="exact"/>
              <w:ind w:firstLine="480" w:firstLineChars="200"/>
              <w:rPr>
                <w:bCs/>
                <w:sz w:val="24"/>
              </w:rPr>
            </w:pPr>
            <w:r>
              <w:rPr>
                <w:bCs/>
                <w:sz w:val="24"/>
              </w:rPr>
              <w:t>外购干燥结晶过程中会产生少量废气（G3-1、G4-1），主要污染物为颗粒物）。涤纶丝在上油、拉伸、卷绕等过程中需要使用油剂，在纺丝中起到润滑和消除静电等作用，</w:t>
            </w:r>
            <w:r>
              <w:rPr>
                <w:sz w:val="24"/>
              </w:rPr>
              <w:t>BEY（涤锦）</w:t>
            </w:r>
            <w:r>
              <w:rPr>
                <w:bCs/>
                <w:sz w:val="24"/>
              </w:rPr>
              <w:t>纺丝油剂的使用量约为7kg/吨产品，由于</w:t>
            </w:r>
            <w:r>
              <w:rPr>
                <w:sz w:val="24"/>
              </w:rPr>
              <w:t>BEY（涤锦）</w:t>
            </w:r>
            <w:r>
              <w:rPr>
                <w:bCs/>
                <w:sz w:val="24"/>
              </w:rPr>
              <w:t>的牵伸在室温进行即可，因此在车间里随水蒸气挥发的油剂废气（G3-2、G4-2）很少，约0.04kg/t纺丝，大部分附着在产品上。其中约95%的油剂经集气抽风装置收集后，由设在车间屋顶的油气分离装置处理后经车间屋顶排气筒排放。</w:t>
            </w:r>
          </w:p>
          <w:p w14:paraId="5D69AF90">
            <w:pPr>
              <w:spacing w:line="500" w:lineRule="exact"/>
              <w:ind w:firstLine="480" w:firstLineChars="200"/>
              <w:rPr>
                <w:sz w:val="24"/>
              </w:rPr>
            </w:pPr>
            <w:r>
              <w:rPr>
                <w:sz w:val="24"/>
              </w:rPr>
              <w:t>在BEY（涤锦）纺丝过程中有废无油丝S1和废含油丝S2等固体废物产生。</w:t>
            </w:r>
          </w:p>
          <w:p w14:paraId="3A811229">
            <w:pPr>
              <w:spacing w:line="500" w:lineRule="exact"/>
              <w:rPr>
                <w:b/>
                <w:bCs/>
                <w:sz w:val="24"/>
                <w:szCs w:val="22"/>
              </w:rPr>
            </w:pPr>
            <w:r>
              <w:rPr>
                <w:b/>
                <w:bCs/>
                <w:sz w:val="24"/>
                <w:szCs w:val="22"/>
              </w:rPr>
              <w:t>4、油剂调配</w:t>
            </w:r>
          </w:p>
          <w:p w14:paraId="04A2897D">
            <w:pPr>
              <w:spacing w:line="500" w:lineRule="exact"/>
              <w:ind w:firstLine="480" w:firstLineChars="200"/>
              <w:rPr>
                <w:sz w:val="24"/>
              </w:rPr>
            </w:pPr>
            <w:r>
              <w:rPr>
                <w:sz w:val="24"/>
              </w:rPr>
              <w:t>先将定量的纯水加入到油剂调配槽中，浓油剂用油泵打入计量槽，计量后缓慢加入到纺丝油剂高位槽，供纺丝上油使用。</w:t>
            </w:r>
          </w:p>
          <w:p w14:paraId="6A8124AC">
            <w:pPr>
              <w:keepNext/>
              <w:keepLines/>
              <w:adjustRightInd w:val="0"/>
              <w:snapToGrid w:val="0"/>
              <w:spacing w:line="500" w:lineRule="exact"/>
              <w:outlineLvl w:val="4"/>
              <w:rPr>
                <w:b/>
                <w:bCs/>
                <w:sz w:val="24"/>
                <w:szCs w:val="28"/>
              </w:rPr>
            </w:pPr>
            <w:r>
              <w:rPr>
                <w:b/>
                <w:bCs/>
                <w:sz w:val="24"/>
                <w:szCs w:val="28"/>
              </w:rPr>
              <w:t>5、组件清洗</w:t>
            </w:r>
          </w:p>
          <w:p w14:paraId="7768D763">
            <w:pPr>
              <w:spacing w:line="500" w:lineRule="exact"/>
              <w:ind w:firstLine="480" w:firstLineChars="200"/>
              <w:rPr>
                <w:sz w:val="24"/>
              </w:rPr>
            </w:pPr>
            <w:r>
              <w:rPr>
                <w:sz w:val="24"/>
              </w:rPr>
              <w:t>纺丝组件需要定期清洗(一般0.5~2个月左右)，从纺丝机上更换下来的纺丝组件及时在组件拆卸台上进行拆卸，纺丝喷丝板送至清洗装置进行清洗，分配板及其余部件送真空煅烧炉清洗。</w:t>
            </w:r>
          </w:p>
          <w:p w14:paraId="0C1BE94E">
            <w:pPr>
              <w:spacing w:line="500" w:lineRule="exact"/>
              <w:ind w:firstLine="480" w:firstLineChars="200"/>
              <w:rPr>
                <w:sz w:val="24"/>
              </w:rPr>
            </w:pPr>
            <w:r>
              <w:rPr>
                <w:sz w:val="24"/>
              </w:rPr>
              <w:t>（1）清洗</w:t>
            </w:r>
          </w:p>
          <w:p w14:paraId="25D1FE06">
            <w:pPr>
              <w:spacing w:line="500" w:lineRule="exact"/>
              <w:ind w:firstLine="480" w:firstLineChars="200"/>
              <w:rPr>
                <w:sz w:val="24"/>
              </w:rPr>
            </w:pPr>
            <w:r>
              <w:rPr>
                <w:sz w:val="24"/>
              </w:rPr>
              <w:t>将纺丝组件分别放入吊篮中，用气动葫芦将吊篮分别吊入清洗槽。纺丝组件依次放入纯水清洗槽、碱洗槽，纯水清洗槽中进行清洗。废碱液（S7）直接排放到接收桶内，废碱液（S7）委托有资质单位处置。水洗产生的组件清洗废水（W2），送至相应预处理设施进行处理。经过超声波清洗以后，用压缩空气将纺丝组件吹干，经镜检合格后分别放入塑料袋封存备用。</w:t>
            </w:r>
          </w:p>
          <w:p w14:paraId="040AF7DC">
            <w:pPr>
              <w:widowControl/>
              <w:jc w:val="left"/>
              <w:rPr>
                <w:kern w:val="0"/>
                <w:sz w:val="24"/>
              </w:rPr>
            </w:pPr>
            <w:r>
              <w:rPr>
                <w:kern w:val="0"/>
                <w:sz w:val="24"/>
              </w:rPr>
              <w:fldChar w:fldCharType="begin"/>
            </w:r>
            <w:r>
              <w:rPr>
                <w:kern w:val="0"/>
                <w:sz w:val="24"/>
              </w:rPr>
              <w:instrText xml:space="preserve"> INCLUDEPICTURE "C:\\Users\\jingw\\AppData\\Roaming\\Tencent\\Users\\412333124\\TIM\\WinTemp\\RichOle\\(U3)PVGTAWA2E`7QGZ36SQB.png" \* MERGEFORMATINET </w:instrText>
            </w:r>
            <w:r>
              <w:rPr>
                <w:kern w:val="0"/>
                <w:sz w:val="24"/>
              </w:rPr>
              <w:fldChar w:fldCharType="separate"/>
            </w:r>
            <w:r>
              <w:rPr>
                <w:kern w:val="0"/>
                <w:sz w:val="24"/>
              </w:rPr>
              <w:fldChar w:fldCharType="begin"/>
            </w:r>
            <w:r>
              <w:rPr>
                <w:kern w:val="0"/>
                <w:sz w:val="24"/>
              </w:rPr>
              <w:instrText xml:space="preserve"> INCLUDEPICTURE  "C:\\Users\\jingw\\AppData\\Roaming\\Tencent\\Users\\412333124\\TIM\\WinTemp\\RichOle\\(U3)PVGTAWA2E`7QGZ36SQB.png" \* MERGEFORMATINET </w:instrText>
            </w:r>
            <w:r>
              <w:rPr>
                <w:kern w:val="0"/>
                <w:sz w:val="24"/>
              </w:rPr>
              <w:fldChar w:fldCharType="separate"/>
            </w:r>
            <w:r>
              <w:rPr>
                <w:kern w:val="0"/>
                <w:sz w:val="24"/>
              </w:rPr>
              <w:fldChar w:fldCharType="begin"/>
            </w:r>
            <w:r>
              <w:rPr>
                <w:kern w:val="0"/>
                <w:sz w:val="24"/>
              </w:rPr>
              <w:instrText xml:space="preserve"> INCLUDEPICTURE  "C:\\Users\\jingw\\AppData\\Roaming\\Tencent\\Users\\412333124\\TIM\\WinTemp\\RichOle\\(U3)PVGTAWA2E`7QGZ36SQB.png" \* MERGEFORMATINET </w:instrText>
            </w:r>
            <w:r>
              <w:rPr>
                <w:kern w:val="0"/>
                <w:sz w:val="24"/>
              </w:rPr>
              <w:fldChar w:fldCharType="separate"/>
            </w:r>
            <w:r>
              <w:rPr>
                <w:kern w:val="0"/>
                <w:sz w:val="24"/>
              </w:rPr>
              <w:fldChar w:fldCharType="begin"/>
            </w:r>
            <w:r>
              <w:rPr>
                <w:kern w:val="0"/>
                <w:sz w:val="24"/>
              </w:rPr>
              <w:instrText xml:space="preserve"> INCLUDEPICTURE  "C:\\Users\\jingw\\AppData\\Roaming\\Tencent\\Users\\412333124\\TIM\\WinTemp\\RichOle\\(U3)PVGTAWA2E`7QGZ36SQB.png" \* MERGEFORMATINET </w:instrText>
            </w:r>
            <w:r>
              <w:rPr>
                <w:kern w:val="0"/>
                <w:sz w:val="24"/>
              </w:rPr>
              <w:fldChar w:fldCharType="separate"/>
            </w:r>
            <w:r>
              <w:rPr>
                <w:kern w:val="0"/>
                <w:sz w:val="24"/>
              </w:rPr>
              <w:fldChar w:fldCharType="begin"/>
            </w:r>
            <w:r>
              <w:rPr>
                <w:kern w:val="0"/>
                <w:sz w:val="24"/>
              </w:rPr>
              <w:instrText xml:space="preserve"> INCLUDEPICTURE  "C:\\Users\\jingw\\AppData\\Roaming\\Tencent\\Users\\412333124\\TIM\\WinTemp\\RichOle\\(U3)PVGTAWA2E`7QGZ36SQB.png" \* MERGEFORMATINET </w:instrText>
            </w:r>
            <w:r>
              <w:rPr>
                <w:kern w:val="0"/>
                <w:sz w:val="24"/>
              </w:rPr>
              <w:fldChar w:fldCharType="separate"/>
            </w:r>
            <w:r>
              <w:rPr>
                <w:kern w:val="0"/>
                <w:sz w:val="24"/>
              </w:rPr>
              <w:fldChar w:fldCharType="begin"/>
            </w:r>
            <w:r>
              <w:rPr>
                <w:kern w:val="0"/>
                <w:sz w:val="24"/>
              </w:rPr>
              <w:instrText xml:space="preserve"> INCLUDEPICTURE  "C:\\Users\\jingw\\AppData\\Roaming\\Tencent\\Users\\412333124\\TIM\\WinTemp\\RichOle\\(U3)PVGTAWA2E`7QGZ36SQB.png" \* MERGEFORMATINET </w:instrText>
            </w:r>
            <w:r>
              <w:rPr>
                <w:kern w:val="0"/>
                <w:sz w:val="24"/>
              </w:rPr>
              <w:fldChar w:fldCharType="separate"/>
            </w:r>
            <w:r>
              <w:rPr>
                <w:kern w:val="0"/>
                <w:sz w:val="24"/>
              </w:rPr>
              <w:fldChar w:fldCharType="begin"/>
            </w:r>
            <w:r>
              <w:rPr>
                <w:kern w:val="0"/>
                <w:sz w:val="24"/>
              </w:rPr>
              <w:instrText xml:space="preserve"> INCLUDEPICTURE  "C:\\Users\\jingw\\AppData\\Roaming\\Tencent\\Users\\412333124\\TIM\\WinTemp\\RichOle\\(U3)PVGTAWA2E`7QGZ36SQB.png" \* MERGEFORMATINET </w:instrText>
            </w:r>
            <w:r>
              <w:rPr>
                <w:kern w:val="0"/>
                <w:sz w:val="24"/>
              </w:rPr>
              <w:fldChar w:fldCharType="separate"/>
            </w:r>
            <w:r>
              <w:rPr>
                <w:kern w:val="0"/>
                <w:sz w:val="24"/>
              </w:rPr>
              <w:fldChar w:fldCharType="begin"/>
            </w:r>
            <w:r>
              <w:rPr>
                <w:kern w:val="0"/>
                <w:sz w:val="24"/>
              </w:rPr>
              <w:instrText xml:space="preserve"> INCLUDEPICTURE  "C:\\Users\\jingw\\AppData\\Roaming\\Tencent\\Users\\412333124\\TIM\\WinTemp\\RichOle\\(U3)PVGTAWA2E`7QGZ36SQB.png" \* MERGEFORMATINET </w:instrText>
            </w:r>
            <w:r>
              <w:rPr>
                <w:kern w:val="0"/>
                <w:sz w:val="24"/>
              </w:rPr>
              <w:fldChar w:fldCharType="separate"/>
            </w:r>
            <w:r>
              <w:rPr>
                <w:kern w:val="0"/>
                <w:sz w:val="24"/>
              </w:rPr>
              <w:fldChar w:fldCharType="begin"/>
            </w:r>
            <w:r>
              <w:rPr>
                <w:kern w:val="0"/>
                <w:sz w:val="24"/>
              </w:rPr>
              <w:instrText xml:space="preserve"> INCLUDEPICTURE  "C:\\Users\\jingw\\AppData\\Roaming\\Tencent\\Users\\412333124\\TIM\\WinTemp\\RichOle\\(U3)PVGTAWA2E`7QGZ36SQB.png" \* MERGEFORMATINET </w:instrText>
            </w:r>
            <w:r>
              <w:rPr>
                <w:kern w:val="0"/>
                <w:sz w:val="24"/>
              </w:rPr>
              <w:fldChar w:fldCharType="separate"/>
            </w:r>
            <w:r>
              <w:rPr>
                <w:kern w:val="0"/>
                <w:sz w:val="24"/>
              </w:rPr>
              <w:fldChar w:fldCharType="begin"/>
            </w:r>
            <w:r>
              <w:rPr>
                <w:kern w:val="0"/>
                <w:sz w:val="24"/>
              </w:rPr>
              <w:instrText xml:space="preserve"> INCLUDEPICTURE  "C:\\Users\\jingw\\AppData\\Roaming\\Tencent\\Users\\412333124\\TIM\\WinTemp\\RichOle\\(U3)PVGTAWA2E`7QGZ36SQB.png" \* MERGEFORMATINET </w:instrText>
            </w:r>
            <w:r>
              <w:rPr>
                <w:kern w:val="0"/>
                <w:sz w:val="24"/>
              </w:rPr>
              <w:fldChar w:fldCharType="separate"/>
            </w:r>
            <w:r>
              <w:rPr>
                <w:kern w:val="0"/>
                <w:sz w:val="24"/>
              </w:rPr>
              <w:fldChar w:fldCharType="begin"/>
            </w:r>
            <w:r>
              <w:rPr>
                <w:kern w:val="0"/>
                <w:sz w:val="24"/>
              </w:rPr>
              <w:instrText xml:space="preserve"> INCLUDEPICTURE  "C:\\Users\\jingw\\AppData\\Roaming\\Tencent\\Users\\412333124\\TIM\\WinTemp\\RichOle\\(U3)PVGTAWA2E`7QGZ36SQB.png" \* MERGEFORMATINET </w:instrText>
            </w:r>
            <w:r>
              <w:rPr>
                <w:kern w:val="0"/>
                <w:sz w:val="24"/>
              </w:rPr>
              <w:fldChar w:fldCharType="separate"/>
            </w:r>
            <w:r>
              <w:rPr>
                <w:kern w:val="0"/>
                <w:sz w:val="24"/>
              </w:rPr>
              <w:fldChar w:fldCharType="begin"/>
            </w:r>
            <w:r>
              <w:rPr>
                <w:kern w:val="0"/>
                <w:sz w:val="24"/>
              </w:rPr>
              <w:instrText xml:space="preserve"> INCLUDEPICTURE  "E:\\..\\..\\..\\..\\..\\jingw\\AppData\\Roaming\\Tencent\\Users\\412333124\\TIM\\WinTemp\\RichOle\\(U3)PVGTAWA2E`7QGZ36SQB.png" \* MERGEFORMATINET </w:instrText>
            </w:r>
            <w:r>
              <w:rPr>
                <w:kern w:val="0"/>
                <w:sz w:val="24"/>
              </w:rPr>
              <w:fldChar w:fldCharType="separate"/>
            </w:r>
            <w:r>
              <w:t xml:space="preserve"> </w:t>
            </w:r>
            <w:r>
              <w:rPr>
                <w:kern w:val="0"/>
                <w:sz w:val="24"/>
              </w:rPr>
              <w:drawing>
                <wp:inline distT="0" distB="0" distL="0" distR="0">
                  <wp:extent cx="4695825" cy="1505585"/>
                  <wp:effectExtent l="0" t="0" r="0" b="0"/>
                  <wp:docPr id="16953594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59427" name="图片 1"/>
                          <pic:cNvPicPr>
                            <a:picLocks noChangeAspect="1"/>
                          </pic:cNvPicPr>
                        </pic:nvPicPr>
                        <pic:blipFill>
                          <a:blip r:embed="rId18"/>
                          <a:stretch>
                            <a:fillRect/>
                          </a:stretch>
                        </pic:blipFill>
                        <pic:spPr>
                          <a:xfrm>
                            <a:off x="0" y="0"/>
                            <a:ext cx="4701698" cy="1507985"/>
                          </a:xfrm>
                          <a:prstGeom prst="rect">
                            <a:avLst/>
                          </a:prstGeom>
                        </pic:spPr>
                      </pic:pic>
                    </a:graphicData>
                  </a:graphic>
                </wp:inline>
              </w:drawing>
            </w:r>
            <w:r>
              <w:rPr>
                <w:kern w:val="0"/>
                <w:sz w:val="24"/>
              </w:rPr>
              <w:t xml:space="preserve"> </w:t>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p>
          <w:p w14:paraId="33D377EF">
            <w:pPr>
              <w:adjustRightInd w:val="0"/>
              <w:snapToGrid w:val="0"/>
              <w:spacing w:line="360" w:lineRule="auto"/>
              <w:jc w:val="center"/>
              <w:rPr>
                <w:b/>
                <w:sz w:val="24"/>
              </w:rPr>
            </w:pPr>
            <w:r>
              <w:rPr>
                <w:b/>
                <w:sz w:val="24"/>
              </w:rPr>
              <w:t>图2-7  组件清洗工艺流程图</w:t>
            </w:r>
          </w:p>
          <w:p w14:paraId="52ACCA77">
            <w:pPr>
              <w:spacing w:line="500" w:lineRule="exact"/>
              <w:ind w:firstLine="480" w:firstLineChars="200"/>
              <w:rPr>
                <w:sz w:val="24"/>
              </w:rPr>
            </w:pPr>
            <w:r>
              <w:rPr>
                <w:sz w:val="24"/>
              </w:rPr>
              <w:t>（2）真空煅烧清洗</w:t>
            </w:r>
          </w:p>
          <w:p w14:paraId="49E00B60">
            <w:pPr>
              <w:spacing w:line="500" w:lineRule="exact"/>
              <w:ind w:firstLine="480" w:firstLineChars="200"/>
              <w:rPr>
                <w:sz w:val="24"/>
              </w:rPr>
            </w:pPr>
            <w:r>
              <w:rPr>
                <w:sz w:val="24"/>
              </w:rPr>
              <w:t>部分组件通过真空清洗炉清洗。将纺丝组件放入吊蓝中，吊入真空清洗装置，先升温至300℃左右，使清洗工件上的聚合物熔融，流入废料收集罐中，工件表面只剩下少量的聚合物及灰份，然后再将炉温升至450℃左右，同时打开真空泵，并通入少量空气使剩余的聚合物充分氧化燃烧。在弱真空状态下加热到450℃，残留在纺丝组件中的聚酯熔体会降解为少量的聚合物。组件上高温裂解的聚合物通过真空煅烧炉内置水喷淋净化装置喷淋过滤后，形成清洗废水W1，再经真空泵负压密闭收集输送至收集池收集处理，由于聚合物来源于上游PET聚酯熔体，因此该股废水含有少量的锑。真空清洗炉煅烧后仍会产生少量的废气，收集后经真空煅烧炉内置水喷淋净化装置（喷淋废水设备内循环使用）喷淋后排放，废气主要成分为水蒸气、CO</w:t>
            </w:r>
            <w:r>
              <w:rPr>
                <w:sz w:val="24"/>
                <w:vertAlign w:val="subscript"/>
              </w:rPr>
              <w:t>2</w:t>
            </w:r>
            <w:r>
              <w:rPr>
                <w:sz w:val="24"/>
              </w:rPr>
              <w:t>、及微量颗粒物，企业为使废气合理排放将该股尾气通过管道并入纺丝废气处理装置处理后通过纺丝废气排气筒排放。类比《江苏桐昆恒阳化纤有限公司年产240万吨新型绿色功能性纤维、年加工90万吨DTY纤维和25万吨高端面料坯布智能化产业项目环境影响报告书》</w:t>
            </w:r>
            <w:r>
              <w:rPr>
                <w:rFonts w:hint="eastAsia"/>
                <w:sz w:val="24"/>
              </w:rPr>
              <w:t>（批复文号：宿环建管【2021】1005号）、</w:t>
            </w:r>
            <w:r>
              <w:rPr>
                <w:sz w:val="24"/>
              </w:rPr>
              <w:t>《新凤鸣江苏新拓新材有限公司年产60万吨差别化功能性纤维项目环境影响报告书》</w:t>
            </w:r>
            <w:r>
              <w:rPr>
                <w:rFonts w:hint="eastAsia"/>
                <w:sz w:val="24"/>
              </w:rPr>
              <w:t>（批复文号：徐新环项书【2021】45号）</w:t>
            </w:r>
            <w:r>
              <w:rPr>
                <w:sz w:val="24"/>
              </w:rPr>
              <w:t>等同类项目，由于尾气中污染物产生量较小，排放时间短，本次评价不予以定量分析。喷淋废水（含锑）（W1）经收集后送至相应污水站处理。冷却后的组件放入上文图3.4-3中超声波清洗装置进一步清洗，产生清洗废水经收集后同汽拖水洗清洗废水一起形成（W2）送至相应污水站处理。经过超声波清洗以后，用压缩空气吹干，经镜检合格后分别放入塑料袋封存备用。</w:t>
            </w:r>
          </w:p>
          <w:p w14:paraId="33213B0A">
            <w:pPr>
              <w:spacing w:line="500" w:lineRule="exact"/>
              <w:rPr>
                <w:b/>
                <w:bCs/>
                <w:sz w:val="24"/>
                <w:szCs w:val="22"/>
              </w:rPr>
            </w:pPr>
            <w:r>
              <w:rPr>
                <w:b/>
                <w:bCs/>
                <w:sz w:val="24"/>
                <w:szCs w:val="22"/>
              </w:rPr>
              <w:t>6、废丝回收工艺流程</w:t>
            </w:r>
          </w:p>
          <w:p w14:paraId="1CE2CE52">
            <w:pPr>
              <w:spacing w:line="500" w:lineRule="exact"/>
              <w:ind w:firstLine="480" w:firstLineChars="200"/>
              <w:rPr>
                <w:sz w:val="24"/>
              </w:rPr>
            </w:pPr>
            <w:r>
              <w:rPr>
                <w:sz w:val="24"/>
              </w:rPr>
              <w:t>废丝回收生产工艺流程见图2-8。</w:t>
            </w:r>
          </w:p>
          <w:p w14:paraId="4411D18B">
            <w:pPr>
              <w:jc w:val="center"/>
              <w:rPr>
                <w:sz w:val="24"/>
              </w:rPr>
            </w:pPr>
            <w:r>
              <w:object>
                <v:shape id="_x0000_i1027" o:spt="75" type="#_x0000_t75" style="height:413.45pt;width:385.65pt;" o:ole="t" filled="f" o:preferrelative="t" stroked="f" coordsize="21600,21600">
                  <v:path/>
                  <v:fill on="f" focussize="0,0"/>
                  <v:stroke on="f" joinstyle="miter"/>
                  <v:imagedata r:id="rId20" o:title=""/>
                  <o:lock v:ext="edit" aspectratio="t"/>
                  <w10:wrap type="none"/>
                  <w10:anchorlock/>
                </v:shape>
                <o:OLEObject Type="Embed" ProgID="Visio.Drawing.15" ShapeID="_x0000_i1027" DrawAspect="Content" ObjectID="_1468075727" r:id="rId19">
                  <o:LockedField>false</o:LockedField>
                </o:OLEObject>
              </w:object>
            </w:r>
          </w:p>
          <w:p w14:paraId="7AA08C59">
            <w:pPr>
              <w:spacing w:line="500" w:lineRule="exact"/>
              <w:jc w:val="center"/>
              <w:rPr>
                <w:b/>
                <w:sz w:val="24"/>
                <w:szCs w:val="22"/>
              </w:rPr>
            </w:pPr>
            <w:r>
              <w:rPr>
                <w:b/>
                <w:sz w:val="24"/>
                <w:szCs w:val="22"/>
              </w:rPr>
              <w:t>图2-8 废丝回收生产工艺图</w:t>
            </w:r>
          </w:p>
          <w:p w14:paraId="7C351DC7">
            <w:pPr>
              <w:spacing w:line="500" w:lineRule="exact"/>
              <w:ind w:firstLine="480" w:firstLineChars="200"/>
              <w:rPr>
                <w:sz w:val="24"/>
              </w:rPr>
            </w:pPr>
            <w:r>
              <w:rPr>
                <w:sz w:val="24"/>
              </w:rPr>
              <w:t>分选：主要来自集团内部（国望高科（宿迁）有限公司、江苏芮邦科技有限公司等）产生的废丝进行人工分选，此过程产生少量杂质废料（S8）。</w:t>
            </w:r>
          </w:p>
          <w:p w14:paraId="1CC4476B">
            <w:pPr>
              <w:spacing w:line="500" w:lineRule="exact"/>
              <w:ind w:firstLine="480" w:firstLineChars="200"/>
              <w:rPr>
                <w:sz w:val="24"/>
              </w:rPr>
            </w:pPr>
            <w:r>
              <w:rPr>
                <w:sz w:val="24"/>
              </w:rPr>
              <w:t>粉碎：将分拣好的废丝通过密封输送带进入全封闭式粉碎机，经过细粉粉碎设备进行切断破碎。此粉碎过程在封闭设备进行；粉碎环节产生少量溢尘，设备进出口配备气动密封阀，防止粉尘逸散。粉碎腔内部设置负压环境，减少粉尘外溢。通过回收管进行回收，高速气流携带粉尘进入旋风分离器，利用离心力回收颗粒粉尘，回收的颗粒通过锁气阀回收入料仓收集的粉尘通过螺旋输送机送回粉碎机投料口，与粉碎后PET颗粒一同送到后续工段。因此</w:t>
            </w:r>
            <w:r>
              <w:rPr>
                <w:rFonts w:hint="eastAsia"/>
                <w:sz w:val="24"/>
              </w:rPr>
              <w:t>，</w:t>
            </w:r>
            <w:r>
              <w:rPr>
                <w:sz w:val="24"/>
              </w:rPr>
              <w:t>本工序粉尘外溢量极少，不予定量分析。</w:t>
            </w:r>
          </w:p>
          <w:p w14:paraId="30F48B8B">
            <w:pPr>
              <w:spacing w:line="500" w:lineRule="exact"/>
              <w:ind w:firstLine="480" w:firstLineChars="200"/>
              <w:rPr>
                <w:sz w:val="24"/>
              </w:rPr>
            </w:pPr>
            <w:r>
              <w:rPr>
                <w:sz w:val="24"/>
              </w:rPr>
              <w:t>螺杆喂料：由风力输送到定量输送螺杆进料到摩擦室。</w:t>
            </w:r>
          </w:p>
          <w:p w14:paraId="309A2BC3">
            <w:pPr>
              <w:spacing w:line="500" w:lineRule="exact"/>
              <w:ind w:firstLine="480" w:firstLineChars="200"/>
              <w:rPr>
                <w:sz w:val="24"/>
              </w:rPr>
            </w:pPr>
            <w:r>
              <w:rPr>
                <w:sz w:val="24"/>
              </w:rPr>
              <w:t>聚粒成型：在摩擦盘之间产生摩擦热和高压，使切割后半成品聚集成型，温度控制在225℃以下，低于PET熔点（255~265℃）及分解温度（300℃以上）</w:t>
            </w:r>
            <w:r>
              <w:rPr>
                <w:rFonts w:hint="eastAsia"/>
                <w:sz w:val="24"/>
              </w:rPr>
              <w:t>，</w:t>
            </w:r>
            <w:r>
              <w:rPr>
                <w:sz w:val="24"/>
              </w:rPr>
              <w:t>聚酯分解产生的乙醛及非甲烷总烃量极少，本次评价不做定量分析。原料上残留纺丝油在热塑化情况下产生少量油雾（G5-1、G5-2），摩擦成型在封闭空间生产，产生的废气和半成品经设备管道进入中转系统、切粒和出料系统，中转系统、切粒和出料系统均自带出风口，出风口设收集装置，收集后油雾经静电式油雾净化装置处理。</w:t>
            </w:r>
          </w:p>
          <w:p w14:paraId="258DB0A2">
            <w:pPr>
              <w:spacing w:line="500" w:lineRule="exact"/>
              <w:ind w:firstLine="480" w:firstLineChars="200"/>
              <w:rPr>
                <w:sz w:val="24"/>
              </w:rPr>
            </w:pPr>
            <w:r>
              <w:rPr>
                <w:sz w:val="24"/>
              </w:rPr>
              <w:t>中转：聚粒成型的物料因摩擦发热，物料温度偏高，半成品输送至敞开式V型中转仓进行散热。此工序产生油雾废气（G5-1、G5-2），中转仓上方设置集气罩，废气收集至中转系统油雾净化装置处理。</w:t>
            </w:r>
          </w:p>
          <w:p w14:paraId="47BDF3B1">
            <w:pPr>
              <w:spacing w:line="500" w:lineRule="exact"/>
              <w:ind w:firstLine="480" w:firstLineChars="200"/>
              <w:rPr>
                <w:sz w:val="24"/>
              </w:rPr>
            </w:pPr>
            <w:r>
              <w:rPr>
                <w:sz w:val="24"/>
              </w:rPr>
              <w:t>切粒：中转仓散热后的半成品经风机吹送至切料机内，切割成较均匀颗粒，切粒设备根据客需选择筛选孔，筛选出符合要求颗粒尺寸。此工序产生油雾废气（G5-1、G5-2），主要污染因子为非甲烷总烃和颗粒物。切粒设备顶端自带出风口，废气收集至切粒系统油雾净化装置处理。</w:t>
            </w:r>
          </w:p>
          <w:p w14:paraId="5D3ABA05">
            <w:pPr>
              <w:spacing w:line="500" w:lineRule="exact"/>
              <w:ind w:firstLine="480" w:firstLineChars="200"/>
              <w:rPr>
                <w:sz w:val="24"/>
              </w:rPr>
            </w:pPr>
            <w:r>
              <w:rPr>
                <w:sz w:val="24"/>
              </w:rPr>
              <w:t>出料：切割后的摩擦料经出料机进行下一步包装</w:t>
            </w:r>
            <w:r>
              <w:rPr>
                <w:rFonts w:hint="eastAsia"/>
                <w:sz w:val="24"/>
              </w:rPr>
              <w:t>，</w:t>
            </w:r>
            <w:r>
              <w:rPr>
                <w:sz w:val="24"/>
              </w:rPr>
              <w:t>此工序产生油雾废气（G5-1、G5-2），出料系统顶端自带出风口，废气收集至出料系统油雾净化装置处理。筛选后不合格小颗粒经底端粉末回收管回收至精粉粉碎与螺杆喂料工序之间的三通管道，进入喂料口再进行聚粒成型等下一步，不合格小颗粒回收过程全部在密闭管道中进行，无粉尘废气产生。</w:t>
            </w:r>
          </w:p>
          <w:p w14:paraId="30FF4129">
            <w:pPr>
              <w:spacing w:line="500" w:lineRule="exact"/>
              <w:ind w:firstLine="480" w:firstLineChars="200"/>
              <w:rPr>
                <w:sz w:val="24"/>
              </w:rPr>
            </w:pPr>
            <w:r>
              <w:rPr>
                <w:sz w:val="24"/>
              </w:rPr>
              <w:t>包装：对摩擦料进行包装，产品主要外售给下游企业进一步加工。需要说明的是，根据《省生态环境厅关于印发&lt;江苏省固体废物全过程环境监管工作意见&gt;的通知》（苏环办〔2024〕16号）、《固体废物鉴别标准通则》（GB 34330-2017）等文件要求，虽然摩擦料为废丝回收的目标产物，但并未列入投资主管部门的项目备案中，且摩擦料仅有企业标准，尚未有针对其产生工艺和原辅材料制定的国家、地方或行业通行的产品质量标准或技术规范</w:t>
            </w:r>
            <w:r>
              <w:rPr>
                <w:rFonts w:hint="eastAsia"/>
                <w:sz w:val="24"/>
              </w:rPr>
              <w:t>。</w:t>
            </w:r>
            <w:r>
              <w:rPr>
                <w:sz w:val="24"/>
              </w:rPr>
              <w:t>因此，认定本项目废丝回收的摩擦料属于‌一般工业固体废物，按照固体废物管理。</w:t>
            </w:r>
          </w:p>
          <w:p w14:paraId="523E8B93">
            <w:pPr>
              <w:spacing w:line="500" w:lineRule="exact"/>
              <w:rPr>
                <w:b/>
                <w:bCs/>
                <w:sz w:val="24"/>
                <w:szCs w:val="22"/>
              </w:rPr>
            </w:pPr>
            <w:r>
              <w:rPr>
                <w:b/>
                <w:bCs/>
                <w:sz w:val="24"/>
                <w:szCs w:val="22"/>
              </w:rPr>
              <w:t>7、撬装式加油站</w:t>
            </w:r>
          </w:p>
          <w:p w14:paraId="7E32E3D8">
            <w:pPr>
              <w:pStyle w:val="140"/>
              <w:rPr>
                <w:color w:val="auto"/>
              </w:rPr>
            </w:pPr>
            <w:r>
              <w:rPr>
                <w:color w:val="auto"/>
              </w:rPr>
              <w:drawing>
                <wp:inline distT="0" distB="0" distL="0" distR="0">
                  <wp:extent cx="4845050" cy="1791335"/>
                  <wp:effectExtent l="0" t="0" r="0" b="0"/>
                  <wp:docPr id="5554289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28981" name="图片 1"/>
                          <pic:cNvPicPr>
                            <a:picLocks noChangeAspect="1"/>
                          </pic:cNvPicPr>
                        </pic:nvPicPr>
                        <pic:blipFill>
                          <a:blip r:embed="rId21"/>
                          <a:stretch>
                            <a:fillRect/>
                          </a:stretch>
                        </pic:blipFill>
                        <pic:spPr>
                          <a:xfrm>
                            <a:off x="0" y="0"/>
                            <a:ext cx="4853099" cy="1794934"/>
                          </a:xfrm>
                          <a:prstGeom prst="rect">
                            <a:avLst/>
                          </a:prstGeom>
                        </pic:spPr>
                      </pic:pic>
                    </a:graphicData>
                  </a:graphic>
                </wp:inline>
              </w:drawing>
            </w:r>
          </w:p>
          <w:p w14:paraId="3B799B12">
            <w:pPr>
              <w:spacing w:line="500" w:lineRule="exact"/>
              <w:jc w:val="center"/>
              <w:rPr>
                <w:b/>
                <w:sz w:val="24"/>
                <w:szCs w:val="22"/>
              </w:rPr>
            </w:pPr>
            <w:r>
              <w:rPr>
                <w:b/>
                <w:sz w:val="24"/>
                <w:szCs w:val="22"/>
              </w:rPr>
              <w:t>图2-</w:t>
            </w:r>
            <w:r>
              <w:rPr>
                <w:rFonts w:hint="eastAsia"/>
                <w:b/>
                <w:sz w:val="24"/>
                <w:szCs w:val="22"/>
              </w:rPr>
              <w:t xml:space="preserve">9 </w:t>
            </w:r>
            <w:r>
              <w:rPr>
                <w:b/>
                <w:sz w:val="24"/>
                <w:szCs w:val="22"/>
              </w:rPr>
              <w:t xml:space="preserve"> 工艺流程及产污环节示意图</w:t>
            </w:r>
          </w:p>
          <w:p w14:paraId="4F4F2780">
            <w:pPr>
              <w:spacing w:line="500" w:lineRule="exact"/>
              <w:ind w:firstLine="480" w:firstLineChars="200"/>
              <w:rPr>
                <w:sz w:val="24"/>
              </w:rPr>
            </w:pPr>
            <w:r>
              <w:rPr>
                <w:sz w:val="24"/>
              </w:rPr>
              <w:t>工艺流程及产污环节简述：</w:t>
            </w:r>
          </w:p>
          <w:p w14:paraId="2AAB373D">
            <w:pPr>
              <w:spacing w:line="500" w:lineRule="exact"/>
              <w:ind w:firstLine="480" w:firstLineChars="200"/>
              <w:rPr>
                <w:sz w:val="24"/>
              </w:rPr>
            </w:pPr>
            <w:r>
              <w:rPr>
                <w:sz w:val="24"/>
              </w:rPr>
              <w:t>（1）油品罐车：柴油专用车辆将柴油运输进入厂区内。</w:t>
            </w:r>
          </w:p>
          <w:p w14:paraId="1A1E11A6">
            <w:pPr>
              <w:spacing w:line="500" w:lineRule="exact"/>
              <w:ind w:firstLine="480" w:firstLineChars="200"/>
              <w:rPr>
                <w:sz w:val="24"/>
              </w:rPr>
            </w:pPr>
            <w:r>
              <w:rPr>
                <w:sz w:val="24"/>
              </w:rPr>
              <w:t>（2）卸油：撬装式加油装置采用自吸式卸油工艺将柴油从专用车辆通过柴油罐配套软管和导管卸入35m</w:t>
            </w:r>
            <w:r>
              <w:rPr>
                <w:sz w:val="24"/>
                <w:vertAlign w:val="superscript"/>
              </w:rPr>
              <w:t>3</w:t>
            </w:r>
            <w:r>
              <w:rPr>
                <w:sz w:val="24"/>
              </w:rPr>
              <w:t>阻隔防爆油罐内。在油罐车卸油过程中，储油车内压力逐渐减小，储罐内压力逐渐增加，使卸油过程中油罐内产生的油气通过放空管排放，油罐车内的产生的油气通过呼吸控制阀挥发油气。</w:t>
            </w:r>
          </w:p>
          <w:p w14:paraId="1D321DDA">
            <w:pPr>
              <w:spacing w:line="500" w:lineRule="exact"/>
              <w:ind w:firstLine="420" w:firstLineChars="200"/>
              <w:rPr>
                <w:sz w:val="24"/>
              </w:rPr>
            </w:pPr>
            <w:r>
              <w:t>（</w:t>
            </w:r>
            <w:r>
              <w:rPr>
                <w:sz w:val="24"/>
              </w:rPr>
              <w:t>3）加油：加油机本身自带的泵将柴油从阻隔防爆油罐吸到加油机内，经泵提升加压后给公司内部车辆内加油。车辆油罐内产生的油气逸散至大气中。</w:t>
            </w:r>
          </w:p>
          <w:p w14:paraId="26B00605">
            <w:pPr>
              <w:spacing w:line="500" w:lineRule="exact"/>
              <w:ind w:firstLine="480" w:firstLineChars="200"/>
              <w:rPr>
                <w:sz w:val="24"/>
              </w:rPr>
            </w:pPr>
            <w:r>
              <w:rPr>
                <w:sz w:val="24"/>
              </w:rPr>
              <w:t>（4）储油：储油过程会产生呼吸有机废气。</w:t>
            </w:r>
          </w:p>
          <w:p w14:paraId="49E3AEC7">
            <w:pPr>
              <w:spacing w:line="500" w:lineRule="exact"/>
              <w:ind w:firstLine="480" w:firstLineChars="200"/>
              <w:rPr>
                <w:sz w:val="24"/>
              </w:rPr>
            </w:pPr>
            <w:r>
              <w:rPr>
                <w:sz w:val="24"/>
              </w:rPr>
              <w:t>（5）油罐维护：油罐维护过程中会产生油泥等危险废物。</w:t>
            </w:r>
          </w:p>
          <w:p w14:paraId="1E586DD7">
            <w:pPr>
              <w:spacing w:line="500" w:lineRule="exact"/>
              <w:ind w:firstLine="480" w:firstLineChars="200"/>
              <w:rPr>
                <w:sz w:val="24"/>
              </w:rPr>
            </w:pPr>
            <w:r>
              <w:rPr>
                <w:sz w:val="24"/>
              </w:rPr>
              <w:t>（6）油气回收系统简述：项目设置油气回收系统，通过油气回收工艺，将加油站在卸油、储油和加油过程中产生的油气进行密闭收集、储存和回收，抑制油气逸散挥发。</w:t>
            </w:r>
          </w:p>
          <w:p w14:paraId="34DCE07E">
            <w:pPr>
              <w:spacing w:line="500" w:lineRule="exact"/>
              <w:rPr>
                <w:b/>
                <w:bCs/>
                <w:sz w:val="24"/>
                <w:szCs w:val="22"/>
              </w:rPr>
            </w:pPr>
            <w:r>
              <w:rPr>
                <w:b/>
                <w:bCs/>
                <w:sz w:val="24"/>
                <w:szCs w:val="22"/>
              </w:rPr>
              <w:t>8、乙二醇储罐</w:t>
            </w:r>
          </w:p>
          <w:p w14:paraId="2329B11C">
            <w:pPr>
              <w:spacing w:line="500" w:lineRule="exact"/>
              <w:ind w:firstLine="480" w:firstLineChars="200"/>
              <w:rPr>
                <w:sz w:val="24"/>
              </w:rPr>
            </w:pPr>
            <w:r>
              <w:rPr>
                <w:sz w:val="24"/>
              </w:rPr>
              <w:t>根据现有项目实际运行情况，考虑未来国望高科整体聚酯产能增加所带来的原料需求，为了降低上游乙二醇原料供给量波动对生产的影响，减缓乙二醇周转频次，适当延长储运时间，维持生产线的稳定运行。三期项目在现有罐区西侧空地新建1个乙二醇储罐区2（2个8800m</w:t>
            </w:r>
            <w:r>
              <w:rPr>
                <w:sz w:val="24"/>
                <w:vertAlign w:val="superscript"/>
              </w:rPr>
              <w:t>3</w:t>
            </w:r>
            <w:r>
              <w:rPr>
                <w:sz w:val="24"/>
              </w:rPr>
              <w:t>乙二醇立式固定顶罐及围堰），位于现有乙二醇罐区西侧。乙二醇原料通过货车或者新庄码头管道运输至罐区后贮存，需要时通过管道送往厂区聚酯车间，运输及存储过程中均保持常温。由于乙二醇沸点高（197.3℃）且常温下真实蒸汽压极低（约0.008–0.021kPa），</w:t>
            </w:r>
            <w:bookmarkStart w:id="27" w:name="OLE_LINK13"/>
            <w:r>
              <w:rPr>
                <w:sz w:val="24"/>
              </w:rPr>
              <w:t>根据《挥发性有机物无组织排放控制标准》（GB 37822—2019）中的定义，常温下乙二醇不属于“挥发性有机液体”（真实蒸气压大于等于 0.3kPa的单一组分有机液体）。因此，在正常立式固定顶罐常温环境中，乙二醇储罐大小呼吸过程中无组织排放的乙二醇极少，本次评价仅作定性分析，不做定量分析。</w:t>
            </w:r>
            <w:bookmarkEnd w:id="27"/>
          </w:p>
          <w:p w14:paraId="4B739896">
            <w:pPr>
              <w:spacing w:line="500" w:lineRule="exact"/>
              <w:ind w:firstLine="480" w:firstLineChars="200"/>
              <w:rPr>
                <w:sz w:val="24"/>
              </w:rPr>
            </w:pPr>
            <w:r>
              <w:rPr>
                <w:sz w:val="24"/>
              </w:rPr>
              <w:t>本项目产污环节见下表。</w:t>
            </w:r>
          </w:p>
          <w:p w14:paraId="2CB19267">
            <w:pPr>
              <w:pStyle w:val="77"/>
              <w:spacing w:line="240" w:lineRule="auto"/>
              <w:rPr>
                <w:szCs w:val="24"/>
              </w:rPr>
            </w:pPr>
            <w:r>
              <w:rPr>
                <w:szCs w:val="24"/>
              </w:rPr>
              <w:t>表2-1</w:t>
            </w:r>
            <w:r>
              <w:rPr>
                <w:rFonts w:hint="eastAsia"/>
                <w:szCs w:val="24"/>
              </w:rPr>
              <w:t>4</w:t>
            </w:r>
            <w:r>
              <w:rPr>
                <w:szCs w:val="24"/>
              </w:rPr>
              <w:t xml:space="preserve"> 本项目产污环节汇总表</w:t>
            </w:r>
          </w:p>
          <w:tbl>
            <w:tblPr>
              <w:tblStyle w:val="4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1173"/>
              <w:gridCol w:w="1367"/>
              <w:gridCol w:w="1311"/>
              <w:gridCol w:w="1311"/>
              <w:gridCol w:w="2152"/>
            </w:tblGrid>
            <w:tr w14:paraId="5644A2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4" w:hRule="atLeast"/>
                <w:jc w:val="center"/>
              </w:trPr>
              <w:tc>
                <w:tcPr>
                  <w:tcW w:w="386" w:type="pct"/>
                  <w:tcBorders>
                    <w:tl2br w:val="nil"/>
                    <w:tr2bl w:val="nil"/>
                  </w:tcBorders>
                  <w:vAlign w:val="center"/>
                </w:tcPr>
                <w:p w14:paraId="334A4014">
                  <w:pPr>
                    <w:jc w:val="center"/>
                    <w:rPr>
                      <w:b/>
                      <w:bCs/>
                      <w:szCs w:val="21"/>
                    </w:rPr>
                  </w:pPr>
                  <w:r>
                    <w:rPr>
                      <w:b/>
                      <w:bCs/>
                      <w:szCs w:val="21"/>
                    </w:rPr>
                    <w:t>类别</w:t>
                  </w:r>
                </w:p>
              </w:tc>
              <w:tc>
                <w:tcPr>
                  <w:tcW w:w="740" w:type="pct"/>
                  <w:tcBorders>
                    <w:tl2br w:val="nil"/>
                    <w:tr2bl w:val="nil"/>
                  </w:tcBorders>
                  <w:vAlign w:val="center"/>
                </w:tcPr>
                <w:p w14:paraId="4288FDC2">
                  <w:pPr>
                    <w:jc w:val="center"/>
                    <w:rPr>
                      <w:b/>
                      <w:bCs/>
                      <w:szCs w:val="21"/>
                    </w:rPr>
                  </w:pPr>
                  <w:r>
                    <w:rPr>
                      <w:b/>
                      <w:bCs/>
                      <w:szCs w:val="21"/>
                    </w:rPr>
                    <w:t>产污环节</w:t>
                  </w:r>
                </w:p>
              </w:tc>
              <w:tc>
                <w:tcPr>
                  <w:tcW w:w="862" w:type="pct"/>
                  <w:tcBorders>
                    <w:tl2br w:val="nil"/>
                    <w:tr2bl w:val="nil"/>
                  </w:tcBorders>
                  <w:vAlign w:val="center"/>
                </w:tcPr>
                <w:p w14:paraId="1C7BC1B0">
                  <w:pPr>
                    <w:jc w:val="center"/>
                    <w:rPr>
                      <w:b/>
                      <w:bCs/>
                      <w:szCs w:val="21"/>
                    </w:rPr>
                  </w:pPr>
                  <w:r>
                    <w:rPr>
                      <w:b/>
                      <w:bCs/>
                      <w:szCs w:val="21"/>
                    </w:rPr>
                    <w:t>编号</w:t>
                  </w:r>
                </w:p>
              </w:tc>
              <w:tc>
                <w:tcPr>
                  <w:tcW w:w="827" w:type="pct"/>
                  <w:tcBorders>
                    <w:tl2br w:val="nil"/>
                    <w:tr2bl w:val="nil"/>
                  </w:tcBorders>
                  <w:vAlign w:val="center"/>
                </w:tcPr>
                <w:p w14:paraId="52C237FB">
                  <w:pPr>
                    <w:jc w:val="center"/>
                    <w:rPr>
                      <w:b/>
                      <w:bCs/>
                      <w:szCs w:val="21"/>
                    </w:rPr>
                  </w:pPr>
                  <w:r>
                    <w:rPr>
                      <w:b/>
                      <w:bCs/>
                      <w:szCs w:val="21"/>
                    </w:rPr>
                    <w:t>主要污染物</w:t>
                  </w:r>
                </w:p>
              </w:tc>
              <w:tc>
                <w:tcPr>
                  <w:tcW w:w="827" w:type="pct"/>
                  <w:tcBorders>
                    <w:tl2br w:val="nil"/>
                    <w:tr2bl w:val="nil"/>
                  </w:tcBorders>
                  <w:vAlign w:val="center"/>
                </w:tcPr>
                <w:p w14:paraId="7FEA771D">
                  <w:pPr>
                    <w:jc w:val="center"/>
                    <w:rPr>
                      <w:b/>
                      <w:bCs/>
                      <w:szCs w:val="21"/>
                    </w:rPr>
                  </w:pPr>
                  <w:r>
                    <w:rPr>
                      <w:b/>
                      <w:bCs/>
                      <w:szCs w:val="21"/>
                    </w:rPr>
                    <w:t>治理措施</w:t>
                  </w:r>
                </w:p>
              </w:tc>
              <w:tc>
                <w:tcPr>
                  <w:tcW w:w="1357" w:type="pct"/>
                  <w:tcBorders>
                    <w:tl2br w:val="nil"/>
                    <w:tr2bl w:val="nil"/>
                  </w:tcBorders>
                  <w:vAlign w:val="center"/>
                </w:tcPr>
                <w:p w14:paraId="60E8990E">
                  <w:pPr>
                    <w:jc w:val="center"/>
                    <w:rPr>
                      <w:b/>
                      <w:bCs/>
                      <w:szCs w:val="21"/>
                    </w:rPr>
                  </w:pPr>
                  <w:r>
                    <w:rPr>
                      <w:b/>
                      <w:bCs/>
                      <w:szCs w:val="21"/>
                    </w:rPr>
                    <w:t>排放去向</w:t>
                  </w:r>
                </w:p>
              </w:tc>
            </w:tr>
            <w:tr w14:paraId="348F3B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386" w:type="pct"/>
                  <w:vMerge w:val="restart"/>
                  <w:tcBorders>
                    <w:tl2br w:val="nil"/>
                    <w:tr2bl w:val="nil"/>
                  </w:tcBorders>
                  <w:vAlign w:val="center"/>
                </w:tcPr>
                <w:p w14:paraId="22133340">
                  <w:pPr>
                    <w:jc w:val="center"/>
                    <w:rPr>
                      <w:szCs w:val="21"/>
                    </w:rPr>
                  </w:pPr>
                  <w:r>
                    <w:rPr>
                      <w:szCs w:val="21"/>
                    </w:rPr>
                    <w:t>废气</w:t>
                  </w:r>
                </w:p>
              </w:tc>
              <w:tc>
                <w:tcPr>
                  <w:tcW w:w="740" w:type="pct"/>
                  <w:tcBorders>
                    <w:tl2br w:val="nil"/>
                    <w:tr2bl w:val="nil"/>
                  </w:tcBorders>
                  <w:vAlign w:val="center"/>
                </w:tcPr>
                <w:p w14:paraId="55A1D878">
                  <w:pPr>
                    <w:jc w:val="center"/>
                    <w:rPr>
                      <w:szCs w:val="21"/>
                    </w:rPr>
                  </w:pPr>
                  <w:r>
                    <w:rPr>
                      <w:szCs w:val="21"/>
                    </w:rPr>
                    <w:t>纺丝油剂废气</w:t>
                  </w:r>
                </w:p>
              </w:tc>
              <w:tc>
                <w:tcPr>
                  <w:tcW w:w="862" w:type="pct"/>
                  <w:tcBorders>
                    <w:tl2br w:val="nil"/>
                    <w:tr2bl w:val="nil"/>
                  </w:tcBorders>
                  <w:vAlign w:val="center"/>
                </w:tcPr>
                <w:p w14:paraId="3CFA529A">
                  <w:pPr>
                    <w:jc w:val="center"/>
                    <w:rPr>
                      <w:szCs w:val="21"/>
                    </w:rPr>
                  </w:pPr>
                  <w:r>
                    <w:rPr>
                      <w:szCs w:val="21"/>
                    </w:rPr>
                    <w:t>G1-1、G1-2、G2-1、G2-2、G3-2、G4-2</w:t>
                  </w:r>
                </w:p>
              </w:tc>
              <w:tc>
                <w:tcPr>
                  <w:tcW w:w="827" w:type="pct"/>
                  <w:tcBorders>
                    <w:tl2br w:val="nil"/>
                    <w:tr2bl w:val="nil"/>
                  </w:tcBorders>
                  <w:vAlign w:val="center"/>
                </w:tcPr>
                <w:p w14:paraId="6A3FC412">
                  <w:pPr>
                    <w:jc w:val="center"/>
                    <w:rPr>
                      <w:szCs w:val="21"/>
                    </w:rPr>
                  </w:pPr>
                  <w:r>
                    <w:rPr>
                      <w:szCs w:val="21"/>
                    </w:rPr>
                    <w:t>非甲烷总烃</w:t>
                  </w:r>
                </w:p>
              </w:tc>
              <w:tc>
                <w:tcPr>
                  <w:tcW w:w="827" w:type="pct"/>
                  <w:tcBorders>
                    <w:tl2br w:val="nil"/>
                    <w:tr2bl w:val="nil"/>
                  </w:tcBorders>
                  <w:vAlign w:val="center"/>
                </w:tcPr>
                <w:p w14:paraId="2B51D67C">
                  <w:pPr>
                    <w:jc w:val="center"/>
                    <w:rPr>
                      <w:szCs w:val="21"/>
                    </w:rPr>
                  </w:pPr>
                  <w:r>
                    <w:rPr>
                      <w:szCs w:val="21"/>
                    </w:rPr>
                    <w:t>静电除油</w:t>
                  </w:r>
                </w:p>
              </w:tc>
              <w:tc>
                <w:tcPr>
                  <w:tcW w:w="1357" w:type="pct"/>
                  <w:tcBorders>
                    <w:tl2br w:val="nil"/>
                    <w:tr2bl w:val="nil"/>
                  </w:tcBorders>
                  <w:vAlign w:val="center"/>
                </w:tcPr>
                <w:p w14:paraId="7D9E14C1">
                  <w:pPr>
                    <w:jc w:val="center"/>
                    <w:rPr>
                      <w:szCs w:val="21"/>
                    </w:rPr>
                  </w:pPr>
                  <w:r>
                    <w:rPr>
                      <w:szCs w:val="21"/>
                    </w:rPr>
                    <w:t>大气</w:t>
                  </w:r>
                </w:p>
              </w:tc>
            </w:tr>
            <w:tr w14:paraId="64B82B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vMerge w:val="continue"/>
                  <w:tcBorders>
                    <w:tl2br w:val="nil"/>
                    <w:tr2bl w:val="nil"/>
                  </w:tcBorders>
                  <w:vAlign w:val="center"/>
                </w:tcPr>
                <w:p w14:paraId="75F5314F">
                  <w:pPr>
                    <w:jc w:val="center"/>
                    <w:rPr>
                      <w:szCs w:val="21"/>
                    </w:rPr>
                  </w:pPr>
                </w:p>
              </w:tc>
              <w:tc>
                <w:tcPr>
                  <w:tcW w:w="740" w:type="pct"/>
                  <w:tcBorders>
                    <w:tl2br w:val="nil"/>
                    <w:tr2bl w:val="nil"/>
                  </w:tcBorders>
                  <w:vAlign w:val="center"/>
                </w:tcPr>
                <w:p w14:paraId="5A7192BE">
                  <w:pPr>
                    <w:jc w:val="center"/>
                    <w:rPr>
                      <w:szCs w:val="21"/>
                    </w:rPr>
                  </w:pPr>
                  <w:r>
                    <w:rPr>
                      <w:szCs w:val="21"/>
                    </w:rPr>
                    <w:t>切片干燥结晶废气</w:t>
                  </w:r>
                </w:p>
              </w:tc>
              <w:tc>
                <w:tcPr>
                  <w:tcW w:w="862" w:type="pct"/>
                  <w:tcBorders>
                    <w:tl2br w:val="nil"/>
                    <w:tr2bl w:val="nil"/>
                  </w:tcBorders>
                  <w:vAlign w:val="center"/>
                </w:tcPr>
                <w:p w14:paraId="5217645B">
                  <w:pPr>
                    <w:jc w:val="center"/>
                    <w:rPr>
                      <w:szCs w:val="21"/>
                    </w:rPr>
                  </w:pPr>
                  <w:r>
                    <w:rPr>
                      <w:szCs w:val="21"/>
                    </w:rPr>
                    <w:t>G3-1、G4-1</w:t>
                  </w:r>
                </w:p>
              </w:tc>
              <w:tc>
                <w:tcPr>
                  <w:tcW w:w="827" w:type="pct"/>
                  <w:tcBorders>
                    <w:tl2br w:val="nil"/>
                    <w:tr2bl w:val="nil"/>
                  </w:tcBorders>
                  <w:vAlign w:val="center"/>
                </w:tcPr>
                <w:p w14:paraId="6671CF06">
                  <w:pPr>
                    <w:jc w:val="center"/>
                    <w:rPr>
                      <w:szCs w:val="21"/>
                    </w:rPr>
                  </w:pPr>
                  <w:r>
                    <w:rPr>
                      <w:szCs w:val="21"/>
                    </w:rPr>
                    <w:t>颗粒物</w:t>
                  </w:r>
                </w:p>
              </w:tc>
              <w:tc>
                <w:tcPr>
                  <w:tcW w:w="827" w:type="pct"/>
                  <w:tcBorders>
                    <w:tl2br w:val="nil"/>
                    <w:tr2bl w:val="nil"/>
                  </w:tcBorders>
                  <w:vAlign w:val="center"/>
                </w:tcPr>
                <w:p w14:paraId="371FFC76">
                  <w:pPr>
                    <w:jc w:val="center"/>
                    <w:rPr>
                      <w:szCs w:val="21"/>
                    </w:rPr>
                  </w:pPr>
                  <w:r>
                    <w:rPr>
                      <w:szCs w:val="21"/>
                    </w:rPr>
                    <w:t>旋风分离+袋式除尘</w:t>
                  </w:r>
                </w:p>
              </w:tc>
              <w:tc>
                <w:tcPr>
                  <w:tcW w:w="1357" w:type="pct"/>
                  <w:tcBorders>
                    <w:tl2br w:val="nil"/>
                    <w:tr2bl w:val="nil"/>
                  </w:tcBorders>
                  <w:vAlign w:val="center"/>
                </w:tcPr>
                <w:p w14:paraId="61250831">
                  <w:pPr>
                    <w:jc w:val="center"/>
                    <w:rPr>
                      <w:szCs w:val="21"/>
                    </w:rPr>
                  </w:pPr>
                  <w:r>
                    <w:rPr>
                      <w:szCs w:val="21"/>
                    </w:rPr>
                    <w:t>大气</w:t>
                  </w:r>
                </w:p>
              </w:tc>
            </w:tr>
            <w:tr w14:paraId="776F04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vMerge w:val="continue"/>
                  <w:tcBorders>
                    <w:tl2br w:val="nil"/>
                    <w:tr2bl w:val="nil"/>
                  </w:tcBorders>
                  <w:vAlign w:val="center"/>
                </w:tcPr>
                <w:p w14:paraId="08575C40">
                  <w:pPr>
                    <w:jc w:val="center"/>
                    <w:rPr>
                      <w:szCs w:val="21"/>
                    </w:rPr>
                  </w:pPr>
                </w:p>
              </w:tc>
              <w:tc>
                <w:tcPr>
                  <w:tcW w:w="740" w:type="pct"/>
                  <w:tcBorders>
                    <w:tl2br w:val="nil"/>
                    <w:tr2bl w:val="nil"/>
                  </w:tcBorders>
                  <w:vAlign w:val="center"/>
                </w:tcPr>
                <w:p w14:paraId="1A7AB947">
                  <w:pPr>
                    <w:jc w:val="center"/>
                    <w:rPr>
                      <w:szCs w:val="21"/>
                    </w:rPr>
                  </w:pPr>
                  <w:r>
                    <w:rPr>
                      <w:szCs w:val="21"/>
                    </w:rPr>
                    <w:t>废丝回收废气</w:t>
                  </w:r>
                </w:p>
              </w:tc>
              <w:tc>
                <w:tcPr>
                  <w:tcW w:w="862" w:type="pct"/>
                  <w:tcBorders>
                    <w:tl2br w:val="nil"/>
                    <w:tr2bl w:val="nil"/>
                  </w:tcBorders>
                  <w:vAlign w:val="center"/>
                </w:tcPr>
                <w:p w14:paraId="71228AD8">
                  <w:pPr>
                    <w:jc w:val="center"/>
                    <w:rPr>
                      <w:szCs w:val="21"/>
                    </w:rPr>
                  </w:pPr>
                  <w:r>
                    <w:rPr>
                      <w:szCs w:val="21"/>
                    </w:rPr>
                    <w:t>G5-1、G5-2</w:t>
                  </w:r>
                </w:p>
              </w:tc>
              <w:tc>
                <w:tcPr>
                  <w:tcW w:w="827" w:type="pct"/>
                  <w:tcBorders>
                    <w:tl2br w:val="nil"/>
                    <w:tr2bl w:val="nil"/>
                  </w:tcBorders>
                  <w:vAlign w:val="center"/>
                </w:tcPr>
                <w:p w14:paraId="55356732">
                  <w:pPr>
                    <w:jc w:val="center"/>
                    <w:rPr>
                      <w:szCs w:val="21"/>
                    </w:rPr>
                  </w:pPr>
                  <w:r>
                    <w:rPr>
                      <w:szCs w:val="21"/>
                    </w:rPr>
                    <w:t>非甲烷总烃、颗粒物</w:t>
                  </w:r>
                </w:p>
              </w:tc>
              <w:tc>
                <w:tcPr>
                  <w:tcW w:w="827" w:type="pct"/>
                  <w:tcBorders>
                    <w:tl2br w:val="nil"/>
                    <w:tr2bl w:val="nil"/>
                  </w:tcBorders>
                  <w:vAlign w:val="center"/>
                </w:tcPr>
                <w:p w14:paraId="7CC4C433">
                  <w:pPr>
                    <w:jc w:val="center"/>
                    <w:rPr>
                      <w:szCs w:val="21"/>
                    </w:rPr>
                  </w:pPr>
                  <w:r>
                    <w:rPr>
                      <w:szCs w:val="21"/>
                    </w:rPr>
                    <w:t>油烟净化</w:t>
                  </w:r>
                </w:p>
              </w:tc>
              <w:tc>
                <w:tcPr>
                  <w:tcW w:w="1357" w:type="pct"/>
                  <w:tcBorders>
                    <w:tl2br w:val="nil"/>
                    <w:tr2bl w:val="nil"/>
                  </w:tcBorders>
                  <w:vAlign w:val="center"/>
                </w:tcPr>
                <w:p w14:paraId="23A7CCF8">
                  <w:pPr>
                    <w:jc w:val="center"/>
                    <w:rPr>
                      <w:szCs w:val="21"/>
                    </w:rPr>
                  </w:pPr>
                  <w:r>
                    <w:rPr>
                      <w:szCs w:val="21"/>
                    </w:rPr>
                    <w:t>大气</w:t>
                  </w:r>
                </w:p>
              </w:tc>
            </w:tr>
            <w:tr w14:paraId="341182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vMerge w:val="restart"/>
                  <w:tcBorders>
                    <w:tl2br w:val="nil"/>
                    <w:tr2bl w:val="nil"/>
                  </w:tcBorders>
                  <w:vAlign w:val="center"/>
                </w:tcPr>
                <w:p w14:paraId="78FB959A">
                  <w:pPr>
                    <w:jc w:val="center"/>
                    <w:rPr>
                      <w:szCs w:val="21"/>
                    </w:rPr>
                  </w:pPr>
                  <w:r>
                    <w:rPr>
                      <w:szCs w:val="21"/>
                    </w:rPr>
                    <w:t>废水</w:t>
                  </w:r>
                </w:p>
              </w:tc>
              <w:tc>
                <w:tcPr>
                  <w:tcW w:w="740" w:type="pct"/>
                  <w:tcBorders>
                    <w:tl2br w:val="nil"/>
                    <w:tr2bl w:val="nil"/>
                  </w:tcBorders>
                  <w:vAlign w:val="center"/>
                </w:tcPr>
                <w:p w14:paraId="66A73359">
                  <w:pPr>
                    <w:jc w:val="center"/>
                    <w:rPr>
                      <w:szCs w:val="21"/>
                    </w:rPr>
                  </w:pPr>
                  <w:r>
                    <w:t>纺丝组件清洗（含锑）废水</w:t>
                  </w:r>
                </w:p>
              </w:tc>
              <w:tc>
                <w:tcPr>
                  <w:tcW w:w="862" w:type="pct"/>
                  <w:tcBorders>
                    <w:tl2br w:val="nil"/>
                    <w:tr2bl w:val="nil"/>
                  </w:tcBorders>
                  <w:vAlign w:val="center"/>
                </w:tcPr>
                <w:p w14:paraId="3769C7A8">
                  <w:pPr>
                    <w:jc w:val="center"/>
                    <w:rPr>
                      <w:szCs w:val="21"/>
                    </w:rPr>
                  </w:pPr>
                  <w:r>
                    <w:rPr>
                      <w:szCs w:val="21"/>
                    </w:rPr>
                    <w:t>W1</w:t>
                  </w:r>
                </w:p>
              </w:tc>
              <w:tc>
                <w:tcPr>
                  <w:tcW w:w="827" w:type="pct"/>
                  <w:tcBorders>
                    <w:tl2br w:val="nil"/>
                    <w:tr2bl w:val="nil"/>
                  </w:tcBorders>
                  <w:vAlign w:val="center"/>
                </w:tcPr>
                <w:p w14:paraId="701D4834">
                  <w:pPr>
                    <w:jc w:val="center"/>
                    <w:rPr>
                      <w:szCs w:val="21"/>
                    </w:rPr>
                  </w:pPr>
                  <w:r>
                    <w:t>COD、SS、总锑</w:t>
                  </w:r>
                </w:p>
              </w:tc>
              <w:tc>
                <w:tcPr>
                  <w:tcW w:w="827" w:type="pct"/>
                  <w:tcBorders>
                    <w:tl2br w:val="nil"/>
                    <w:tr2bl w:val="nil"/>
                  </w:tcBorders>
                  <w:vAlign w:val="center"/>
                </w:tcPr>
                <w:p w14:paraId="2E67DA5E">
                  <w:pPr>
                    <w:jc w:val="center"/>
                    <w:rPr>
                      <w:szCs w:val="21"/>
                    </w:rPr>
                  </w:pPr>
                  <w:r>
                    <w:rPr>
                      <w:kern w:val="0"/>
                      <w:szCs w:val="21"/>
                    </w:rPr>
                    <w:t>经水解酸化与处理后接入综合废水调节池</w:t>
                  </w:r>
                </w:p>
              </w:tc>
              <w:tc>
                <w:tcPr>
                  <w:tcW w:w="1357" w:type="pct"/>
                  <w:vMerge w:val="restart"/>
                  <w:tcBorders>
                    <w:tl2br w:val="nil"/>
                    <w:tr2bl w:val="nil"/>
                  </w:tcBorders>
                  <w:vAlign w:val="center"/>
                </w:tcPr>
                <w:p w14:paraId="61311C24">
                  <w:pPr>
                    <w:jc w:val="center"/>
                    <w:rPr>
                      <w:szCs w:val="21"/>
                    </w:rPr>
                  </w:pPr>
                  <w:r>
                    <w:rPr>
                      <w:szCs w:val="28"/>
                    </w:rPr>
                    <w:t>采用“活性污泥+兼氧好氧”的好氧生化处理工艺和“陶粒过滤+活性炭过滤+精密过滤+反渗透”中水回用深度处理工艺，活性炭过滤器出水中的40%和反渗透淡水在清水池内混合后作为中水回用，中水回用率为80%，反渗透浓水（占比20%）经二级混凝处理后</w:t>
                  </w:r>
                  <w:r>
                    <w:rPr>
                      <w:rFonts w:hint="eastAsia"/>
                      <w:szCs w:val="28"/>
                    </w:rPr>
                    <w:t>接管至</w:t>
                  </w:r>
                  <w:r>
                    <w:rPr>
                      <w:szCs w:val="28"/>
                    </w:rPr>
                    <w:t>泗阳高新区污水处理厂（一期）集中处理。</w:t>
                  </w:r>
                </w:p>
              </w:tc>
            </w:tr>
            <w:tr w14:paraId="0D91E8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vMerge w:val="continue"/>
                  <w:tcBorders>
                    <w:tl2br w:val="nil"/>
                    <w:tr2bl w:val="nil"/>
                  </w:tcBorders>
                  <w:vAlign w:val="center"/>
                </w:tcPr>
                <w:p w14:paraId="1ECEC20D">
                  <w:pPr>
                    <w:jc w:val="center"/>
                    <w:rPr>
                      <w:szCs w:val="21"/>
                    </w:rPr>
                  </w:pPr>
                </w:p>
              </w:tc>
              <w:tc>
                <w:tcPr>
                  <w:tcW w:w="740" w:type="pct"/>
                  <w:tcBorders>
                    <w:tl2br w:val="nil"/>
                    <w:tr2bl w:val="nil"/>
                  </w:tcBorders>
                  <w:vAlign w:val="center"/>
                </w:tcPr>
                <w:p w14:paraId="7CF71DB9">
                  <w:pPr>
                    <w:jc w:val="center"/>
                    <w:rPr>
                      <w:szCs w:val="21"/>
                    </w:rPr>
                  </w:pPr>
                  <w:r>
                    <w:t>纺丝组件清洗废水</w:t>
                  </w:r>
                </w:p>
              </w:tc>
              <w:tc>
                <w:tcPr>
                  <w:tcW w:w="862" w:type="pct"/>
                  <w:tcBorders>
                    <w:tl2br w:val="nil"/>
                    <w:tr2bl w:val="nil"/>
                  </w:tcBorders>
                  <w:vAlign w:val="center"/>
                </w:tcPr>
                <w:p w14:paraId="2F3C3A78">
                  <w:pPr>
                    <w:jc w:val="center"/>
                    <w:rPr>
                      <w:szCs w:val="21"/>
                    </w:rPr>
                  </w:pPr>
                  <w:r>
                    <w:rPr>
                      <w:szCs w:val="21"/>
                    </w:rPr>
                    <w:t>W2</w:t>
                  </w:r>
                </w:p>
              </w:tc>
              <w:tc>
                <w:tcPr>
                  <w:tcW w:w="827" w:type="pct"/>
                  <w:tcBorders>
                    <w:tl2br w:val="nil"/>
                    <w:tr2bl w:val="nil"/>
                  </w:tcBorders>
                  <w:vAlign w:val="center"/>
                </w:tcPr>
                <w:p w14:paraId="349BD59A">
                  <w:pPr>
                    <w:jc w:val="center"/>
                    <w:rPr>
                      <w:szCs w:val="21"/>
                    </w:rPr>
                  </w:pPr>
                  <w:r>
                    <w:t>COD、SS和石油类</w:t>
                  </w:r>
                </w:p>
              </w:tc>
              <w:tc>
                <w:tcPr>
                  <w:tcW w:w="827" w:type="pct"/>
                  <w:tcBorders>
                    <w:tl2br w:val="nil"/>
                    <w:tr2bl w:val="nil"/>
                  </w:tcBorders>
                  <w:vAlign w:val="center"/>
                </w:tcPr>
                <w:p w14:paraId="595E3DC6">
                  <w:pPr>
                    <w:jc w:val="center"/>
                    <w:rPr>
                      <w:szCs w:val="21"/>
                    </w:rPr>
                  </w:pPr>
                  <w:r>
                    <w:rPr>
                      <w:kern w:val="0"/>
                      <w:szCs w:val="21"/>
                    </w:rPr>
                    <w:t>直接进入混合调节池</w:t>
                  </w:r>
                </w:p>
              </w:tc>
              <w:tc>
                <w:tcPr>
                  <w:tcW w:w="1357" w:type="pct"/>
                  <w:vMerge w:val="continue"/>
                  <w:tcBorders>
                    <w:tl2br w:val="nil"/>
                    <w:tr2bl w:val="nil"/>
                  </w:tcBorders>
                  <w:vAlign w:val="center"/>
                </w:tcPr>
                <w:p w14:paraId="0F74C40D">
                  <w:pPr>
                    <w:jc w:val="center"/>
                    <w:rPr>
                      <w:szCs w:val="21"/>
                    </w:rPr>
                  </w:pPr>
                </w:p>
              </w:tc>
            </w:tr>
            <w:tr w14:paraId="3E71B4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vMerge w:val="continue"/>
                  <w:tcBorders>
                    <w:tl2br w:val="nil"/>
                    <w:tr2bl w:val="nil"/>
                  </w:tcBorders>
                  <w:vAlign w:val="center"/>
                </w:tcPr>
                <w:p w14:paraId="3191AF80">
                  <w:pPr>
                    <w:jc w:val="center"/>
                    <w:rPr>
                      <w:szCs w:val="21"/>
                    </w:rPr>
                  </w:pPr>
                </w:p>
              </w:tc>
              <w:tc>
                <w:tcPr>
                  <w:tcW w:w="740" w:type="pct"/>
                  <w:tcBorders>
                    <w:tl2br w:val="nil"/>
                    <w:tr2bl w:val="nil"/>
                  </w:tcBorders>
                  <w:vAlign w:val="center"/>
                </w:tcPr>
                <w:p w14:paraId="3D068709">
                  <w:pPr>
                    <w:jc w:val="center"/>
                  </w:pPr>
                  <w:r>
                    <w:t>油烟净化装置冲洗废水</w:t>
                  </w:r>
                </w:p>
              </w:tc>
              <w:tc>
                <w:tcPr>
                  <w:tcW w:w="862" w:type="pct"/>
                  <w:tcBorders>
                    <w:tl2br w:val="nil"/>
                    <w:tr2bl w:val="nil"/>
                  </w:tcBorders>
                  <w:vAlign w:val="center"/>
                </w:tcPr>
                <w:p w14:paraId="3E772D53">
                  <w:pPr>
                    <w:jc w:val="center"/>
                    <w:rPr>
                      <w:szCs w:val="21"/>
                    </w:rPr>
                  </w:pPr>
                  <w:r>
                    <w:rPr>
                      <w:szCs w:val="21"/>
                    </w:rPr>
                    <w:t>W3</w:t>
                  </w:r>
                </w:p>
              </w:tc>
              <w:tc>
                <w:tcPr>
                  <w:tcW w:w="827" w:type="pct"/>
                  <w:tcBorders>
                    <w:tl2br w:val="nil"/>
                    <w:tr2bl w:val="nil"/>
                  </w:tcBorders>
                  <w:vAlign w:val="center"/>
                </w:tcPr>
                <w:p w14:paraId="7D12A6CF">
                  <w:pPr>
                    <w:jc w:val="center"/>
                    <w:rPr>
                      <w:szCs w:val="21"/>
                    </w:rPr>
                  </w:pPr>
                  <w:r>
                    <w:t>COD、SS和石油类</w:t>
                  </w:r>
                </w:p>
              </w:tc>
              <w:tc>
                <w:tcPr>
                  <w:tcW w:w="827" w:type="pct"/>
                  <w:tcBorders>
                    <w:tl2br w:val="nil"/>
                    <w:tr2bl w:val="nil"/>
                  </w:tcBorders>
                  <w:vAlign w:val="center"/>
                </w:tcPr>
                <w:p w14:paraId="4F965559">
                  <w:pPr>
                    <w:jc w:val="center"/>
                    <w:rPr>
                      <w:szCs w:val="21"/>
                    </w:rPr>
                  </w:pPr>
                  <w:r>
                    <w:rPr>
                      <w:kern w:val="0"/>
                      <w:szCs w:val="21"/>
                    </w:rPr>
                    <w:t>经气浮+均质酸化+厌氧预处理后接入综合废水调节池</w:t>
                  </w:r>
                </w:p>
              </w:tc>
              <w:tc>
                <w:tcPr>
                  <w:tcW w:w="1357" w:type="pct"/>
                  <w:vMerge w:val="continue"/>
                  <w:tcBorders>
                    <w:tl2br w:val="nil"/>
                    <w:tr2bl w:val="nil"/>
                  </w:tcBorders>
                  <w:vAlign w:val="center"/>
                </w:tcPr>
                <w:p w14:paraId="555524CD">
                  <w:pPr>
                    <w:jc w:val="center"/>
                    <w:rPr>
                      <w:szCs w:val="21"/>
                    </w:rPr>
                  </w:pPr>
                </w:p>
              </w:tc>
            </w:tr>
            <w:tr w14:paraId="0453F6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4" w:hRule="atLeast"/>
                <w:jc w:val="center"/>
              </w:trPr>
              <w:tc>
                <w:tcPr>
                  <w:tcW w:w="386" w:type="pct"/>
                  <w:tcBorders>
                    <w:tl2br w:val="nil"/>
                    <w:tr2bl w:val="nil"/>
                  </w:tcBorders>
                  <w:vAlign w:val="center"/>
                </w:tcPr>
                <w:p w14:paraId="743B3A3C">
                  <w:pPr>
                    <w:jc w:val="center"/>
                    <w:rPr>
                      <w:szCs w:val="21"/>
                    </w:rPr>
                  </w:pPr>
                  <w:r>
                    <w:rPr>
                      <w:szCs w:val="21"/>
                    </w:rPr>
                    <w:t>噪声</w:t>
                  </w:r>
                </w:p>
              </w:tc>
              <w:tc>
                <w:tcPr>
                  <w:tcW w:w="740" w:type="pct"/>
                  <w:tcBorders>
                    <w:tl2br w:val="nil"/>
                    <w:tr2bl w:val="nil"/>
                  </w:tcBorders>
                  <w:vAlign w:val="center"/>
                </w:tcPr>
                <w:p w14:paraId="1F35F660">
                  <w:pPr>
                    <w:jc w:val="center"/>
                    <w:rPr>
                      <w:szCs w:val="21"/>
                    </w:rPr>
                  </w:pPr>
                  <w:r>
                    <w:rPr>
                      <w:szCs w:val="21"/>
                    </w:rPr>
                    <w:t>生产线</w:t>
                  </w:r>
                </w:p>
              </w:tc>
              <w:tc>
                <w:tcPr>
                  <w:tcW w:w="862" w:type="pct"/>
                  <w:tcBorders>
                    <w:tl2br w:val="nil"/>
                    <w:tr2bl w:val="nil"/>
                  </w:tcBorders>
                  <w:vAlign w:val="center"/>
                </w:tcPr>
                <w:p w14:paraId="74398DF9">
                  <w:pPr>
                    <w:jc w:val="center"/>
                    <w:rPr>
                      <w:szCs w:val="21"/>
                    </w:rPr>
                  </w:pPr>
                  <w:r>
                    <w:rPr>
                      <w:szCs w:val="21"/>
                    </w:rPr>
                    <w:t>--</w:t>
                  </w:r>
                </w:p>
              </w:tc>
              <w:tc>
                <w:tcPr>
                  <w:tcW w:w="827" w:type="pct"/>
                  <w:tcBorders>
                    <w:tl2br w:val="nil"/>
                    <w:tr2bl w:val="nil"/>
                  </w:tcBorders>
                  <w:vAlign w:val="center"/>
                </w:tcPr>
                <w:p w14:paraId="5F088623">
                  <w:pPr>
                    <w:jc w:val="center"/>
                    <w:rPr>
                      <w:szCs w:val="21"/>
                    </w:rPr>
                  </w:pPr>
                  <w:r>
                    <w:rPr>
                      <w:szCs w:val="21"/>
                    </w:rPr>
                    <w:t>噪声</w:t>
                  </w:r>
                </w:p>
              </w:tc>
              <w:tc>
                <w:tcPr>
                  <w:tcW w:w="2184" w:type="pct"/>
                  <w:gridSpan w:val="2"/>
                  <w:tcBorders>
                    <w:tl2br w:val="nil"/>
                    <w:tr2bl w:val="nil"/>
                  </w:tcBorders>
                  <w:vAlign w:val="center"/>
                </w:tcPr>
                <w:p w14:paraId="650ED025">
                  <w:pPr>
                    <w:jc w:val="center"/>
                    <w:rPr>
                      <w:szCs w:val="21"/>
                    </w:rPr>
                  </w:pPr>
                  <w:r>
                    <w:rPr>
                      <w:szCs w:val="21"/>
                    </w:rPr>
                    <w:t>选用低噪声设备、设置减震基础、安装消音器、车间隔声等</w:t>
                  </w:r>
                </w:p>
              </w:tc>
            </w:tr>
            <w:tr w14:paraId="4042BF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386" w:type="pct"/>
                  <w:vMerge w:val="restart"/>
                  <w:tcBorders>
                    <w:tl2br w:val="nil"/>
                    <w:tr2bl w:val="nil"/>
                  </w:tcBorders>
                  <w:vAlign w:val="center"/>
                </w:tcPr>
                <w:p w14:paraId="242C3A5F">
                  <w:pPr>
                    <w:jc w:val="center"/>
                    <w:rPr>
                      <w:szCs w:val="21"/>
                    </w:rPr>
                  </w:pPr>
                  <w:r>
                    <w:rPr>
                      <w:szCs w:val="21"/>
                    </w:rPr>
                    <w:t>固废</w:t>
                  </w:r>
                </w:p>
              </w:tc>
              <w:tc>
                <w:tcPr>
                  <w:tcW w:w="740" w:type="pct"/>
                  <w:tcBorders>
                    <w:tl2br w:val="nil"/>
                    <w:tr2bl w:val="nil"/>
                  </w:tcBorders>
                  <w:vAlign w:val="center"/>
                </w:tcPr>
                <w:p w14:paraId="4FC82654">
                  <w:pPr>
                    <w:jc w:val="center"/>
                    <w:rPr>
                      <w:szCs w:val="21"/>
                    </w:rPr>
                  </w:pPr>
                  <w:r>
                    <w:rPr>
                      <w:szCs w:val="21"/>
                    </w:rPr>
                    <w:t>纺丝</w:t>
                  </w:r>
                </w:p>
              </w:tc>
              <w:tc>
                <w:tcPr>
                  <w:tcW w:w="862" w:type="pct"/>
                  <w:tcBorders>
                    <w:tl2br w:val="nil"/>
                    <w:tr2bl w:val="nil"/>
                  </w:tcBorders>
                  <w:vAlign w:val="center"/>
                </w:tcPr>
                <w:p w14:paraId="4C7339DC">
                  <w:pPr>
                    <w:pStyle w:val="74"/>
                    <w:jc w:val="center"/>
                    <w:rPr>
                      <w:szCs w:val="21"/>
                    </w:rPr>
                  </w:pPr>
                  <w:r>
                    <w:rPr>
                      <w:szCs w:val="21"/>
                    </w:rPr>
                    <w:t>S1</w:t>
                  </w:r>
                </w:p>
              </w:tc>
              <w:tc>
                <w:tcPr>
                  <w:tcW w:w="827" w:type="pct"/>
                  <w:tcBorders>
                    <w:tl2br w:val="nil"/>
                    <w:tr2bl w:val="nil"/>
                  </w:tcBorders>
                  <w:vAlign w:val="center"/>
                </w:tcPr>
                <w:p w14:paraId="7B7F827D">
                  <w:pPr>
                    <w:pStyle w:val="74"/>
                    <w:jc w:val="center"/>
                    <w:rPr>
                      <w:szCs w:val="21"/>
                    </w:rPr>
                  </w:pPr>
                  <w:r>
                    <w:rPr>
                      <w:kern w:val="0"/>
                      <w:szCs w:val="21"/>
                    </w:rPr>
                    <w:t>废无油丝</w:t>
                  </w:r>
                </w:p>
              </w:tc>
              <w:tc>
                <w:tcPr>
                  <w:tcW w:w="2184" w:type="pct"/>
                  <w:gridSpan w:val="2"/>
                  <w:vMerge w:val="restart"/>
                  <w:tcBorders>
                    <w:tl2br w:val="nil"/>
                    <w:tr2bl w:val="nil"/>
                  </w:tcBorders>
                  <w:vAlign w:val="center"/>
                </w:tcPr>
                <w:p w14:paraId="65BDDFE2">
                  <w:pPr>
                    <w:pStyle w:val="74"/>
                    <w:jc w:val="center"/>
                    <w:rPr>
                      <w:szCs w:val="21"/>
                    </w:rPr>
                  </w:pPr>
                  <w:r>
                    <w:rPr>
                      <w:szCs w:val="21"/>
                    </w:rPr>
                    <w:t>厂内回收利用</w:t>
                  </w:r>
                  <w:r>
                    <w:rPr>
                      <w:kern w:val="0"/>
                      <w:szCs w:val="21"/>
                    </w:rPr>
                    <w:t>或外售综合利用</w:t>
                  </w:r>
                </w:p>
              </w:tc>
            </w:tr>
            <w:tr w14:paraId="3823A2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386" w:type="pct"/>
                  <w:vMerge w:val="continue"/>
                  <w:tcBorders>
                    <w:tl2br w:val="nil"/>
                    <w:tr2bl w:val="nil"/>
                  </w:tcBorders>
                  <w:vAlign w:val="center"/>
                </w:tcPr>
                <w:p w14:paraId="5BB139B8">
                  <w:pPr>
                    <w:jc w:val="center"/>
                    <w:rPr>
                      <w:szCs w:val="21"/>
                    </w:rPr>
                  </w:pPr>
                </w:p>
              </w:tc>
              <w:tc>
                <w:tcPr>
                  <w:tcW w:w="740" w:type="pct"/>
                  <w:tcBorders>
                    <w:tl2br w:val="nil"/>
                    <w:tr2bl w:val="nil"/>
                  </w:tcBorders>
                  <w:vAlign w:val="center"/>
                </w:tcPr>
                <w:p w14:paraId="39003EC1">
                  <w:pPr>
                    <w:jc w:val="center"/>
                    <w:rPr>
                      <w:szCs w:val="21"/>
                    </w:rPr>
                  </w:pPr>
                  <w:r>
                    <w:rPr>
                      <w:szCs w:val="21"/>
                    </w:rPr>
                    <w:t>纺丝</w:t>
                  </w:r>
                </w:p>
              </w:tc>
              <w:tc>
                <w:tcPr>
                  <w:tcW w:w="862" w:type="pct"/>
                  <w:tcBorders>
                    <w:tl2br w:val="nil"/>
                    <w:tr2bl w:val="nil"/>
                  </w:tcBorders>
                  <w:vAlign w:val="center"/>
                </w:tcPr>
                <w:p w14:paraId="59745611">
                  <w:pPr>
                    <w:jc w:val="center"/>
                    <w:rPr>
                      <w:szCs w:val="21"/>
                    </w:rPr>
                  </w:pPr>
                  <w:r>
                    <w:rPr>
                      <w:szCs w:val="21"/>
                    </w:rPr>
                    <w:t>S2</w:t>
                  </w:r>
                </w:p>
              </w:tc>
              <w:tc>
                <w:tcPr>
                  <w:tcW w:w="827" w:type="pct"/>
                  <w:tcBorders>
                    <w:tl2br w:val="nil"/>
                    <w:tr2bl w:val="nil"/>
                  </w:tcBorders>
                  <w:vAlign w:val="center"/>
                </w:tcPr>
                <w:p w14:paraId="5F16AFDA">
                  <w:pPr>
                    <w:jc w:val="center"/>
                    <w:rPr>
                      <w:szCs w:val="21"/>
                    </w:rPr>
                  </w:pPr>
                  <w:r>
                    <w:rPr>
                      <w:kern w:val="0"/>
                      <w:szCs w:val="21"/>
                    </w:rPr>
                    <w:t>废含油丝</w:t>
                  </w:r>
                </w:p>
              </w:tc>
              <w:tc>
                <w:tcPr>
                  <w:tcW w:w="2184" w:type="pct"/>
                  <w:gridSpan w:val="2"/>
                  <w:vMerge w:val="continue"/>
                  <w:tcBorders>
                    <w:tl2br w:val="nil"/>
                    <w:tr2bl w:val="nil"/>
                  </w:tcBorders>
                  <w:vAlign w:val="center"/>
                </w:tcPr>
                <w:p w14:paraId="04652AB2">
                  <w:pPr>
                    <w:jc w:val="center"/>
                    <w:rPr>
                      <w:szCs w:val="21"/>
                    </w:rPr>
                  </w:pPr>
                </w:p>
              </w:tc>
            </w:tr>
            <w:tr w14:paraId="60651E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386" w:type="pct"/>
                  <w:vMerge w:val="continue"/>
                  <w:tcBorders>
                    <w:tl2br w:val="nil"/>
                    <w:tr2bl w:val="nil"/>
                  </w:tcBorders>
                  <w:vAlign w:val="center"/>
                </w:tcPr>
                <w:p w14:paraId="4A270FB7">
                  <w:pPr>
                    <w:jc w:val="center"/>
                    <w:rPr>
                      <w:szCs w:val="21"/>
                    </w:rPr>
                  </w:pPr>
                </w:p>
              </w:tc>
              <w:tc>
                <w:tcPr>
                  <w:tcW w:w="740" w:type="pct"/>
                  <w:tcBorders>
                    <w:tl2br w:val="nil"/>
                    <w:tr2bl w:val="nil"/>
                  </w:tcBorders>
                  <w:vAlign w:val="center"/>
                </w:tcPr>
                <w:p w14:paraId="5792BE43">
                  <w:pPr>
                    <w:jc w:val="center"/>
                    <w:rPr>
                      <w:szCs w:val="21"/>
                    </w:rPr>
                  </w:pPr>
                  <w:r>
                    <w:rPr>
                      <w:kern w:val="0"/>
                      <w:szCs w:val="21"/>
                    </w:rPr>
                    <w:t>废气处理</w:t>
                  </w:r>
                </w:p>
              </w:tc>
              <w:tc>
                <w:tcPr>
                  <w:tcW w:w="862" w:type="pct"/>
                  <w:tcBorders>
                    <w:tl2br w:val="nil"/>
                    <w:tr2bl w:val="nil"/>
                  </w:tcBorders>
                  <w:vAlign w:val="center"/>
                </w:tcPr>
                <w:p w14:paraId="339A07ED">
                  <w:pPr>
                    <w:jc w:val="center"/>
                    <w:rPr>
                      <w:szCs w:val="21"/>
                    </w:rPr>
                  </w:pPr>
                  <w:r>
                    <w:rPr>
                      <w:szCs w:val="21"/>
                    </w:rPr>
                    <w:t>S3</w:t>
                  </w:r>
                </w:p>
              </w:tc>
              <w:tc>
                <w:tcPr>
                  <w:tcW w:w="827" w:type="pct"/>
                  <w:tcBorders>
                    <w:tl2br w:val="nil"/>
                    <w:tr2bl w:val="nil"/>
                  </w:tcBorders>
                  <w:vAlign w:val="center"/>
                </w:tcPr>
                <w:p w14:paraId="372EE50B">
                  <w:pPr>
                    <w:jc w:val="center"/>
                    <w:rPr>
                      <w:szCs w:val="21"/>
                    </w:rPr>
                  </w:pPr>
                  <w:r>
                    <w:rPr>
                      <w:kern w:val="0"/>
                      <w:szCs w:val="21"/>
                    </w:rPr>
                    <w:t>废纺丝油剂</w:t>
                  </w:r>
                </w:p>
              </w:tc>
              <w:tc>
                <w:tcPr>
                  <w:tcW w:w="2184" w:type="pct"/>
                  <w:gridSpan w:val="2"/>
                  <w:vMerge w:val="restart"/>
                  <w:tcBorders>
                    <w:tl2br w:val="nil"/>
                    <w:tr2bl w:val="nil"/>
                  </w:tcBorders>
                  <w:vAlign w:val="center"/>
                </w:tcPr>
                <w:p w14:paraId="1D159796">
                  <w:pPr>
                    <w:jc w:val="center"/>
                    <w:rPr>
                      <w:szCs w:val="21"/>
                    </w:rPr>
                  </w:pPr>
                  <w:r>
                    <w:rPr>
                      <w:szCs w:val="21"/>
                    </w:rPr>
                    <w:t>委托有资质单位妥善处置</w:t>
                  </w:r>
                </w:p>
              </w:tc>
            </w:tr>
            <w:tr w14:paraId="4FA9F5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386" w:type="pct"/>
                  <w:vMerge w:val="continue"/>
                  <w:tcBorders>
                    <w:tl2br w:val="nil"/>
                    <w:tr2bl w:val="nil"/>
                  </w:tcBorders>
                  <w:vAlign w:val="center"/>
                </w:tcPr>
                <w:p w14:paraId="2262FDBF">
                  <w:pPr>
                    <w:jc w:val="center"/>
                    <w:rPr>
                      <w:szCs w:val="21"/>
                    </w:rPr>
                  </w:pPr>
                </w:p>
              </w:tc>
              <w:tc>
                <w:tcPr>
                  <w:tcW w:w="740" w:type="pct"/>
                  <w:tcBorders>
                    <w:tl2br w:val="nil"/>
                    <w:tr2bl w:val="nil"/>
                  </w:tcBorders>
                  <w:vAlign w:val="center"/>
                </w:tcPr>
                <w:p w14:paraId="4AAD4B72">
                  <w:pPr>
                    <w:jc w:val="center"/>
                    <w:rPr>
                      <w:szCs w:val="21"/>
                    </w:rPr>
                  </w:pPr>
                  <w:r>
                    <w:rPr>
                      <w:szCs w:val="21"/>
                    </w:rPr>
                    <w:t>设备维修</w:t>
                  </w:r>
                </w:p>
              </w:tc>
              <w:tc>
                <w:tcPr>
                  <w:tcW w:w="862" w:type="pct"/>
                  <w:tcBorders>
                    <w:tl2br w:val="nil"/>
                    <w:tr2bl w:val="nil"/>
                  </w:tcBorders>
                  <w:vAlign w:val="center"/>
                </w:tcPr>
                <w:p w14:paraId="7534440E">
                  <w:pPr>
                    <w:jc w:val="center"/>
                    <w:rPr>
                      <w:szCs w:val="21"/>
                    </w:rPr>
                  </w:pPr>
                  <w:r>
                    <w:rPr>
                      <w:szCs w:val="21"/>
                    </w:rPr>
                    <w:t>S4</w:t>
                  </w:r>
                </w:p>
              </w:tc>
              <w:tc>
                <w:tcPr>
                  <w:tcW w:w="827" w:type="pct"/>
                  <w:tcBorders>
                    <w:tl2br w:val="nil"/>
                    <w:tr2bl w:val="nil"/>
                  </w:tcBorders>
                  <w:vAlign w:val="center"/>
                </w:tcPr>
                <w:p w14:paraId="7123BFA6">
                  <w:pPr>
                    <w:jc w:val="center"/>
                    <w:rPr>
                      <w:szCs w:val="21"/>
                    </w:rPr>
                  </w:pPr>
                  <w:r>
                    <w:rPr>
                      <w:kern w:val="0"/>
                      <w:szCs w:val="21"/>
                    </w:rPr>
                    <w:t>废油</w:t>
                  </w:r>
                </w:p>
              </w:tc>
              <w:tc>
                <w:tcPr>
                  <w:tcW w:w="2184" w:type="pct"/>
                  <w:gridSpan w:val="2"/>
                  <w:vMerge w:val="continue"/>
                  <w:tcBorders>
                    <w:tl2br w:val="nil"/>
                    <w:tr2bl w:val="nil"/>
                  </w:tcBorders>
                  <w:vAlign w:val="center"/>
                </w:tcPr>
                <w:p w14:paraId="037C392C">
                  <w:pPr>
                    <w:jc w:val="center"/>
                    <w:rPr>
                      <w:szCs w:val="21"/>
                    </w:rPr>
                  </w:pPr>
                </w:p>
              </w:tc>
            </w:tr>
            <w:tr w14:paraId="13985D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386" w:type="pct"/>
                  <w:vMerge w:val="continue"/>
                  <w:tcBorders>
                    <w:tl2br w:val="nil"/>
                    <w:tr2bl w:val="nil"/>
                  </w:tcBorders>
                  <w:vAlign w:val="center"/>
                </w:tcPr>
                <w:p w14:paraId="464852E7">
                  <w:pPr>
                    <w:jc w:val="center"/>
                    <w:rPr>
                      <w:szCs w:val="21"/>
                    </w:rPr>
                  </w:pPr>
                </w:p>
              </w:tc>
              <w:tc>
                <w:tcPr>
                  <w:tcW w:w="740" w:type="pct"/>
                  <w:tcBorders>
                    <w:tl2br w:val="nil"/>
                    <w:tr2bl w:val="nil"/>
                  </w:tcBorders>
                  <w:vAlign w:val="center"/>
                </w:tcPr>
                <w:p w14:paraId="5FA14B0C">
                  <w:pPr>
                    <w:jc w:val="center"/>
                    <w:rPr>
                      <w:szCs w:val="21"/>
                    </w:rPr>
                  </w:pPr>
                  <w:r>
                    <w:rPr>
                      <w:szCs w:val="21"/>
                    </w:rPr>
                    <w:t>设备维修</w:t>
                  </w:r>
                </w:p>
              </w:tc>
              <w:tc>
                <w:tcPr>
                  <w:tcW w:w="862" w:type="pct"/>
                  <w:tcBorders>
                    <w:tl2br w:val="nil"/>
                    <w:tr2bl w:val="nil"/>
                  </w:tcBorders>
                  <w:vAlign w:val="center"/>
                </w:tcPr>
                <w:p w14:paraId="49C8F11D">
                  <w:pPr>
                    <w:jc w:val="center"/>
                    <w:rPr>
                      <w:szCs w:val="21"/>
                    </w:rPr>
                  </w:pPr>
                  <w:r>
                    <w:rPr>
                      <w:szCs w:val="21"/>
                    </w:rPr>
                    <w:t>S5</w:t>
                  </w:r>
                </w:p>
              </w:tc>
              <w:tc>
                <w:tcPr>
                  <w:tcW w:w="827" w:type="pct"/>
                  <w:tcBorders>
                    <w:tl2br w:val="nil"/>
                    <w:tr2bl w:val="nil"/>
                  </w:tcBorders>
                  <w:vAlign w:val="center"/>
                </w:tcPr>
                <w:p w14:paraId="3CD6B2A3">
                  <w:pPr>
                    <w:jc w:val="center"/>
                    <w:rPr>
                      <w:szCs w:val="21"/>
                    </w:rPr>
                  </w:pPr>
                  <w:r>
                    <w:rPr>
                      <w:kern w:val="0"/>
                      <w:szCs w:val="21"/>
                    </w:rPr>
                    <w:t>废润滑油脂</w:t>
                  </w:r>
                </w:p>
              </w:tc>
              <w:tc>
                <w:tcPr>
                  <w:tcW w:w="2184" w:type="pct"/>
                  <w:gridSpan w:val="2"/>
                  <w:vMerge w:val="continue"/>
                  <w:tcBorders>
                    <w:tl2br w:val="nil"/>
                    <w:tr2bl w:val="nil"/>
                  </w:tcBorders>
                  <w:vAlign w:val="center"/>
                </w:tcPr>
                <w:p w14:paraId="138FED89">
                  <w:pPr>
                    <w:jc w:val="center"/>
                    <w:rPr>
                      <w:szCs w:val="21"/>
                    </w:rPr>
                  </w:pPr>
                </w:p>
              </w:tc>
            </w:tr>
            <w:tr w14:paraId="5D4186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386" w:type="pct"/>
                  <w:vMerge w:val="continue"/>
                  <w:tcBorders>
                    <w:tl2br w:val="nil"/>
                    <w:tr2bl w:val="nil"/>
                  </w:tcBorders>
                  <w:vAlign w:val="center"/>
                </w:tcPr>
                <w:p w14:paraId="5754B601">
                  <w:pPr>
                    <w:jc w:val="center"/>
                    <w:rPr>
                      <w:szCs w:val="21"/>
                    </w:rPr>
                  </w:pPr>
                </w:p>
              </w:tc>
              <w:tc>
                <w:tcPr>
                  <w:tcW w:w="740" w:type="pct"/>
                  <w:tcBorders>
                    <w:tl2br w:val="nil"/>
                    <w:tr2bl w:val="nil"/>
                  </w:tcBorders>
                  <w:vAlign w:val="center"/>
                </w:tcPr>
                <w:p w14:paraId="67D72757">
                  <w:pPr>
                    <w:jc w:val="center"/>
                    <w:rPr>
                      <w:kern w:val="0"/>
                      <w:szCs w:val="21"/>
                    </w:rPr>
                  </w:pPr>
                  <w:r>
                    <w:rPr>
                      <w:kern w:val="0"/>
                      <w:szCs w:val="21"/>
                    </w:rPr>
                    <w:t>物检</w:t>
                  </w:r>
                </w:p>
              </w:tc>
              <w:tc>
                <w:tcPr>
                  <w:tcW w:w="862" w:type="pct"/>
                  <w:tcBorders>
                    <w:tl2br w:val="nil"/>
                    <w:tr2bl w:val="nil"/>
                  </w:tcBorders>
                  <w:vAlign w:val="center"/>
                </w:tcPr>
                <w:p w14:paraId="440D32C9">
                  <w:pPr>
                    <w:jc w:val="center"/>
                    <w:rPr>
                      <w:szCs w:val="21"/>
                    </w:rPr>
                  </w:pPr>
                  <w:r>
                    <w:rPr>
                      <w:szCs w:val="21"/>
                    </w:rPr>
                    <w:t>S6</w:t>
                  </w:r>
                </w:p>
              </w:tc>
              <w:tc>
                <w:tcPr>
                  <w:tcW w:w="827" w:type="pct"/>
                  <w:tcBorders>
                    <w:tl2br w:val="nil"/>
                    <w:tr2bl w:val="nil"/>
                  </w:tcBorders>
                  <w:vAlign w:val="center"/>
                </w:tcPr>
                <w:p w14:paraId="49621E5D">
                  <w:pPr>
                    <w:jc w:val="center"/>
                    <w:rPr>
                      <w:szCs w:val="21"/>
                    </w:rPr>
                  </w:pPr>
                  <w:r>
                    <w:rPr>
                      <w:kern w:val="0"/>
                      <w:szCs w:val="21"/>
                    </w:rPr>
                    <w:t>废有机溶剂</w:t>
                  </w:r>
                </w:p>
              </w:tc>
              <w:tc>
                <w:tcPr>
                  <w:tcW w:w="2184" w:type="pct"/>
                  <w:gridSpan w:val="2"/>
                  <w:vMerge w:val="continue"/>
                  <w:tcBorders>
                    <w:tl2br w:val="nil"/>
                    <w:tr2bl w:val="nil"/>
                  </w:tcBorders>
                  <w:vAlign w:val="center"/>
                </w:tcPr>
                <w:p w14:paraId="5433AB5A">
                  <w:pPr>
                    <w:jc w:val="center"/>
                    <w:rPr>
                      <w:szCs w:val="21"/>
                    </w:rPr>
                  </w:pPr>
                </w:p>
              </w:tc>
            </w:tr>
            <w:tr w14:paraId="6EE554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386" w:type="pct"/>
                  <w:vMerge w:val="continue"/>
                  <w:tcBorders>
                    <w:tl2br w:val="nil"/>
                    <w:tr2bl w:val="nil"/>
                  </w:tcBorders>
                  <w:vAlign w:val="center"/>
                </w:tcPr>
                <w:p w14:paraId="35C4FDBB">
                  <w:pPr>
                    <w:jc w:val="center"/>
                    <w:rPr>
                      <w:szCs w:val="21"/>
                    </w:rPr>
                  </w:pPr>
                </w:p>
              </w:tc>
              <w:tc>
                <w:tcPr>
                  <w:tcW w:w="740" w:type="pct"/>
                  <w:tcBorders>
                    <w:tl2br w:val="nil"/>
                    <w:tr2bl w:val="nil"/>
                  </w:tcBorders>
                  <w:vAlign w:val="center"/>
                </w:tcPr>
                <w:p w14:paraId="6146CE2A">
                  <w:pPr>
                    <w:jc w:val="center"/>
                    <w:rPr>
                      <w:szCs w:val="21"/>
                    </w:rPr>
                  </w:pPr>
                  <w:r>
                    <w:rPr>
                      <w:szCs w:val="21"/>
                    </w:rPr>
                    <w:t>纺丝清洗</w:t>
                  </w:r>
                </w:p>
              </w:tc>
              <w:tc>
                <w:tcPr>
                  <w:tcW w:w="862" w:type="pct"/>
                  <w:tcBorders>
                    <w:tl2br w:val="nil"/>
                    <w:tr2bl w:val="nil"/>
                  </w:tcBorders>
                  <w:vAlign w:val="center"/>
                </w:tcPr>
                <w:p w14:paraId="74601C4A">
                  <w:pPr>
                    <w:jc w:val="center"/>
                    <w:rPr>
                      <w:szCs w:val="21"/>
                    </w:rPr>
                  </w:pPr>
                  <w:r>
                    <w:rPr>
                      <w:szCs w:val="21"/>
                    </w:rPr>
                    <w:t>S7</w:t>
                  </w:r>
                </w:p>
              </w:tc>
              <w:tc>
                <w:tcPr>
                  <w:tcW w:w="827" w:type="pct"/>
                  <w:tcBorders>
                    <w:tl2br w:val="nil"/>
                    <w:tr2bl w:val="nil"/>
                  </w:tcBorders>
                  <w:vAlign w:val="center"/>
                </w:tcPr>
                <w:p w14:paraId="262A2677">
                  <w:pPr>
                    <w:jc w:val="center"/>
                    <w:rPr>
                      <w:szCs w:val="21"/>
                    </w:rPr>
                  </w:pPr>
                  <w:r>
                    <w:rPr>
                      <w:szCs w:val="21"/>
                    </w:rPr>
                    <w:t>废碱液</w:t>
                  </w:r>
                </w:p>
              </w:tc>
              <w:tc>
                <w:tcPr>
                  <w:tcW w:w="2184" w:type="pct"/>
                  <w:gridSpan w:val="2"/>
                  <w:vMerge w:val="continue"/>
                  <w:tcBorders>
                    <w:tl2br w:val="nil"/>
                    <w:tr2bl w:val="nil"/>
                  </w:tcBorders>
                  <w:vAlign w:val="center"/>
                </w:tcPr>
                <w:p w14:paraId="3A126624">
                  <w:pPr>
                    <w:jc w:val="center"/>
                    <w:rPr>
                      <w:szCs w:val="21"/>
                    </w:rPr>
                  </w:pPr>
                </w:p>
              </w:tc>
            </w:tr>
            <w:tr w14:paraId="0E3D72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386" w:type="pct"/>
                  <w:vMerge w:val="continue"/>
                  <w:tcBorders>
                    <w:tl2br w:val="nil"/>
                    <w:tr2bl w:val="nil"/>
                  </w:tcBorders>
                  <w:vAlign w:val="center"/>
                </w:tcPr>
                <w:p w14:paraId="6EF27776">
                  <w:pPr>
                    <w:jc w:val="center"/>
                    <w:rPr>
                      <w:szCs w:val="21"/>
                    </w:rPr>
                  </w:pPr>
                </w:p>
              </w:tc>
              <w:tc>
                <w:tcPr>
                  <w:tcW w:w="740" w:type="pct"/>
                  <w:tcBorders>
                    <w:tl2br w:val="nil"/>
                    <w:tr2bl w:val="nil"/>
                  </w:tcBorders>
                  <w:vAlign w:val="center"/>
                </w:tcPr>
                <w:p w14:paraId="66DDDEFA">
                  <w:pPr>
                    <w:jc w:val="center"/>
                    <w:rPr>
                      <w:kern w:val="0"/>
                      <w:szCs w:val="21"/>
                    </w:rPr>
                  </w:pPr>
                  <w:r>
                    <w:rPr>
                      <w:kern w:val="0"/>
                      <w:szCs w:val="21"/>
                    </w:rPr>
                    <w:t>废丝回收分选</w:t>
                  </w:r>
                </w:p>
              </w:tc>
              <w:tc>
                <w:tcPr>
                  <w:tcW w:w="862" w:type="pct"/>
                  <w:tcBorders>
                    <w:tl2br w:val="nil"/>
                    <w:tr2bl w:val="nil"/>
                  </w:tcBorders>
                  <w:vAlign w:val="center"/>
                </w:tcPr>
                <w:p w14:paraId="68C0196D">
                  <w:pPr>
                    <w:jc w:val="center"/>
                    <w:rPr>
                      <w:szCs w:val="21"/>
                    </w:rPr>
                  </w:pPr>
                  <w:r>
                    <w:rPr>
                      <w:szCs w:val="21"/>
                    </w:rPr>
                    <w:t>S8</w:t>
                  </w:r>
                </w:p>
              </w:tc>
              <w:tc>
                <w:tcPr>
                  <w:tcW w:w="827" w:type="pct"/>
                  <w:tcBorders>
                    <w:tl2br w:val="nil"/>
                    <w:tr2bl w:val="nil"/>
                  </w:tcBorders>
                  <w:vAlign w:val="center"/>
                </w:tcPr>
                <w:p w14:paraId="2C9C4710">
                  <w:pPr>
                    <w:jc w:val="center"/>
                    <w:rPr>
                      <w:szCs w:val="21"/>
                    </w:rPr>
                  </w:pPr>
                  <w:r>
                    <w:rPr>
                      <w:kern w:val="0"/>
                      <w:szCs w:val="21"/>
                    </w:rPr>
                    <w:t>杂质废料</w:t>
                  </w:r>
                </w:p>
              </w:tc>
              <w:tc>
                <w:tcPr>
                  <w:tcW w:w="2184" w:type="pct"/>
                  <w:gridSpan w:val="2"/>
                  <w:tcBorders>
                    <w:tl2br w:val="nil"/>
                    <w:tr2bl w:val="nil"/>
                  </w:tcBorders>
                  <w:vAlign w:val="center"/>
                </w:tcPr>
                <w:p w14:paraId="025EE9D6">
                  <w:pPr>
                    <w:jc w:val="center"/>
                    <w:rPr>
                      <w:szCs w:val="21"/>
                    </w:rPr>
                  </w:pPr>
                  <w:r>
                    <w:rPr>
                      <w:szCs w:val="21"/>
                    </w:rPr>
                    <w:t>外售综合利用</w:t>
                  </w:r>
                </w:p>
              </w:tc>
            </w:tr>
            <w:tr w14:paraId="789600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386" w:type="pct"/>
                  <w:vMerge w:val="continue"/>
                  <w:tcBorders>
                    <w:tl2br w:val="nil"/>
                    <w:tr2bl w:val="nil"/>
                  </w:tcBorders>
                  <w:vAlign w:val="center"/>
                </w:tcPr>
                <w:p w14:paraId="667108E3">
                  <w:pPr>
                    <w:jc w:val="center"/>
                    <w:rPr>
                      <w:szCs w:val="21"/>
                    </w:rPr>
                  </w:pPr>
                </w:p>
              </w:tc>
              <w:tc>
                <w:tcPr>
                  <w:tcW w:w="740" w:type="pct"/>
                  <w:tcBorders>
                    <w:tl2br w:val="nil"/>
                    <w:tr2bl w:val="nil"/>
                  </w:tcBorders>
                  <w:vAlign w:val="center"/>
                </w:tcPr>
                <w:p w14:paraId="196EC70E">
                  <w:pPr>
                    <w:jc w:val="center"/>
                    <w:rPr>
                      <w:kern w:val="0"/>
                      <w:szCs w:val="21"/>
                    </w:rPr>
                  </w:pPr>
                  <w:r>
                    <w:rPr>
                      <w:kern w:val="0"/>
                      <w:szCs w:val="21"/>
                    </w:rPr>
                    <w:t>日常包装</w:t>
                  </w:r>
                </w:p>
              </w:tc>
              <w:tc>
                <w:tcPr>
                  <w:tcW w:w="862" w:type="pct"/>
                  <w:tcBorders>
                    <w:tl2br w:val="nil"/>
                    <w:tr2bl w:val="nil"/>
                  </w:tcBorders>
                  <w:vAlign w:val="center"/>
                </w:tcPr>
                <w:p w14:paraId="49D72EB7">
                  <w:pPr>
                    <w:jc w:val="center"/>
                    <w:rPr>
                      <w:szCs w:val="21"/>
                    </w:rPr>
                  </w:pPr>
                  <w:r>
                    <w:rPr>
                      <w:szCs w:val="21"/>
                    </w:rPr>
                    <w:t>S9</w:t>
                  </w:r>
                </w:p>
              </w:tc>
              <w:tc>
                <w:tcPr>
                  <w:tcW w:w="827" w:type="pct"/>
                  <w:tcBorders>
                    <w:tl2br w:val="nil"/>
                    <w:tr2bl w:val="nil"/>
                  </w:tcBorders>
                  <w:vAlign w:val="center"/>
                </w:tcPr>
                <w:p w14:paraId="5F27F905">
                  <w:pPr>
                    <w:jc w:val="center"/>
                    <w:rPr>
                      <w:szCs w:val="21"/>
                    </w:rPr>
                  </w:pPr>
                  <w:r>
                    <w:rPr>
                      <w:kern w:val="0"/>
                      <w:szCs w:val="21"/>
                    </w:rPr>
                    <w:t>废包装桶（瓶）</w:t>
                  </w:r>
                </w:p>
              </w:tc>
              <w:tc>
                <w:tcPr>
                  <w:tcW w:w="2184" w:type="pct"/>
                  <w:gridSpan w:val="2"/>
                  <w:tcBorders>
                    <w:tl2br w:val="nil"/>
                    <w:tr2bl w:val="nil"/>
                  </w:tcBorders>
                  <w:vAlign w:val="center"/>
                </w:tcPr>
                <w:p w14:paraId="1B892D27">
                  <w:pPr>
                    <w:jc w:val="center"/>
                    <w:rPr>
                      <w:szCs w:val="21"/>
                    </w:rPr>
                  </w:pPr>
                  <w:bookmarkStart w:id="28" w:name="OLE_LINK19"/>
                  <w:r>
                    <w:rPr>
                      <w:szCs w:val="21"/>
                    </w:rPr>
                    <w:t>委托有资质单位妥善处置</w:t>
                  </w:r>
                  <w:bookmarkEnd w:id="28"/>
                </w:p>
              </w:tc>
            </w:tr>
            <w:tr w14:paraId="132ACA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386" w:type="pct"/>
                  <w:vMerge w:val="continue"/>
                  <w:tcBorders>
                    <w:tl2br w:val="nil"/>
                    <w:tr2bl w:val="nil"/>
                  </w:tcBorders>
                  <w:vAlign w:val="center"/>
                </w:tcPr>
                <w:p w14:paraId="17261279">
                  <w:pPr>
                    <w:jc w:val="center"/>
                    <w:rPr>
                      <w:szCs w:val="21"/>
                    </w:rPr>
                  </w:pPr>
                </w:p>
              </w:tc>
              <w:tc>
                <w:tcPr>
                  <w:tcW w:w="740" w:type="pct"/>
                  <w:tcBorders>
                    <w:tl2br w:val="nil"/>
                    <w:tr2bl w:val="nil"/>
                  </w:tcBorders>
                  <w:vAlign w:val="center"/>
                </w:tcPr>
                <w:p w14:paraId="2A9F7ADC">
                  <w:pPr>
                    <w:jc w:val="center"/>
                    <w:rPr>
                      <w:kern w:val="0"/>
                      <w:szCs w:val="21"/>
                    </w:rPr>
                  </w:pPr>
                  <w:r>
                    <w:rPr>
                      <w:kern w:val="0"/>
                      <w:szCs w:val="21"/>
                    </w:rPr>
                    <w:t>废丝回收</w:t>
                  </w:r>
                </w:p>
              </w:tc>
              <w:tc>
                <w:tcPr>
                  <w:tcW w:w="862" w:type="pct"/>
                  <w:tcBorders>
                    <w:tl2br w:val="nil"/>
                    <w:tr2bl w:val="nil"/>
                  </w:tcBorders>
                  <w:vAlign w:val="center"/>
                </w:tcPr>
                <w:p w14:paraId="433907AA">
                  <w:pPr>
                    <w:jc w:val="center"/>
                    <w:rPr>
                      <w:szCs w:val="21"/>
                    </w:rPr>
                  </w:pPr>
                  <w:r>
                    <w:rPr>
                      <w:szCs w:val="21"/>
                    </w:rPr>
                    <w:t>S10</w:t>
                  </w:r>
                </w:p>
              </w:tc>
              <w:tc>
                <w:tcPr>
                  <w:tcW w:w="827" w:type="pct"/>
                  <w:tcBorders>
                    <w:tl2br w:val="nil"/>
                    <w:tr2bl w:val="nil"/>
                  </w:tcBorders>
                  <w:vAlign w:val="center"/>
                </w:tcPr>
                <w:p w14:paraId="7DE7D201">
                  <w:pPr>
                    <w:jc w:val="center"/>
                    <w:rPr>
                      <w:kern w:val="0"/>
                      <w:szCs w:val="21"/>
                    </w:rPr>
                  </w:pPr>
                  <w:r>
                    <w:rPr>
                      <w:kern w:val="0"/>
                      <w:szCs w:val="21"/>
                    </w:rPr>
                    <w:t>摩擦料</w:t>
                  </w:r>
                </w:p>
              </w:tc>
              <w:tc>
                <w:tcPr>
                  <w:tcW w:w="2184" w:type="pct"/>
                  <w:gridSpan w:val="2"/>
                  <w:tcBorders>
                    <w:tl2br w:val="nil"/>
                    <w:tr2bl w:val="nil"/>
                  </w:tcBorders>
                  <w:vAlign w:val="center"/>
                </w:tcPr>
                <w:p w14:paraId="41707AFB">
                  <w:pPr>
                    <w:jc w:val="center"/>
                    <w:rPr>
                      <w:szCs w:val="21"/>
                    </w:rPr>
                  </w:pPr>
                  <w:r>
                    <w:rPr>
                      <w:szCs w:val="21"/>
                    </w:rPr>
                    <w:t>外售综合利用</w:t>
                  </w:r>
                </w:p>
              </w:tc>
            </w:tr>
            <w:tr w14:paraId="56DB56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386" w:type="pct"/>
                  <w:vMerge w:val="continue"/>
                  <w:tcBorders>
                    <w:tl2br w:val="nil"/>
                    <w:tr2bl w:val="nil"/>
                  </w:tcBorders>
                  <w:vAlign w:val="center"/>
                </w:tcPr>
                <w:p w14:paraId="38BD594B">
                  <w:pPr>
                    <w:jc w:val="center"/>
                    <w:rPr>
                      <w:szCs w:val="21"/>
                    </w:rPr>
                  </w:pPr>
                </w:p>
              </w:tc>
              <w:tc>
                <w:tcPr>
                  <w:tcW w:w="740" w:type="pct"/>
                  <w:tcBorders>
                    <w:tl2br w:val="nil"/>
                    <w:tr2bl w:val="nil"/>
                  </w:tcBorders>
                  <w:vAlign w:val="center"/>
                </w:tcPr>
                <w:p w14:paraId="53176D0F">
                  <w:pPr>
                    <w:jc w:val="center"/>
                    <w:rPr>
                      <w:kern w:val="0"/>
                      <w:szCs w:val="21"/>
                    </w:rPr>
                  </w:pPr>
                  <w:r>
                    <w:rPr>
                      <w:rFonts w:eastAsiaTheme="majorEastAsia"/>
                      <w:kern w:val="0"/>
                      <w:szCs w:val="21"/>
                    </w:rPr>
                    <w:t>油泥</w:t>
                  </w:r>
                </w:p>
              </w:tc>
              <w:tc>
                <w:tcPr>
                  <w:tcW w:w="862" w:type="pct"/>
                  <w:tcBorders>
                    <w:tl2br w:val="nil"/>
                    <w:tr2bl w:val="nil"/>
                  </w:tcBorders>
                  <w:vAlign w:val="center"/>
                </w:tcPr>
                <w:p w14:paraId="44BFB7FC">
                  <w:pPr>
                    <w:jc w:val="center"/>
                    <w:rPr>
                      <w:szCs w:val="21"/>
                    </w:rPr>
                  </w:pPr>
                  <w:r>
                    <w:rPr>
                      <w:rFonts w:eastAsiaTheme="majorEastAsia"/>
                      <w:kern w:val="0"/>
                      <w:szCs w:val="21"/>
                    </w:rPr>
                    <w:t>S11</w:t>
                  </w:r>
                </w:p>
              </w:tc>
              <w:tc>
                <w:tcPr>
                  <w:tcW w:w="827" w:type="pct"/>
                  <w:tcBorders>
                    <w:tl2br w:val="nil"/>
                    <w:tr2bl w:val="nil"/>
                  </w:tcBorders>
                  <w:vAlign w:val="center"/>
                </w:tcPr>
                <w:p w14:paraId="0A0208BB">
                  <w:pPr>
                    <w:jc w:val="center"/>
                    <w:rPr>
                      <w:kern w:val="0"/>
                      <w:szCs w:val="21"/>
                    </w:rPr>
                  </w:pPr>
                  <w:r>
                    <w:rPr>
                      <w:kern w:val="0"/>
                      <w:szCs w:val="21"/>
                    </w:rPr>
                    <w:t>油泥</w:t>
                  </w:r>
                </w:p>
              </w:tc>
              <w:tc>
                <w:tcPr>
                  <w:tcW w:w="2184" w:type="pct"/>
                  <w:gridSpan w:val="2"/>
                  <w:tcBorders>
                    <w:tl2br w:val="nil"/>
                    <w:tr2bl w:val="nil"/>
                  </w:tcBorders>
                  <w:vAlign w:val="center"/>
                </w:tcPr>
                <w:p w14:paraId="0B159AAB">
                  <w:pPr>
                    <w:jc w:val="center"/>
                    <w:rPr>
                      <w:szCs w:val="21"/>
                    </w:rPr>
                  </w:pPr>
                  <w:r>
                    <w:rPr>
                      <w:szCs w:val="21"/>
                    </w:rPr>
                    <w:t>委托有资质单位妥善处置</w:t>
                  </w:r>
                </w:p>
              </w:tc>
            </w:tr>
            <w:tr w14:paraId="0F98E7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386" w:type="pct"/>
                  <w:vMerge w:val="continue"/>
                  <w:tcBorders>
                    <w:tl2br w:val="nil"/>
                    <w:tr2bl w:val="nil"/>
                  </w:tcBorders>
                  <w:vAlign w:val="center"/>
                </w:tcPr>
                <w:p w14:paraId="4FAD1AE1">
                  <w:pPr>
                    <w:jc w:val="center"/>
                    <w:rPr>
                      <w:szCs w:val="21"/>
                    </w:rPr>
                  </w:pPr>
                </w:p>
              </w:tc>
              <w:tc>
                <w:tcPr>
                  <w:tcW w:w="740" w:type="pct"/>
                  <w:tcBorders>
                    <w:tl2br w:val="nil"/>
                    <w:tr2bl w:val="nil"/>
                  </w:tcBorders>
                  <w:vAlign w:val="center"/>
                </w:tcPr>
                <w:p w14:paraId="3EED0B12">
                  <w:pPr>
                    <w:jc w:val="center"/>
                    <w:rPr>
                      <w:kern w:val="0"/>
                      <w:szCs w:val="21"/>
                    </w:rPr>
                  </w:pPr>
                  <w:r>
                    <w:rPr>
                      <w:rFonts w:eastAsiaTheme="majorEastAsia"/>
                      <w:kern w:val="0"/>
                      <w:szCs w:val="21"/>
                    </w:rPr>
                    <w:t>废布袋</w:t>
                  </w:r>
                </w:p>
              </w:tc>
              <w:tc>
                <w:tcPr>
                  <w:tcW w:w="862" w:type="pct"/>
                  <w:tcBorders>
                    <w:tl2br w:val="nil"/>
                    <w:tr2bl w:val="nil"/>
                  </w:tcBorders>
                  <w:vAlign w:val="center"/>
                </w:tcPr>
                <w:p w14:paraId="26CE8982">
                  <w:pPr>
                    <w:jc w:val="center"/>
                    <w:rPr>
                      <w:szCs w:val="21"/>
                    </w:rPr>
                  </w:pPr>
                  <w:r>
                    <w:rPr>
                      <w:rFonts w:eastAsiaTheme="majorEastAsia"/>
                      <w:kern w:val="0"/>
                      <w:szCs w:val="21"/>
                    </w:rPr>
                    <w:t>S12</w:t>
                  </w:r>
                </w:p>
              </w:tc>
              <w:tc>
                <w:tcPr>
                  <w:tcW w:w="827" w:type="pct"/>
                  <w:tcBorders>
                    <w:tl2br w:val="nil"/>
                    <w:tr2bl w:val="nil"/>
                  </w:tcBorders>
                  <w:vAlign w:val="center"/>
                </w:tcPr>
                <w:p w14:paraId="5C7DFD24">
                  <w:pPr>
                    <w:jc w:val="center"/>
                    <w:rPr>
                      <w:kern w:val="0"/>
                      <w:szCs w:val="21"/>
                    </w:rPr>
                  </w:pPr>
                  <w:r>
                    <w:rPr>
                      <w:kern w:val="0"/>
                      <w:szCs w:val="21"/>
                    </w:rPr>
                    <w:t>废布袋</w:t>
                  </w:r>
                </w:p>
              </w:tc>
              <w:tc>
                <w:tcPr>
                  <w:tcW w:w="2184" w:type="pct"/>
                  <w:gridSpan w:val="2"/>
                  <w:tcBorders>
                    <w:tl2br w:val="nil"/>
                    <w:tr2bl w:val="nil"/>
                  </w:tcBorders>
                  <w:vAlign w:val="center"/>
                </w:tcPr>
                <w:p w14:paraId="686541C4">
                  <w:pPr>
                    <w:jc w:val="center"/>
                    <w:rPr>
                      <w:szCs w:val="21"/>
                    </w:rPr>
                  </w:pPr>
                  <w:r>
                    <w:rPr>
                      <w:szCs w:val="21"/>
                    </w:rPr>
                    <w:t>外售综合利用</w:t>
                  </w:r>
                </w:p>
              </w:tc>
            </w:tr>
          </w:tbl>
          <w:p w14:paraId="2D8D7048">
            <w:pPr>
              <w:pStyle w:val="77"/>
              <w:jc w:val="both"/>
              <w:rPr>
                <w:sz w:val="21"/>
                <w:szCs w:val="21"/>
              </w:rPr>
            </w:pPr>
          </w:p>
        </w:tc>
      </w:tr>
      <w:tr w14:paraId="560FA7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215" w:type="pct"/>
            <w:tcBorders>
              <w:top w:val="single" w:color="auto" w:sz="4" w:space="0"/>
              <w:bottom w:val="single" w:color="auto" w:sz="4" w:space="0"/>
            </w:tcBorders>
            <w:vAlign w:val="center"/>
          </w:tcPr>
          <w:p w14:paraId="4CB77F2E">
            <w:pPr>
              <w:pStyle w:val="42"/>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2"/>
                <w:sz w:val="21"/>
                <w:szCs w:val="21"/>
              </w:rPr>
              <w:t>与项目有关的原有环境污染问题</w:t>
            </w:r>
          </w:p>
        </w:tc>
        <w:tc>
          <w:tcPr>
            <w:tcW w:w="4785" w:type="pct"/>
            <w:tcBorders>
              <w:top w:val="single" w:color="auto" w:sz="4" w:space="0"/>
              <w:bottom w:val="single" w:color="auto" w:sz="4" w:space="0"/>
            </w:tcBorders>
          </w:tcPr>
          <w:p w14:paraId="21C77BCE">
            <w:pPr>
              <w:pStyle w:val="22"/>
              <w:spacing w:line="360" w:lineRule="auto"/>
              <w:ind w:firstLine="440"/>
              <w:rPr>
                <w:b/>
                <w:szCs w:val="24"/>
              </w:rPr>
            </w:pPr>
            <w:r>
              <w:rPr>
                <w:bCs/>
              </w:rPr>
              <w:t>1</w:t>
            </w:r>
            <w:r>
              <w:rPr>
                <w:b/>
                <w:szCs w:val="24"/>
              </w:rPr>
              <w:t>、现有环保手续履行情况</w:t>
            </w:r>
          </w:p>
          <w:p w14:paraId="7CE550E5">
            <w:pPr>
              <w:pStyle w:val="22"/>
              <w:spacing w:line="360" w:lineRule="auto"/>
              <w:ind w:firstLine="480" w:firstLineChars="200"/>
              <w:jc w:val="both"/>
              <w:rPr>
                <w:bCs/>
                <w:szCs w:val="24"/>
              </w:rPr>
            </w:pPr>
            <w:r>
              <w:t>国望高科纤维(宿迁)有限公司</w:t>
            </w:r>
            <w:r>
              <w:rPr>
                <w:bCs/>
                <w:szCs w:val="24"/>
              </w:rPr>
              <w:t>现有项目建设情况及环保手续履行情况见下表</w:t>
            </w:r>
            <w:r>
              <w:rPr>
                <w:rFonts w:hint="eastAsia"/>
                <w:bCs/>
                <w:szCs w:val="24"/>
              </w:rPr>
              <w:t>2-15</w:t>
            </w:r>
            <w:r>
              <w:rPr>
                <w:bCs/>
                <w:szCs w:val="24"/>
              </w:rPr>
              <w:t>。</w:t>
            </w:r>
            <w:r>
              <w:t>具体现有项目主体工程、公辅工程、环保工程批复、验收情况一览表见表2-1</w:t>
            </w:r>
            <w:r>
              <w:rPr>
                <w:rFonts w:hint="eastAsia"/>
              </w:rPr>
              <w:t>6</w:t>
            </w:r>
            <w:r>
              <w:t>。</w:t>
            </w:r>
          </w:p>
          <w:p w14:paraId="045D50D7">
            <w:pPr>
              <w:pStyle w:val="22"/>
              <w:ind w:firstLine="440"/>
              <w:jc w:val="center"/>
              <w:rPr>
                <w:b/>
                <w:szCs w:val="24"/>
              </w:rPr>
            </w:pPr>
            <w:r>
              <w:rPr>
                <w:b/>
                <w:szCs w:val="24"/>
              </w:rPr>
              <w:t>表2-1</w:t>
            </w:r>
            <w:r>
              <w:rPr>
                <w:rFonts w:hint="eastAsia"/>
                <w:b/>
                <w:szCs w:val="24"/>
              </w:rPr>
              <w:t>5</w:t>
            </w:r>
            <w:r>
              <w:rPr>
                <w:b/>
                <w:szCs w:val="24"/>
              </w:rPr>
              <w:t xml:space="preserve"> 现有项目环保手续履行情况一览表</w:t>
            </w:r>
          </w:p>
          <w:tbl>
            <w:tblPr>
              <w:tblStyle w:val="4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86"/>
              <w:gridCol w:w="1682"/>
              <w:gridCol w:w="973"/>
              <w:gridCol w:w="1330"/>
              <w:gridCol w:w="885"/>
              <w:gridCol w:w="1270"/>
            </w:tblGrid>
            <w:tr w14:paraId="5FF537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7" w:type="pct"/>
                  <w:vMerge w:val="restart"/>
                  <w:vAlign w:val="center"/>
                </w:tcPr>
                <w:p w14:paraId="0AF2EE19">
                  <w:pPr>
                    <w:pStyle w:val="2"/>
                    <w:spacing w:before="0" w:after="0" w:line="240" w:lineRule="auto"/>
                    <w:ind w:right="0"/>
                    <w:jc w:val="center"/>
                    <w:rPr>
                      <w:b/>
                      <w:bCs/>
                      <w:sz w:val="21"/>
                      <w:szCs w:val="16"/>
                    </w:rPr>
                  </w:pPr>
                  <w:r>
                    <w:rPr>
                      <w:b/>
                      <w:bCs/>
                      <w:sz w:val="21"/>
                      <w:szCs w:val="16"/>
                    </w:rPr>
                    <w:t>项目名称</w:t>
                  </w:r>
                </w:p>
              </w:tc>
              <w:tc>
                <w:tcPr>
                  <w:tcW w:w="1675" w:type="pct"/>
                  <w:gridSpan w:val="2"/>
                  <w:vAlign w:val="center"/>
                </w:tcPr>
                <w:p w14:paraId="24A4EC15">
                  <w:pPr>
                    <w:pStyle w:val="2"/>
                    <w:spacing w:before="0" w:after="0" w:line="240" w:lineRule="auto"/>
                    <w:ind w:right="0"/>
                    <w:jc w:val="center"/>
                    <w:rPr>
                      <w:b/>
                      <w:bCs/>
                      <w:sz w:val="21"/>
                      <w:szCs w:val="16"/>
                    </w:rPr>
                  </w:pPr>
                  <w:r>
                    <w:rPr>
                      <w:b/>
                      <w:bCs/>
                      <w:sz w:val="21"/>
                      <w:szCs w:val="16"/>
                    </w:rPr>
                    <w:t>批复情况</w:t>
                  </w:r>
                </w:p>
              </w:tc>
              <w:tc>
                <w:tcPr>
                  <w:tcW w:w="1397" w:type="pct"/>
                  <w:gridSpan w:val="2"/>
                  <w:vMerge w:val="restart"/>
                  <w:vAlign w:val="center"/>
                </w:tcPr>
                <w:p w14:paraId="6601A18A">
                  <w:pPr>
                    <w:pStyle w:val="2"/>
                    <w:spacing w:before="0" w:after="0" w:line="240" w:lineRule="auto"/>
                    <w:ind w:right="0"/>
                    <w:jc w:val="center"/>
                    <w:rPr>
                      <w:b/>
                      <w:bCs/>
                      <w:sz w:val="21"/>
                      <w:szCs w:val="16"/>
                    </w:rPr>
                  </w:pPr>
                  <w:r>
                    <w:rPr>
                      <w:b/>
                      <w:bCs/>
                      <w:sz w:val="21"/>
                      <w:szCs w:val="16"/>
                    </w:rPr>
                    <w:t>环保验收公示时间</w:t>
                  </w:r>
                </w:p>
              </w:tc>
              <w:tc>
                <w:tcPr>
                  <w:tcW w:w="801" w:type="pct"/>
                  <w:vMerge w:val="restart"/>
                  <w:vAlign w:val="center"/>
                </w:tcPr>
                <w:p w14:paraId="679F2903">
                  <w:pPr>
                    <w:pStyle w:val="2"/>
                    <w:spacing w:before="0" w:after="0" w:line="240" w:lineRule="auto"/>
                    <w:ind w:right="0"/>
                    <w:jc w:val="center"/>
                    <w:rPr>
                      <w:b/>
                      <w:bCs/>
                      <w:sz w:val="21"/>
                      <w:szCs w:val="16"/>
                    </w:rPr>
                  </w:pPr>
                  <w:r>
                    <w:rPr>
                      <w:b/>
                      <w:bCs/>
                      <w:sz w:val="21"/>
                      <w:szCs w:val="16"/>
                    </w:rPr>
                    <w:t>生产现状</w:t>
                  </w:r>
                </w:p>
              </w:tc>
            </w:tr>
            <w:tr w14:paraId="527854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7" w:type="pct"/>
                  <w:vMerge w:val="continue"/>
                  <w:vAlign w:val="center"/>
                </w:tcPr>
                <w:p w14:paraId="5D6F3EC9">
                  <w:pPr>
                    <w:pStyle w:val="2"/>
                    <w:spacing w:before="0" w:after="0" w:line="240" w:lineRule="auto"/>
                    <w:ind w:right="0"/>
                    <w:jc w:val="center"/>
                    <w:rPr>
                      <w:sz w:val="21"/>
                      <w:szCs w:val="16"/>
                    </w:rPr>
                  </w:pPr>
                </w:p>
              </w:tc>
              <w:tc>
                <w:tcPr>
                  <w:tcW w:w="1061" w:type="pct"/>
                  <w:vAlign w:val="center"/>
                </w:tcPr>
                <w:p w14:paraId="0FC88DFF">
                  <w:pPr>
                    <w:pStyle w:val="2"/>
                    <w:spacing w:before="0" w:after="0" w:line="240" w:lineRule="auto"/>
                    <w:ind w:right="0"/>
                    <w:jc w:val="center"/>
                    <w:rPr>
                      <w:b/>
                      <w:bCs/>
                      <w:sz w:val="21"/>
                      <w:szCs w:val="16"/>
                    </w:rPr>
                  </w:pPr>
                  <w:r>
                    <w:rPr>
                      <w:b/>
                      <w:bCs/>
                      <w:sz w:val="21"/>
                      <w:szCs w:val="16"/>
                    </w:rPr>
                    <w:t>文号</w:t>
                  </w:r>
                </w:p>
              </w:tc>
              <w:tc>
                <w:tcPr>
                  <w:tcW w:w="614" w:type="pct"/>
                  <w:vAlign w:val="center"/>
                </w:tcPr>
                <w:p w14:paraId="1BFC3579">
                  <w:pPr>
                    <w:pStyle w:val="2"/>
                    <w:spacing w:before="0" w:after="0" w:line="240" w:lineRule="auto"/>
                    <w:ind w:right="0"/>
                    <w:jc w:val="center"/>
                    <w:rPr>
                      <w:b/>
                      <w:bCs/>
                      <w:sz w:val="21"/>
                      <w:szCs w:val="16"/>
                    </w:rPr>
                  </w:pPr>
                  <w:r>
                    <w:rPr>
                      <w:b/>
                      <w:bCs/>
                      <w:sz w:val="21"/>
                      <w:szCs w:val="16"/>
                    </w:rPr>
                    <w:t>时间</w:t>
                  </w:r>
                </w:p>
              </w:tc>
              <w:tc>
                <w:tcPr>
                  <w:tcW w:w="1397" w:type="pct"/>
                  <w:gridSpan w:val="2"/>
                  <w:vMerge w:val="continue"/>
                  <w:vAlign w:val="center"/>
                </w:tcPr>
                <w:p w14:paraId="359C2186">
                  <w:pPr>
                    <w:pStyle w:val="2"/>
                    <w:spacing w:before="0" w:after="0" w:line="240" w:lineRule="auto"/>
                    <w:ind w:right="0"/>
                    <w:jc w:val="center"/>
                    <w:rPr>
                      <w:sz w:val="21"/>
                      <w:szCs w:val="16"/>
                    </w:rPr>
                  </w:pPr>
                </w:p>
              </w:tc>
              <w:tc>
                <w:tcPr>
                  <w:tcW w:w="801" w:type="pct"/>
                  <w:vMerge w:val="continue"/>
                  <w:vAlign w:val="center"/>
                </w:tcPr>
                <w:p w14:paraId="41BEDEDB">
                  <w:pPr>
                    <w:pStyle w:val="2"/>
                    <w:spacing w:before="0" w:after="0" w:line="240" w:lineRule="auto"/>
                    <w:ind w:right="0"/>
                    <w:jc w:val="center"/>
                    <w:rPr>
                      <w:sz w:val="21"/>
                      <w:szCs w:val="16"/>
                    </w:rPr>
                  </w:pPr>
                </w:p>
              </w:tc>
            </w:tr>
            <w:tr w14:paraId="4EB14E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7" w:type="pct"/>
                  <w:vAlign w:val="center"/>
                </w:tcPr>
                <w:p w14:paraId="6D5BC1C6">
                  <w:pPr>
                    <w:pStyle w:val="2"/>
                    <w:spacing w:before="0" w:after="0" w:line="240" w:lineRule="auto"/>
                    <w:ind w:right="0"/>
                    <w:jc w:val="center"/>
                    <w:rPr>
                      <w:sz w:val="21"/>
                      <w:szCs w:val="16"/>
                    </w:rPr>
                  </w:pPr>
                  <w:r>
                    <w:rPr>
                      <w:sz w:val="21"/>
                      <w:szCs w:val="16"/>
                    </w:rPr>
                    <w:t>年产300万吨智能化、超仿真功能性纤维项目</w:t>
                  </w:r>
                </w:p>
              </w:tc>
              <w:tc>
                <w:tcPr>
                  <w:tcW w:w="1061" w:type="pct"/>
                  <w:vAlign w:val="center"/>
                </w:tcPr>
                <w:p w14:paraId="7425CAED">
                  <w:pPr>
                    <w:pStyle w:val="2"/>
                    <w:spacing w:before="0" w:after="0" w:line="240" w:lineRule="auto"/>
                    <w:ind w:right="0"/>
                    <w:jc w:val="center"/>
                    <w:rPr>
                      <w:sz w:val="21"/>
                      <w:szCs w:val="16"/>
                    </w:rPr>
                  </w:pPr>
                  <w:r>
                    <w:rPr>
                      <w:sz w:val="21"/>
                      <w:szCs w:val="16"/>
                    </w:rPr>
                    <w:t>宿环建管〔2021〕2005号</w:t>
                  </w:r>
                </w:p>
              </w:tc>
              <w:tc>
                <w:tcPr>
                  <w:tcW w:w="614" w:type="pct"/>
                  <w:vAlign w:val="center"/>
                </w:tcPr>
                <w:p w14:paraId="68E6EBFE">
                  <w:pPr>
                    <w:pStyle w:val="2"/>
                    <w:spacing w:before="0" w:after="0" w:line="240" w:lineRule="auto"/>
                    <w:ind w:right="0"/>
                    <w:jc w:val="center"/>
                    <w:rPr>
                      <w:sz w:val="21"/>
                      <w:szCs w:val="16"/>
                    </w:rPr>
                  </w:pPr>
                  <w:r>
                    <w:rPr>
                      <w:sz w:val="21"/>
                      <w:szCs w:val="16"/>
                    </w:rPr>
                    <w:t>2021.05</w:t>
                  </w:r>
                </w:p>
              </w:tc>
              <w:tc>
                <w:tcPr>
                  <w:tcW w:w="839" w:type="pct"/>
                  <w:vAlign w:val="center"/>
                </w:tcPr>
                <w:p w14:paraId="7DF85FE3">
                  <w:pPr>
                    <w:pStyle w:val="2"/>
                    <w:spacing w:before="0" w:after="0" w:line="240" w:lineRule="auto"/>
                    <w:ind w:right="0"/>
                    <w:jc w:val="center"/>
                    <w:rPr>
                      <w:sz w:val="21"/>
                      <w:szCs w:val="16"/>
                    </w:rPr>
                  </w:pPr>
                  <w:r>
                    <w:rPr>
                      <w:rFonts w:hint="eastAsia"/>
                      <w:sz w:val="21"/>
                      <w:szCs w:val="16"/>
                    </w:rPr>
                    <w:t>完成</w:t>
                  </w:r>
                  <w:r>
                    <w:rPr>
                      <w:sz w:val="21"/>
                      <w:szCs w:val="16"/>
                    </w:rPr>
                    <w:t>一阶段</w:t>
                  </w:r>
                  <w:r>
                    <w:rPr>
                      <w:rFonts w:hint="eastAsia"/>
                      <w:sz w:val="21"/>
                      <w:szCs w:val="16"/>
                    </w:rPr>
                    <w:t>验收</w:t>
                  </w:r>
                </w:p>
              </w:tc>
              <w:tc>
                <w:tcPr>
                  <w:tcW w:w="558" w:type="pct"/>
                  <w:vAlign w:val="center"/>
                </w:tcPr>
                <w:p w14:paraId="3C8387E4">
                  <w:pPr>
                    <w:pStyle w:val="2"/>
                    <w:spacing w:before="0" w:after="0" w:line="240" w:lineRule="auto"/>
                    <w:ind w:right="0"/>
                    <w:jc w:val="center"/>
                    <w:rPr>
                      <w:sz w:val="21"/>
                      <w:szCs w:val="16"/>
                    </w:rPr>
                  </w:pPr>
                  <w:r>
                    <w:rPr>
                      <w:sz w:val="21"/>
                      <w:szCs w:val="16"/>
                    </w:rPr>
                    <w:t>2024.3</w:t>
                  </w:r>
                </w:p>
              </w:tc>
              <w:tc>
                <w:tcPr>
                  <w:tcW w:w="801" w:type="pct"/>
                  <w:vAlign w:val="center"/>
                </w:tcPr>
                <w:p w14:paraId="1D011C8F">
                  <w:pPr>
                    <w:pStyle w:val="2"/>
                    <w:spacing w:before="0" w:after="0" w:line="240" w:lineRule="auto"/>
                    <w:ind w:right="0"/>
                    <w:jc w:val="center"/>
                    <w:rPr>
                      <w:sz w:val="21"/>
                      <w:szCs w:val="16"/>
                    </w:rPr>
                  </w:pPr>
                  <w:r>
                    <w:rPr>
                      <w:sz w:val="21"/>
                      <w:szCs w:val="16"/>
                    </w:rPr>
                    <w:t>正常运行</w:t>
                  </w:r>
                </w:p>
              </w:tc>
            </w:tr>
            <w:tr w14:paraId="1FDB38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7" w:type="pct"/>
                  <w:vAlign w:val="center"/>
                </w:tcPr>
                <w:p w14:paraId="418FE779">
                  <w:pPr>
                    <w:pStyle w:val="2"/>
                    <w:spacing w:before="0" w:after="0" w:line="240" w:lineRule="auto"/>
                    <w:ind w:right="0"/>
                    <w:jc w:val="center"/>
                    <w:rPr>
                      <w:sz w:val="21"/>
                      <w:szCs w:val="16"/>
                    </w:rPr>
                  </w:pPr>
                  <w:r>
                    <w:rPr>
                      <w:sz w:val="21"/>
                      <w:szCs w:val="16"/>
                    </w:rPr>
                    <w:t>宿迁港泗阳港区国望高科码头工程</w:t>
                  </w:r>
                </w:p>
              </w:tc>
              <w:tc>
                <w:tcPr>
                  <w:tcW w:w="1061" w:type="pct"/>
                  <w:vAlign w:val="center"/>
                </w:tcPr>
                <w:p w14:paraId="48AFF435">
                  <w:pPr>
                    <w:pStyle w:val="2"/>
                    <w:spacing w:before="0" w:after="0" w:line="240" w:lineRule="auto"/>
                    <w:ind w:right="0"/>
                    <w:jc w:val="center"/>
                    <w:rPr>
                      <w:sz w:val="21"/>
                      <w:szCs w:val="16"/>
                    </w:rPr>
                  </w:pPr>
                  <w:r>
                    <w:rPr>
                      <w:sz w:val="21"/>
                      <w:szCs w:val="16"/>
                    </w:rPr>
                    <w:t>宿环建管〔2021〕2022号</w:t>
                  </w:r>
                </w:p>
              </w:tc>
              <w:tc>
                <w:tcPr>
                  <w:tcW w:w="614" w:type="pct"/>
                  <w:vAlign w:val="center"/>
                </w:tcPr>
                <w:p w14:paraId="21387AA2">
                  <w:pPr>
                    <w:pStyle w:val="2"/>
                    <w:spacing w:before="0" w:after="0" w:line="240" w:lineRule="auto"/>
                    <w:ind w:right="0"/>
                    <w:jc w:val="center"/>
                    <w:rPr>
                      <w:sz w:val="21"/>
                      <w:szCs w:val="16"/>
                    </w:rPr>
                  </w:pPr>
                  <w:r>
                    <w:rPr>
                      <w:sz w:val="21"/>
                      <w:szCs w:val="16"/>
                    </w:rPr>
                    <w:t>2021.12</w:t>
                  </w:r>
                </w:p>
              </w:tc>
              <w:tc>
                <w:tcPr>
                  <w:tcW w:w="839" w:type="pct"/>
                  <w:vAlign w:val="center"/>
                </w:tcPr>
                <w:p w14:paraId="0EC5697A">
                  <w:pPr>
                    <w:pStyle w:val="2"/>
                    <w:spacing w:before="0" w:after="0" w:line="240" w:lineRule="auto"/>
                    <w:ind w:right="0"/>
                    <w:jc w:val="center"/>
                    <w:rPr>
                      <w:sz w:val="21"/>
                      <w:szCs w:val="16"/>
                    </w:rPr>
                  </w:pPr>
                  <w:r>
                    <w:rPr>
                      <w:rFonts w:hint="eastAsia"/>
                      <w:sz w:val="21"/>
                      <w:szCs w:val="16"/>
                    </w:rPr>
                    <w:t>完成</w:t>
                  </w:r>
                  <w:r>
                    <w:rPr>
                      <w:sz w:val="21"/>
                      <w:szCs w:val="16"/>
                    </w:rPr>
                    <w:t>一阶段</w:t>
                  </w:r>
                  <w:r>
                    <w:rPr>
                      <w:rFonts w:hint="eastAsia"/>
                      <w:sz w:val="21"/>
                      <w:szCs w:val="16"/>
                    </w:rPr>
                    <w:t>验收</w:t>
                  </w:r>
                </w:p>
              </w:tc>
              <w:tc>
                <w:tcPr>
                  <w:tcW w:w="558" w:type="pct"/>
                  <w:vAlign w:val="center"/>
                </w:tcPr>
                <w:p w14:paraId="466C31E1">
                  <w:pPr>
                    <w:pStyle w:val="2"/>
                    <w:spacing w:before="0" w:after="0" w:line="240" w:lineRule="auto"/>
                    <w:ind w:right="0"/>
                    <w:jc w:val="center"/>
                    <w:rPr>
                      <w:sz w:val="21"/>
                      <w:szCs w:val="16"/>
                    </w:rPr>
                  </w:pPr>
                  <w:r>
                    <w:rPr>
                      <w:sz w:val="21"/>
                      <w:szCs w:val="16"/>
                    </w:rPr>
                    <w:t>2023.9</w:t>
                  </w:r>
                </w:p>
              </w:tc>
              <w:tc>
                <w:tcPr>
                  <w:tcW w:w="801" w:type="pct"/>
                  <w:vAlign w:val="center"/>
                </w:tcPr>
                <w:p w14:paraId="3FC2664C">
                  <w:pPr>
                    <w:pStyle w:val="2"/>
                    <w:spacing w:before="0" w:after="0" w:line="240" w:lineRule="auto"/>
                    <w:ind w:right="0"/>
                    <w:jc w:val="center"/>
                    <w:rPr>
                      <w:sz w:val="21"/>
                      <w:szCs w:val="16"/>
                    </w:rPr>
                  </w:pPr>
                  <w:r>
                    <w:rPr>
                      <w:sz w:val="21"/>
                      <w:szCs w:val="16"/>
                    </w:rPr>
                    <w:t>正常运行</w:t>
                  </w:r>
                </w:p>
              </w:tc>
            </w:tr>
            <w:tr w14:paraId="78B947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127" w:type="pct"/>
                  <w:vAlign w:val="center"/>
                </w:tcPr>
                <w:p w14:paraId="18FC87C8">
                  <w:pPr>
                    <w:pStyle w:val="2"/>
                    <w:spacing w:before="0" w:after="0" w:line="240" w:lineRule="auto"/>
                    <w:ind w:right="0"/>
                    <w:jc w:val="center"/>
                    <w:rPr>
                      <w:sz w:val="21"/>
                      <w:szCs w:val="16"/>
                    </w:rPr>
                  </w:pPr>
                  <w:r>
                    <w:rPr>
                      <w:sz w:val="21"/>
                      <w:szCs w:val="16"/>
                    </w:rPr>
                    <w:t>PET酯化废水预处理项目</w:t>
                  </w:r>
                </w:p>
              </w:tc>
              <w:tc>
                <w:tcPr>
                  <w:tcW w:w="1061" w:type="pct"/>
                  <w:vAlign w:val="center"/>
                </w:tcPr>
                <w:p w14:paraId="2AF1CB11">
                  <w:pPr>
                    <w:pStyle w:val="2"/>
                    <w:spacing w:before="0" w:after="0" w:line="240" w:lineRule="auto"/>
                    <w:ind w:right="0"/>
                    <w:jc w:val="center"/>
                    <w:rPr>
                      <w:sz w:val="21"/>
                      <w:szCs w:val="16"/>
                    </w:rPr>
                  </w:pPr>
                  <w:r>
                    <w:rPr>
                      <w:sz w:val="21"/>
                      <w:szCs w:val="16"/>
                    </w:rPr>
                    <w:t>宿环建管表〔2022〕20096号</w:t>
                  </w:r>
                </w:p>
              </w:tc>
              <w:tc>
                <w:tcPr>
                  <w:tcW w:w="614" w:type="pct"/>
                  <w:vAlign w:val="center"/>
                </w:tcPr>
                <w:p w14:paraId="190802A0">
                  <w:pPr>
                    <w:pStyle w:val="2"/>
                    <w:spacing w:before="0" w:after="0" w:line="240" w:lineRule="auto"/>
                    <w:ind w:right="0"/>
                    <w:jc w:val="center"/>
                    <w:rPr>
                      <w:sz w:val="21"/>
                      <w:szCs w:val="16"/>
                    </w:rPr>
                  </w:pPr>
                  <w:r>
                    <w:rPr>
                      <w:sz w:val="21"/>
                      <w:szCs w:val="16"/>
                    </w:rPr>
                    <w:t>2022.10</w:t>
                  </w:r>
                </w:p>
              </w:tc>
              <w:tc>
                <w:tcPr>
                  <w:tcW w:w="1397" w:type="pct"/>
                  <w:gridSpan w:val="2"/>
                  <w:vAlign w:val="center"/>
                </w:tcPr>
                <w:p w14:paraId="6359777C">
                  <w:pPr>
                    <w:pStyle w:val="2"/>
                    <w:spacing w:before="0" w:after="0" w:line="240" w:lineRule="auto"/>
                    <w:ind w:right="0"/>
                    <w:jc w:val="center"/>
                    <w:rPr>
                      <w:sz w:val="21"/>
                      <w:szCs w:val="16"/>
                    </w:rPr>
                  </w:pPr>
                  <w:r>
                    <w:rPr>
                      <w:sz w:val="21"/>
                      <w:szCs w:val="16"/>
                    </w:rPr>
                    <w:t>2024.6</w:t>
                  </w:r>
                </w:p>
              </w:tc>
              <w:tc>
                <w:tcPr>
                  <w:tcW w:w="801" w:type="pct"/>
                  <w:vAlign w:val="center"/>
                </w:tcPr>
                <w:p w14:paraId="7A49B532">
                  <w:pPr>
                    <w:pStyle w:val="2"/>
                    <w:spacing w:before="0" w:after="0" w:line="240" w:lineRule="auto"/>
                    <w:ind w:right="0"/>
                    <w:jc w:val="center"/>
                    <w:rPr>
                      <w:sz w:val="21"/>
                      <w:szCs w:val="16"/>
                    </w:rPr>
                  </w:pPr>
                  <w:r>
                    <w:rPr>
                      <w:sz w:val="21"/>
                      <w:szCs w:val="16"/>
                    </w:rPr>
                    <w:t>正常运行</w:t>
                  </w:r>
                </w:p>
              </w:tc>
            </w:tr>
            <w:tr w14:paraId="027A93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127" w:type="pct"/>
                  <w:vAlign w:val="center"/>
                </w:tcPr>
                <w:p w14:paraId="76FCFCAB">
                  <w:pPr>
                    <w:pStyle w:val="2"/>
                    <w:spacing w:before="0" w:after="0" w:line="240" w:lineRule="auto"/>
                    <w:ind w:right="0"/>
                    <w:jc w:val="center"/>
                    <w:rPr>
                      <w:sz w:val="21"/>
                      <w:szCs w:val="16"/>
                    </w:rPr>
                  </w:pPr>
                  <w:r>
                    <w:rPr>
                      <w:sz w:val="21"/>
                      <w:szCs w:val="16"/>
                    </w:rPr>
                    <w:t>220千伏总降变新建工程</w:t>
                  </w:r>
                </w:p>
              </w:tc>
              <w:tc>
                <w:tcPr>
                  <w:tcW w:w="1061" w:type="pct"/>
                  <w:vAlign w:val="center"/>
                </w:tcPr>
                <w:p w14:paraId="62761398">
                  <w:pPr>
                    <w:pStyle w:val="2"/>
                    <w:spacing w:before="0" w:after="0" w:line="240" w:lineRule="auto"/>
                    <w:ind w:right="0"/>
                    <w:jc w:val="center"/>
                    <w:rPr>
                      <w:sz w:val="21"/>
                      <w:szCs w:val="16"/>
                    </w:rPr>
                  </w:pPr>
                  <w:r>
                    <w:rPr>
                      <w:sz w:val="21"/>
                      <w:szCs w:val="16"/>
                    </w:rPr>
                    <w:t>宿环辐〔2021〕16号</w:t>
                  </w:r>
                </w:p>
              </w:tc>
              <w:tc>
                <w:tcPr>
                  <w:tcW w:w="614" w:type="pct"/>
                  <w:vAlign w:val="center"/>
                </w:tcPr>
                <w:p w14:paraId="66DAA893">
                  <w:pPr>
                    <w:pStyle w:val="2"/>
                    <w:spacing w:before="0" w:after="0" w:line="240" w:lineRule="auto"/>
                    <w:ind w:right="0"/>
                    <w:jc w:val="center"/>
                    <w:rPr>
                      <w:sz w:val="21"/>
                      <w:szCs w:val="16"/>
                    </w:rPr>
                  </w:pPr>
                  <w:r>
                    <w:rPr>
                      <w:sz w:val="21"/>
                      <w:szCs w:val="16"/>
                    </w:rPr>
                    <w:t>2021.3</w:t>
                  </w:r>
                </w:p>
              </w:tc>
              <w:tc>
                <w:tcPr>
                  <w:tcW w:w="1397" w:type="pct"/>
                  <w:gridSpan w:val="2"/>
                  <w:vAlign w:val="center"/>
                </w:tcPr>
                <w:p w14:paraId="6D8200FE">
                  <w:pPr>
                    <w:pStyle w:val="2"/>
                    <w:spacing w:before="0" w:after="0" w:line="240" w:lineRule="auto"/>
                    <w:ind w:right="0"/>
                    <w:jc w:val="center"/>
                    <w:rPr>
                      <w:sz w:val="21"/>
                      <w:szCs w:val="16"/>
                    </w:rPr>
                  </w:pPr>
                  <w:r>
                    <w:rPr>
                      <w:sz w:val="21"/>
                      <w:szCs w:val="16"/>
                    </w:rPr>
                    <w:t>2021.12</w:t>
                  </w:r>
                </w:p>
              </w:tc>
              <w:tc>
                <w:tcPr>
                  <w:tcW w:w="801" w:type="pct"/>
                  <w:vAlign w:val="center"/>
                </w:tcPr>
                <w:p w14:paraId="2F6CF833">
                  <w:pPr>
                    <w:pStyle w:val="2"/>
                    <w:spacing w:before="0" w:after="0" w:line="240" w:lineRule="auto"/>
                    <w:ind w:right="0"/>
                    <w:jc w:val="center"/>
                    <w:rPr>
                      <w:sz w:val="21"/>
                      <w:szCs w:val="16"/>
                    </w:rPr>
                  </w:pPr>
                  <w:r>
                    <w:rPr>
                      <w:sz w:val="21"/>
                      <w:szCs w:val="16"/>
                    </w:rPr>
                    <w:t>正常运行</w:t>
                  </w:r>
                </w:p>
              </w:tc>
            </w:tr>
          </w:tbl>
          <w:p w14:paraId="3696E659">
            <w:pPr>
              <w:spacing w:line="500" w:lineRule="exact"/>
              <w:rPr>
                <w:b/>
                <w:bCs/>
                <w:sz w:val="24"/>
                <w:szCs w:val="22"/>
              </w:rPr>
            </w:pPr>
          </w:p>
        </w:tc>
      </w:tr>
    </w:tbl>
    <w:p w14:paraId="6DBFF650"/>
    <w:p w14:paraId="110E1A96">
      <w:pPr>
        <w:pStyle w:val="22"/>
        <w:spacing w:line="360" w:lineRule="auto"/>
        <w:ind w:firstLine="440"/>
        <w:rPr>
          <w:bCs/>
        </w:rPr>
        <w:sectPr>
          <w:pgSz w:w="11906" w:h="16838"/>
          <w:pgMar w:top="1440" w:right="1800" w:bottom="1440" w:left="1800" w:header="851" w:footer="851" w:gutter="0"/>
          <w:cols w:space="720" w:num="1"/>
          <w:docGrid w:linePitch="312" w:charSpace="0"/>
        </w:sectPr>
      </w:pPr>
    </w:p>
    <w:p w14:paraId="3580A8E2"/>
    <w:tbl>
      <w:tblPr>
        <w:tblStyle w:val="46"/>
        <w:tblW w:w="498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126"/>
      </w:tblGrid>
      <w:tr w14:paraId="2CEF00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tcBorders>
              <w:top w:val="single" w:color="auto" w:sz="4" w:space="0"/>
            </w:tcBorders>
            <w:vAlign w:val="center"/>
          </w:tcPr>
          <w:p w14:paraId="486AD683">
            <w:pPr>
              <w:pStyle w:val="22"/>
              <w:ind w:firstLine="440"/>
              <w:jc w:val="center"/>
              <w:rPr>
                <w:b/>
                <w:szCs w:val="24"/>
              </w:rPr>
            </w:pPr>
            <w:r>
              <w:rPr>
                <w:b/>
                <w:szCs w:val="24"/>
              </w:rPr>
              <w:t>表2-1</w:t>
            </w:r>
            <w:r>
              <w:rPr>
                <w:rFonts w:hint="eastAsia"/>
                <w:b/>
                <w:szCs w:val="24"/>
              </w:rPr>
              <w:t>6</w:t>
            </w:r>
            <w:r>
              <w:rPr>
                <w:b/>
                <w:szCs w:val="24"/>
              </w:rPr>
              <w:t xml:space="preserve">  现有项目主体工程、公辅及环保工程批复、建设、运行情况</w:t>
            </w:r>
          </w:p>
          <w:tbl>
            <w:tblPr>
              <w:tblStyle w:val="4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68"/>
              <w:gridCol w:w="606"/>
              <w:gridCol w:w="673"/>
              <w:gridCol w:w="1205"/>
              <w:gridCol w:w="5188"/>
              <w:gridCol w:w="2423"/>
              <w:gridCol w:w="3247"/>
            </w:tblGrid>
            <w:tr w14:paraId="20118D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33" w:hRule="atLeast"/>
                <w:tblHeader/>
                <w:jc w:val="center"/>
              </w:trPr>
              <w:tc>
                <w:tcPr>
                  <w:tcW w:w="204" w:type="pct"/>
                  <w:vAlign w:val="center"/>
                </w:tcPr>
                <w:p w14:paraId="673C5E79">
                  <w:pPr>
                    <w:jc w:val="center"/>
                    <w:rPr>
                      <w:b/>
                      <w:bCs/>
                      <w:szCs w:val="21"/>
                    </w:rPr>
                  </w:pPr>
                  <w:r>
                    <w:rPr>
                      <w:b/>
                      <w:bCs/>
                      <w:szCs w:val="21"/>
                    </w:rPr>
                    <w:t>序号</w:t>
                  </w:r>
                </w:p>
              </w:tc>
              <w:tc>
                <w:tcPr>
                  <w:tcW w:w="460" w:type="pct"/>
                  <w:gridSpan w:val="2"/>
                  <w:vAlign w:val="center"/>
                </w:tcPr>
                <w:p w14:paraId="12013F79">
                  <w:pPr>
                    <w:jc w:val="center"/>
                    <w:rPr>
                      <w:b/>
                      <w:bCs/>
                      <w:szCs w:val="21"/>
                    </w:rPr>
                  </w:pPr>
                  <w:r>
                    <w:rPr>
                      <w:b/>
                      <w:bCs/>
                      <w:szCs w:val="21"/>
                    </w:rPr>
                    <w:t>主项名称</w:t>
                  </w:r>
                </w:p>
              </w:tc>
              <w:tc>
                <w:tcPr>
                  <w:tcW w:w="2298" w:type="pct"/>
                  <w:gridSpan w:val="2"/>
                  <w:vAlign w:val="center"/>
                </w:tcPr>
                <w:p w14:paraId="54ECAD91">
                  <w:pPr>
                    <w:jc w:val="center"/>
                    <w:rPr>
                      <w:b/>
                      <w:bCs/>
                      <w:szCs w:val="21"/>
                    </w:rPr>
                  </w:pPr>
                  <w:r>
                    <w:rPr>
                      <w:b/>
                      <w:bCs/>
                      <w:szCs w:val="21"/>
                    </w:rPr>
                    <w:t>一期项目批复内容</w:t>
                  </w:r>
                </w:p>
              </w:tc>
              <w:tc>
                <w:tcPr>
                  <w:tcW w:w="871" w:type="pct"/>
                  <w:vAlign w:val="center"/>
                </w:tcPr>
                <w:p w14:paraId="17CA54E2">
                  <w:pPr>
                    <w:jc w:val="center"/>
                    <w:rPr>
                      <w:b/>
                      <w:bCs/>
                      <w:szCs w:val="21"/>
                    </w:rPr>
                  </w:pPr>
                  <w:r>
                    <w:rPr>
                      <w:b/>
                      <w:bCs/>
                      <w:szCs w:val="21"/>
                    </w:rPr>
                    <w:t>已完成</w:t>
                  </w:r>
                  <w:r>
                    <w:rPr>
                      <w:rFonts w:hint="eastAsia"/>
                      <w:b/>
                      <w:bCs/>
                      <w:szCs w:val="21"/>
                    </w:rPr>
                    <w:t>建设及</w:t>
                  </w:r>
                  <w:r>
                    <w:rPr>
                      <w:b/>
                      <w:bCs/>
                      <w:szCs w:val="21"/>
                    </w:rPr>
                    <w:t>验收</w:t>
                  </w:r>
                  <w:r>
                    <w:rPr>
                      <w:rFonts w:hint="eastAsia"/>
                      <w:b/>
                      <w:bCs/>
                      <w:szCs w:val="21"/>
                    </w:rPr>
                    <w:t>的</w:t>
                  </w:r>
                  <w:r>
                    <w:rPr>
                      <w:b/>
                      <w:bCs/>
                      <w:szCs w:val="21"/>
                    </w:rPr>
                    <w:t>范围</w:t>
                  </w:r>
                </w:p>
              </w:tc>
              <w:tc>
                <w:tcPr>
                  <w:tcW w:w="1167" w:type="pct"/>
                  <w:vAlign w:val="center"/>
                </w:tcPr>
                <w:p w14:paraId="4827205E">
                  <w:pPr>
                    <w:jc w:val="center"/>
                    <w:rPr>
                      <w:b/>
                      <w:bCs/>
                      <w:szCs w:val="21"/>
                    </w:rPr>
                  </w:pPr>
                  <w:r>
                    <w:rPr>
                      <w:b/>
                      <w:bCs/>
                      <w:szCs w:val="21"/>
                    </w:rPr>
                    <w:t>实际建设运行情况</w:t>
                  </w:r>
                </w:p>
              </w:tc>
            </w:tr>
            <w:tr w14:paraId="433314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4" w:type="pct"/>
                  <w:vMerge w:val="restart"/>
                  <w:vAlign w:val="center"/>
                </w:tcPr>
                <w:p w14:paraId="5C7A5255">
                  <w:pPr>
                    <w:jc w:val="center"/>
                    <w:rPr>
                      <w:szCs w:val="21"/>
                    </w:rPr>
                  </w:pPr>
                  <w:r>
                    <w:rPr>
                      <w:szCs w:val="21"/>
                    </w:rPr>
                    <w:t>主体工程</w:t>
                  </w:r>
                </w:p>
              </w:tc>
              <w:tc>
                <w:tcPr>
                  <w:tcW w:w="460" w:type="pct"/>
                  <w:gridSpan w:val="2"/>
                  <w:vMerge w:val="restart"/>
                  <w:vAlign w:val="center"/>
                </w:tcPr>
                <w:p w14:paraId="5BB564B0">
                  <w:pPr>
                    <w:jc w:val="center"/>
                    <w:rPr>
                      <w:szCs w:val="21"/>
                    </w:rPr>
                  </w:pPr>
                  <w:r>
                    <w:rPr>
                      <w:szCs w:val="21"/>
                    </w:rPr>
                    <w:t>聚酯装置</w:t>
                  </w:r>
                </w:p>
              </w:tc>
              <w:tc>
                <w:tcPr>
                  <w:tcW w:w="2298" w:type="pct"/>
                  <w:gridSpan w:val="2"/>
                  <w:vAlign w:val="center"/>
                </w:tcPr>
                <w:p w14:paraId="17EB6B6E">
                  <w:pPr>
                    <w:rPr>
                      <w:szCs w:val="21"/>
                    </w:rPr>
                  </w:pPr>
                  <w:r>
                    <w:rPr>
                      <w:szCs w:val="21"/>
                    </w:rPr>
                    <w:t>共包括12个聚酯装置（CP1~CP12），分别位于7个聚酯车间（聚酯1-聚酯7）。</w:t>
                  </w:r>
                </w:p>
                <w:p w14:paraId="3D8523B7">
                  <w:pPr>
                    <w:rPr>
                      <w:szCs w:val="21"/>
                    </w:rPr>
                  </w:pPr>
                  <w:r>
                    <w:rPr>
                      <w:szCs w:val="21"/>
                    </w:rPr>
                    <w:t>合计聚酯熔体设计产能300万吨，操作时间均为350d/a。</w:t>
                  </w:r>
                </w:p>
              </w:tc>
              <w:tc>
                <w:tcPr>
                  <w:tcW w:w="871" w:type="pct"/>
                  <w:vAlign w:val="center"/>
                </w:tcPr>
                <w:p w14:paraId="2AA30BC3">
                  <w:pPr>
                    <w:jc w:val="center"/>
                    <w:rPr>
                      <w:bCs/>
                      <w:szCs w:val="21"/>
                    </w:rPr>
                  </w:pPr>
                  <w:r>
                    <w:rPr>
                      <w:szCs w:val="21"/>
                    </w:rPr>
                    <w:t>聚酯车间1：CP1、CP2</w:t>
                  </w:r>
                </w:p>
              </w:tc>
              <w:tc>
                <w:tcPr>
                  <w:tcW w:w="1167" w:type="pct"/>
                  <w:vAlign w:val="center"/>
                </w:tcPr>
                <w:p w14:paraId="4C06FD5F">
                  <w:pPr>
                    <w:jc w:val="center"/>
                    <w:rPr>
                      <w:szCs w:val="21"/>
                    </w:rPr>
                  </w:pPr>
                  <w:r>
                    <w:rPr>
                      <w:szCs w:val="21"/>
                    </w:rPr>
                    <w:t>聚酯车间1（CP1、CP2）</w:t>
                  </w:r>
                  <w:r>
                    <w:rPr>
                      <w:rFonts w:hint="eastAsia"/>
                      <w:szCs w:val="21"/>
                    </w:rPr>
                    <w:t>运行情况</w:t>
                  </w:r>
                  <w:r>
                    <w:rPr>
                      <w:szCs w:val="21"/>
                    </w:rPr>
                    <w:t>与一期项目环评内容一致，聚酯车间1：CP1、CP2，聚酯熔体设计产能50万吨，操作时间均为350d/a</w:t>
                  </w:r>
                </w:p>
              </w:tc>
            </w:tr>
            <w:tr w14:paraId="29EAA5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4" w:type="pct"/>
                  <w:vMerge w:val="continue"/>
                  <w:vAlign w:val="center"/>
                </w:tcPr>
                <w:p w14:paraId="19B6CC20">
                  <w:pPr>
                    <w:jc w:val="center"/>
                    <w:rPr>
                      <w:szCs w:val="21"/>
                    </w:rPr>
                  </w:pPr>
                </w:p>
              </w:tc>
              <w:tc>
                <w:tcPr>
                  <w:tcW w:w="460" w:type="pct"/>
                  <w:gridSpan w:val="2"/>
                  <w:vMerge w:val="continue"/>
                  <w:vAlign w:val="center"/>
                </w:tcPr>
                <w:p w14:paraId="14C19D0D">
                  <w:pPr>
                    <w:jc w:val="center"/>
                    <w:rPr>
                      <w:szCs w:val="21"/>
                    </w:rPr>
                  </w:pPr>
                </w:p>
              </w:tc>
              <w:tc>
                <w:tcPr>
                  <w:tcW w:w="433" w:type="pct"/>
                  <w:vAlign w:val="center"/>
                </w:tcPr>
                <w:p w14:paraId="62B2C2C1">
                  <w:pPr>
                    <w:jc w:val="center"/>
                    <w:rPr>
                      <w:szCs w:val="21"/>
                    </w:rPr>
                  </w:pPr>
                  <w:r>
                    <w:rPr>
                      <w:szCs w:val="21"/>
                    </w:rPr>
                    <w:t>PTA卸料及输送系统</w:t>
                  </w:r>
                </w:p>
              </w:tc>
              <w:tc>
                <w:tcPr>
                  <w:tcW w:w="1865" w:type="pct"/>
                  <w:vAlign w:val="center"/>
                </w:tcPr>
                <w:p w14:paraId="7EE64771">
                  <w:pPr>
                    <w:widowControl/>
                    <w:jc w:val="center"/>
                    <w:rPr>
                      <w:kern w:val="0"/>
                      <w:szCs w:val="21"/>
                    </w:rPr>
                  </w:pPr>
                  <w:r>
                    <w:rPr>
                      <w:kern w:val="0"/>
                      <w:szCs w:val="21"/>
                      <w:lang w:bidi="ar"/>
                    </w:rPr>
                    <w:t>聚酯1-聚酯5车间分别配置3套PTA链式输送系统，设计能力均为55t/h，共15套；聚酯6和聚酯7分别配置2</w:t>
                  </w:r>
                  <w:r>
                    <w:rPr>
                      <w:szCs w:val="21"/>
                    </w:rPr>
                    <w:t>套</w:t>
                  </w:r>
                  <w:r>
                    <w:rPr>
                      <w:kern w:val="0"/>
                      <w:szCs w:val="21"/>
                      <w:lang w:bidi="ar"/>
                    </w:rPr>
                    <w:t>PTA链式输送系统，设计能力均为52t/h，共4套。PTA料仓的储存周期约7h，保护介质为氮气。</w:t>
                  </w:r>
                </w:p>
              </w:tc>
              <w:tc>
                <w:tcPr>
                  <w:tcW w:w="871" w:type="pct"/>
                  <w:vAlign w:val="center"/>
                </w:tcPr>
                <w:p w14:paraId="046144AC">
                  <w:pPr>
                    <w:jc w:val="center"/>
                    <w:rPr>
                      <w:bCs/>
                      <w:szCs w:val="21"/>
                    </w:rPr>
                  </w:pPr>
                  <w:r>
                    <w:rPr>
                      <w:kern w:val="0"/>
                      <w:szCs w:val="21"/>
                      <w:lang w:bidi="ar"/>
                    </w:rPr>
                    <w:t>聚酯1车间3套PTA链式输送系统</w:t>
                  </w:r>
                </w:p>
              </w:tc>
              <w:tc>
                <w:tcPr>
                  <w:tcW w:w="1167" w:type="pct"/>
                  <w:vAlign w:val="center"/>
                </w:tcPr>
                <w:p w14:paraId="22942F63">
                  <w:pPr>
                    <w:jc w:val="center"/>
                    <w:rPr>
                      <w:kern w:val="0"/>
                      <w:szCs w:val="21"/>
                      <w:lang w:bidi="ar"/>
                    </w:rPr>
                  </w:pPr>
                  <w:r>
                    <w:rPr>
                      <w:kern w:val="0"/>
                      <w:szCs w:val="21"/>
                      <w:lang w:bidi="ar"/>
                    </w:rPr>
                    <w:t>聚酯1车间3套PTA链式输送系统</w:t>
                  </w:r>
                  <w:r>
                    <w:rPr>
                      <w:rFonts w:hint="eastAsia"/>
                      <w:kern w:val="0"/>
                      <w:szCs w:val="21"/>
                      <w:lang w:bidi="ar"/>
                    </w:rPr>
                    <w:t>运行情况</w:t>
                  </w:r>
                  <w:r>
                    <w:rPr>
                      <w:szCs w:val="21"/>
                      <w:lang w:bidi="ar"/>
                    </w:rPr>
                    <w:t>与批复内容一致</w:t>
                  </w:r>
                </w:p>
              </w:tc>
            </w:tr>
            <w:tr w14:paraId="7A6991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4" w:type="pct"/>
                  <w:vMerge w:val="continue"/>
                  <w:vAlign w:val="center"/>
                </w:tcPr>
                <w:p w14:paraId="29DF1CF2">
                  <w:pPr>
                    <w:jc w:val="center"/>
                    <w:rPr>
                      <w:szCs w:val="21"/>
                    </w:rPr>
                  </w:pPr>
                </w:p>
              </w:tc>
              <w:tc>
                <w:tcPr>
                  <w:tcW w:w="460" w:type="pct"/>
                  <w:gridSpan w:val="2"/>
                  <w:vMerge w:val="continue"/>
                  <w:vAlign w:val="center"/>
                </w:tcPr>
                <w:p w14:paraId="6F664541">
                  <w:pPr>
                    <w:jc w:val="center"/>
                    <w:rPr>
                      <w:szCs w:val="21"/>
                    </w:rPr>
                  </w:pPr>
                </w:p>
              </w:tc>
              <w:tc>
                <w:tcPr>
                  <w:tcW w:w="433" w:type="pct"/>
                  <w:vAlign w:val="center"/>
                </w:tcPr>
                <w:p w14:paraId="417BCA8C">
                  <w:pPr>
                    <w:jc w:val="center"/>
                    <w:rPr>
                      <w:szCs w:val="21"/>
                    </w:rPr>
                  </w:pPr>
                  <w:r>
                    <w:rPr>
                      <w:szCs w:val="21"/>
                    </w:rPr>
                    <w:t>浆料配制</w:t>
                  </w:r>
                </w:p>
              </w:tc>
              <w:tc>
                <w:tcPr>
                  <w:tcW w:w="1865" w:type="pct"/>
                  <w:vAlign w:val="center"/>
                </w:tcPr>
                <w:p w14:paraId="4516211E">
                  <w:pPr>
                    <w:widowControl/>
                    <w:jc w:val="center"/>
                    <w:rPr>
                      <w:kern w:val="0"/>
                      <w:szCs w:val="21"/>
                    </w:rPr>
                  </w:pPr>
                  <w:r>
                    <w:rPr>
                      <w:kern w:val="0"/>
                      <w:szCs w:val="21"/>
                      <w:lang w:bidi="ar"/>
                    </w:rPr>
                    <w:t>每个聚酯装置车间配套1个浆料调配槽，共6套，浆料调配槽的容量可满足聚酯装置正常运行2.5h。</w:t>
                  </w:r>
                </w:p>
              </w:tc>
              <w:tc>
                <w:tcPr>
                  <w:tcW w:w="871" w:type="pct"/>
                  <w:vAlign w:val="center"/>
                </w:tcPr>
                <w:p w14:paraId="39FD85E8">
                  <w:pPr>
                    <w:jc w:val="center"/>
                    <w:rPr>
                      <w:bCs/>
                      <w:szCs w:val="21"/>
                    </w:rPr>
                  </w:pPr>
                  <w:r>
                    <w:rPr>
                      <w:kern w:val="0"/>
                      <w:szCs w:val="21"/>
                      <w:lang w:bidi="ar"/>
                    </w:rPr>
                    <w:t>聚酯1车间配套1个浆料调配槽</w:t>
                  </w:r>
                </w:p>
              </w:tc>
              <w:tc>
                <w:tcPr>
                  <w:tcW w:w="1167" w:type="pct"/>
                  <w:vAlign w:val="center"/>
                </w:tcPr>
                <w:p w14:paraId="4E06EAC6">
                  <w:pPr>
                    <w:jc w:val="center"/>
                    <w:rPr>
                      <w:kern w:val="0"/>
                      <w:szCs w:val="21"/>
                      <w:lang w:bidi="ar"/>
                    </w:rPr>
                  </w:pPr>
                  <w:r>
                    <w:rPr>
                      <w:rFonts w:hint="eastAsia"/>
                      <w:bCs/>
                      <w:szCs w:val="21"/>
                    </w:rPr>
                    <w:t>建设与</w:t>
                  </w:r>
                  <w:r>
                    <w:rPr>
                      <w:bCs/>
                      <w:szCs w:val="21"/>
                    </w:rPr>
                    <w:t>运行情况与一期项目环评一致</w:t>
                  </w:r>
                </w:p>
              </w:tc>
            </w:tr>
            <w:tr w14:paraId="48A53B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4" w:type="pct"/>
                  <w:vMerge w:val="continue"/>
                  <w:vAlign w:val="center"/>
                </w:tcPr>
                <w:p w14:paraId="3EFD318E">
                  <w:pPr>
                    <w:jc w:val="center"/>
                    <w:rPr>
                      <w:szCs w:val="21"/>
                    </w:rPr>
                  </w:pPr>
                </w:p>
              </w:tc>
              <w:tc>
                <w:tcPr>
                  <w:tcW w:w="460" w:type="pct"/>
                  <w:gridSpan w:val="2"/>
                  <w:vMerge w:val="continue"/>
                  <w:vAlign w:val="center"/>
                </w:tcPr>
                <w:p w14:paraId="1262F386">
                  <w:pPr>
                    <w:jc w:val="center"/>
                    <w:rPr>
                      <w:szCs w:val="21"/>
                    </w:rPr>
                  </w:pPr>
                </w:p>
              </w:tc>
              <w:tc>
                <w:tcPr>
                  <w:tcW w:w="433" w:type="pct"/>
                  <w:vAlign w:val="center"/>
                </w:tcPr>
                <w:p w14:paraId="79251479">
                  <w:pPr>
                    <w:jc w:val="center"/>
                    <w:rPr>
                      <w:szCs w:val="21"/>
                    </w:rPr>
                  </w:pPr>
                  <w:r>
                    <w:rPr>
                      <w:szCs w:val="21"/>
                    </w:rPr>
                    <w:t>酯化反应</w:t>
                  </w:r>
                </w:p>
              </w:tc>
              <w:tc>
                <w:tcPr>
                  <w:tcW w:w="1865" w:type="pct"/>
                  <w:vAlign w:val="center"/>
                </w:tcPr>
                <w:p w14:paraId="1E8F5A06">
                  <w:pPr>
                    <w:widowControl/>
                    <w:jc w:val="center"/>
                    <w:rPr>
                      <w:kern w:val="0"/>
                      <w:szCs w:val="21"/>
                    </w:rPr>
                  </w:pPr>
                  <w:r>
                    <w:rPr>
                      <w:kern w:val="0"/>
                      <w:szCs w:val="21"/>
                      <w:lang w:bidi="ar"/>
                    </w:rPr>
                    <w:t>包括第一酯化反应（酯化率约为91%）；第二酯化反应（酯化率约为96.5%）；工艺塔（乙二醇分离系统）；事故乙二醇收集槽。</w:t>
                  </w:r>
                </w:p>
              </w:tc>
              <w:tc>
                <w:tcPr>
                  <w:tcW w:w="871" w:type="pct"/>
                  <w:vAlign w:val="center"/>
                </w:tcPr>
                <w:p w14:paraId="6FE2E5A5">
                  <w:pPr>
                    <w:jc w:val="center"/>
                    <w:rPr>
                      <w:bCs/>
                      <w:szCs w:val="21"/>
                    </w:rPr>
                  </w:pPr>
                  <w:r>
                    <w:rPr>
                      <w:bCs/>
                      <w:szCs w:val="21"/>
                    </w:rPr>
                    <w:t>与聚酯</w:t>
                  </w:r>
                  <w:r>
                    <w:rPr>
                      <w:kern w:val="0"/>
                      <w:szCs w:val="21"/>
                      <w:lang w:bidi="ar"/>
                    </w:rPr>
                    <w:t>1车间配套设施</w:t>
                  </w:r>
                </w:p>
              </w:tc>
              <w:tc>
                <w:tcPr>
                  <w:tcW w:w="1167" w:type="pct"/>
                  <w:vAlign w:val="center"/>
                </w:tcPr>
                <w:p w14:paraId="6E90EB71">
                  <w:pPr>
                    <w:jc w:val="center"/>
                    <w:rPr>
                      <w:bCs/>
                      <w:szCs w:val="21"/>
                    </w:rPr>
                  </w:pPr>
                  <w:r>
                    <w:rPr>
                      <w:rFonts w:hint="eastAsia"/>
                      <w:bCs/>
                      <w:szCs w:val="21"/>
                    </w:rPr>
                    <w:t>建设与</w:t>
                  </w:r>
                  <w:r>
                    <w:rPr>
                      <w:bCs/>
                      <w:szCs w:val="21"/>
                    </w:rPr>
                    <w:t>运行情况与一期项目环评一致</w:t>
                  </w:r>
                </w:p>
              </w:tc>
            </w:tr>
            <w:tr w14:paraId="5CB1E2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4" w:type="pct"/>
                  <w:vMerge w:val="continue"/>
                  <w:vAlign w:val="center"/>
                </w:tcPr>
                <w:p w14:paraId="05EF0570">
                  <w:pPr>
                    <w:jc w:val="center"/>
                    <w:rPr>
                      <w:szCs w:val="21"/>
                    </w:rPr>
                  </w:pPr>
                </w:p>
              </w:tc>
              <w:tc>
                <w:tcPr>
                  <w:tcW w:w="460" w:type="pct"/>
                  <w:gridSpan w:val="2"/>
                  <w:vMerge w:val="continue"/>
                  <w:vAlign w:val="center"/>
                </w:tcPr>
                <w:p w14:paraId="3DB045E5">
                  <w:pPr>
                    <w:jc w:val="center"/>
                    <w:rPr>
                      <w:szCs w:val="21"/>
                    </w:rPr>
                  </w:pPr>
                </w:p>
              </w:tc>
              <w:tc>
                <w:tcPr>
                  <w:tcW w:w="433" w:type="pct"/>
                  <w:vAlign w:val="center"/>
                </w:tcPr>
                <w:p w14:paraId="2E76427A">
                  <w:pPr>
                    <w:jc w:val="center"/>
                    <w:rPr>
                      <w:szCs w:val="21"/>
                    </w:rPr>
                  </w:pPr>
                  <w:r>
                    <w:rPr>
                      <w:szCs w:val="21"/>
                    </w:rPr>
                    <w:t>预缩聚反应</w:t>
                  </w:r>
                </w:p>
              </w:tc>
              <w:tc>
                <w:tcPr>
                  <w:tcW w:w="1865" w:type="pct"/>
                  <w:vAlign w:val="center"/>
                </w:tcPr>
                <w:p w14:paraId="09E10576">
                  <w:pPr>
                    <w:widowControl/>
                    <w:jc w:val="center"/>
                    <w:rPr>
                      <w:kern w:val="0"/>
                      <w:szCs w:val="21"/>
                    </w:rPr>
                  </w:pPr>
                  <w:r>
                    <w:rPr>
                      <w:kern w:val="0"/>
                      <w:szCs w:val="21"/>
                      <w:lang w:bidi="ar"/>
                    </w:rPr>
                    <w:t>预缩聚反应器；预缩聚输送及过滤系统。</w:t>
                  </w:r>
                </w:p>
              </w:tc>
              <w:tc>
                <w:tcPr>
                  <w:tcW w:w="871" w:type="pct"/>
                  <w:vAlign w:val="center"/>
                </w:tcPr>
                <w:p w14:paraId="139D9933">
                  <w:pPr>
                    <w:jc w:val="center"/>
                    <w:rPr>
                      <w:bCs/>
                      <w:szCs w:val="21"/>
                    </w:rPr>
                  </w:pPr>
                  <w:r>
                    <w:rPr>
                      <w:bCs/>
                      <w:szCs w:val="21"/>
                    </w:rPr>
                    <w:t>与聚酯</w:t>
                  </w:r>
                  <w:r>
                    <w:rPr>
                      <w:kern w:val="0"/>
                      <w:szCs w:val="21"/>
                      <w:lang w:bidi="ar"/>
                    </w:rPr>
                    <w:t>1车间配套设施</w:t>
                  </w:r>
                </w:p>
              </w:tc>
              <w:tc>
                <w:tcPr>
                  <w:tcW w:w="1167" w:type="pct"/>
                  <w:vAlign w:val="center"/>
                </w:tcPr>
                <w:p w14:paraId="200AE2F7">
                  <w:pPr>
                    <w:jc w:val="center"/>
                    <w:rPr>
                      <w:bCs/>
                      <w:szCs w:val="21"/>
                    </w:rPr>
                  </w:pPr>
                  <w:r>
                    <w:rPr>
                      <w:rFonts w:hint="eastAsia"/>
                      <w:bCs/>
                      <w:szCs w:val="21"/>
                    </w:rPr>
                    <w:t>建设与</w:t>
                  </w:r>
                  <w:r>
                    <w:rPr>
                      <w:bCs/>
                      <w:szCs w:val="21"/>
                    </w:rPr>
                    <w:t>运行情况与一期项目环评一致</w:t>
                  </w:r>
                </w:p>
              </w:tc>
            </w:tr>
            <w:tr w14:paraId="4E1A2C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4" w:type="pct"/>
                  <w:vMerge w:val="continue"/>
                  <w:vAlign w:val="center"/>
                </w:tcPr>
                <w:p w14:paraId="2F45F250">
                  <w:pPr>
                    <w:jc w:val="center"/>
                    <w:rPr>
                      <w:szCs w:val="21"/>
                    </w:rPr>
                  </w:pPr>
                </w:p>
              </w:tc>
              <w:tc>
                <w:tcPr>
                  <w:tcW w:w="460" w:type="pct"/>
                  <w:gridSpan w:val="2"/>
                  <w:vMerge w:val="continue"/>
                  <w:vAlign w:val="center"/>
                </w:tcPr>
                <w:p w14:paraId="296DA973">
                  <w:pPr>
                    <w:jc w:val="center"/>
                    <w:rPr>
                      <w:szCs w:val="21"/>
                    </w:rPr>
                  </w:pPr>
                </w:p>
              </w:tc>
              <w:tc>
                <w:tcPr>
                  <w:tcW w:w="433" w:type="pct"/>
                  <w:vAlign w:val="center"/>
                </w:tcPr>
                <w:p w14:paraId="6F0A7811">
                  <w:pPr>
                    <w:jc w:val="center"/>
                    <w:rPr>
                      <w:szCs w:val="21"/>
                    </w:rPr>
                  </w:pPr>
                  <w:r>
                    <w:rPr>
                      <w:szCs w:val="21"/>
                    </w:rPr>
                    <w:t>终缩聚反应</w:t>
                  </w:r>
                </w:p>
              </w:tc>
              <w:tc>
                <w:tcPr>
                  <w:tcW w:w="1865" w:type="pct"/>
                  <w:vAlign w:val="center"/>
                </w:tcPr>
                <w:p w14:paraId="7FAD1577">
                  <w:pPr>
                    <w:widowControl/>
                    <w:jc w:val="center"/>
                    <w:rPr>
                      <w:szCs w:val="21"/>
                    </w:rPr>
                  </w:pPr>
                  <w:r>
                    <w:rPr>
                      <w:kern w:val="0"/>
                      <w:szCs w:val="21"/>
                      <w:lang w:bidi="ar"/>
                    </w:rPr>
                    <w:t>终缩聚反应器；乙二醇蒸汽喷射系统；乙二醇</w:t>
                  </w:r>
                </w:p>
                <w:p w14:paraId="2E1D68A6">
                  <w:pPr>
                    <w:widowControl/>
                    <w:jc w:val="center"/>
                    <w:rPr>
                      <w:kern w:val="0"/>
                      <w:szCs w:val="21"/>
                    </w:rPr>
                  </w:pPr>
                  <w:r>
                    <w:rPr>
                      <w:kern w:val="0"/>
                      <w:szCs w:val="21"/>
                      <w:lang w:bidi="ar"/>
                    </w:rPr>
                    <w:t>收集槽；熔体输送及过滤系统。</w:t>
                  </w:r>
                </w:p>
              </w:tc>
              <w:tc>
                <w:tcPr>
                  <w:tcW w:w="871" w:type="pct"/>
                  <w:vAlign w:val="center"/>
                </w:tcPr>
                <w:p w14:paraId="109E4105">
                  <w:pPr>
                    <w:jc w:val="center"/>
                    <w:rPr>
                      <w:bCs/>
                      <w:szCs w:val="21"/>
                    </w:rPr>
                  </w:pPr>
                  <w:r>
                    <w:rPr>
                      <w:bCs/>
                      <w:szCs w:val="21"/>
                    </w:rPr>
                    <w:t>与聚酯</w:t>
                  </w:r>
                  <w:r>
                    <w:rPr>
                      <w:kern w:val="0"/>
                      <w:szCs w:val="21"/>
                      <w:lang w:bidi="ar"/>
                    </w:rPr>
                    <w:t>1车间配套设施</w:t>
                  </w:r>
                </w:p>
              </w:tc>
              <w:tc>
                <w:tcPr>
                  <w:tcW w:w="1167" w:type="pct"/>
                  <w:vAlign w:val="center"/>
                </w:tcPr>
                <w:p w14:paraId="2231085A">
                  <w:pPr>
                    <w:jc w:val="center"/>
                    <w:rPr>
                      <w:bCs/>
                      <w:szCs w:val="21"/>
                    </w:rPr>
                  </w:pPr>
                  <w:r>
                    <w:rPr>
                      <w:rFonts w:hint="eastAsia"/>
                      <w:bCs/>
                      <w:szCs w:val="21"/>
                    </w:rPr>
                    <w:t>建设与</w:t>
                  </w:r>
                  <w:r>
                    <w:rPr>
                      <w:bCs/>
                      <w:szCs w:val="21"/>
                    </w:rPr>
                    <w:t>运行情况与一期项目环评一致</w:t>
                  </w:r>
                </w:p>
              </w:tc>
            </w:tr>
            <w:tr w14:paraId="7D4125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4" w:type="pct"/>
                  <w:vMerge w:val="continue"/>
                  <w:vAlign w:val="center"/>
                </w:tcPr>
                <w:p w14:paraId="5D2EDE59">
                  <w:pPr>
                    <w:jc w:val="center"/>
                    <w:rPr>
                      <w:szCs w:val="21"/>
                    </w:rPr>
                  </w:pPr>
                </w:p>
              </w:tc>
              <w:tc>
                <w:tcPr>
                  <w:tcW w:w="460" w:type="pct"/>
                  <w:gridSpan w:val="2"/>
                  <w:vAlign w:val="center"/>
                </w:tcPr>
                <w:p w14:paraId="6A14EF92">
                  <w:pPr>
                    <w:widowControl/>
                    <w:jc w:val="center"/>
                    <w:rPr>
                      <w:kern w:val="0"/>
                      <w:szCs w:val="21"/>
                      <w:lang w:bidi="ar"/>
                    </w:rPr>
                  </w:pPr>
                  <w:r>
                    <w:rPr>
                      <w:kern w:val="0"/>
                      <w:szCs w:val="21"/>
                      <w:lang w:bidi="ar"/>
                    </w:rPr>
                    <w:t>纺丝装置</w:t>
                  </w:r>
                </w:p>
              </w:tc>
              <w:tc>
                <w:tcPr>
                  <w:tcW w:w="2298" w:type="pct"/>
                  <w:gridSpan w:val="2"/>
                  <w:vAlign w:val="center"/>
                </w:tcPr>
                <w:p w14:paraId="40379BD1">
                  <w:pPr>
                    <w:widowControl/>
                    <w:rPr>
                      <w:kern w:val="0"/>
                      <w:szCs w:val="21"/>
                      <w:lang w:bidi="ar"/>
                    </w:rPr>
                  </w:pPr>
                  <w:r>
                    <w:rPr>
                      <w:kern w:val="0"/>
                      <w:szCs w:val="21"/>
                      <w:lang w:bidi="ar"/>
                    </w:rPr>
                    <w:t>共6个纺丝装置车间，占地面积共272526 m</w:t>
                  </w:r>
                  <w:r>
                    <w:rPr>
                      <w:kern w:val="0"/>
                      <w:szCs w:val="21"/>
                      <w:vertAlign w:val="superscript"/>
                      <w:lang w:bidi="ar"/>
                    </w:rPr>
                    <w:t>2</w:t>
                  </w:r>
                  <w:r>
                    <w:rPr>
                      <w:kern w:val="0"/>
                      <w:szCs w:val="21"/>
                      <w:lang w:bidi="ar"/>
                    </w:rPr>
                    <w:t>，建筑面积为990000平方米。单个纺丝装置车间占地45421 m</w:t>
                  </w:r>
                  <w:r>
                    <w:rPr>
                      <w:kern w:val="0"/>
                      <w:szCs w:val="21"/>
                      <w:vertAlign w:val="superscript"/>
                      <w:lang w:bidi="ar"/>
                    </w:rPr>
                    <w:t>2</w:t>
                  </w:r>
                  <w:r>
                    <w:rPr>
                      <w:kern w:val="0"/>
                      <w:szCs w:val="21"/>
                      <w:lang w:bidi="ar"/>
                    </w:rPr>
                    <w:t>（214.25m*212m），建筑高度24米，建筑物火灾危险性为丙类，耐火等级为二级。</w:t>
                  </w:r>
                </w:p>
              </w:tc>
              <w:tc>
                <w:tcPr>
                  <w:tcW w:w="871" w:type="pct"/>
                  <w:vAlign w:val="center"/>
                </w:tcPr>
                <w:p w14:paraId="2439FF33">
                  <w:pPr>
                    <w:jc w:val="center"/>
                    <w:rPr>
                      <w:bCs/>
                      <w:szCs w:val="21"/>
                    </w:rPr>
                  </w:pPr>
                  <w:r>
                    <w:rPr>
                      <w:bCs/>
                      <w:szCs w:val="21"/>
                    </w:rPr>
                    <w:t>纺丝车间1，18条POY生产线、4条FDY生产线</w:t>
                  </w:r>
                </w:p>
              </w:tc>
              <w:tc>
                <w:tcPr>
                  <w:tcW w:w="1167" w:type="pct"/>
                  <w:vAlign w:val="center"/>
                </w:tcPr>
                <w:p w14:paraId="60000EB5">
                  <w:pPr>
                    <w:jc w:val="center"/>
                    <w:rPr>
                      <w:bCs/>
                      <w:szCs w:val="21"/>
                    </w:rPr>
                  </w:pPr>
                  <w:r>
                    <w:rPr>
                      <w:kern w:val="0"/>
                      <w:szCs w:val="21"/>
                      <w:lang w:bidi="ar"/>
                    </w:rPr>
                    <w:t>实际建设纺丝车间1，占地面积共45677.11 m</w:t>
                  </w:r>
                  <w:r>
                    <w:rPr>
                      <w:kern w:val="0"/>
                      <w:szCs w:val="21"/>
                      <w:vertAlign w:val="superscript"/>
                      <w:lang w:bidi="ar"/>
                    </w:rPr>
                    <w:t>2</w:t>
                  </w:r>
                  <w:r>
                    <w:rPr>
                      <w:kern w:val="0"/>
                      <w:szCs w:val="21"/>
                      <w:lang w:bidi="ar"/>
                    </w:rPr>
                    <w:t>，建筑面为159355.7平方米。建筑高度24米，建筑物火灾危险性为丙类，耐火等级为二级。</w:t>
                  </w:r>
                </w:p>
              </w:tc>
            </w:tr>
            <w:tr w14:paraId="33998C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4" w:type="pct"/>
                  <w:vMerge w:val="continue"/>
                  <w:vAlign w:val="center"/>
                </w:tcPr>
                <w:p w14:paraId="473626E7">
                  <w:pPr>
                    <w:jc w:val="center"/>
                    <w:rPr>
                      <w:szCs w:val="21"/>
                    </w:rPr>
                  </w:pPr>
                </w:p>
              </w:tc>
              <w:tc>
                <w:tcPr>
                  <w:tcW w:w="460" w:type="pct"/>
                  <w:gridSpan w:val="2"/>
                  <w:vAlign w:val="center"/>
                </w:tcPr>
                <w:p w14:paraId="037F4FF4">
                  <w:pPr>
                    <w:widowControl/>
                    <w:jc w:val="center"/>
                    <w:rPr>
                      <w:kern w:val="0"/>
                      <w:szCs w:val="21"/>
                      <w:lang w:bidi="ar"/>
                    </w:rPr>
                  </w:pPr>
                  <w:r>
                    <w:rPr>
                      <w:kern w:val="0"/>
                      <w:szCs w:val="21"/>
                      <w:lang w:bidi="ar"/>
                    </w:rPr>
                    <w:t>办公楼</w:t>
                  </w:r>
                </w:p>
              </w:tc>
              <w:tc>
                <w:tcPr>
                  <w:tcW w:w="2298" w:type="pct"/>
                  <w:gridSpan w:val="2"/>
                  <w:vAlign w:val="center"/>
                </w:tcPr>
                <w:p w14:paraId="462AE38F">
                  <w:pPr>
                    <w:widowControl/>
                    <w:jc w:val="center"/>
                    <w:rPr>
                      <w:kern w:val="0"/>
                      <w:szCs w:val="21"/>
                      <w:lang w:bidi="ar"/>
                    </w:rPr>
                  </w:pPr>
                  <w:r>
                    <w:rPr>
                      <w:kern w:val="0"/>
                      <w:szCs w:val="21"/>
                      <w:lang w:bidi="ar"/>
                    </w:rPr>
                    <w:t>占地面积为3176.81平方米，建筑面积为9616平方米。总长96.8米总宽45.3米。建筑高度22.6米，建筑物火灾危险性为丙类，耐火等级为二级。</w:t>
                  </w:r>
                </w:p>
              </w:tc>
              <w:tc>
                <w:tcPr>
                  <w:tcW w:w="871" w:type="pct"/>
                  <w:vAlign w:val="center"/>
                </w:tcPr>
                <w:p w14:paraId="2D99C3F8">
                  <w:pPr>
                    <w:jc w:val="center"/>
                    <w:rPr>
                      <w:bCs/>
                      <w:szCs w:val="21"/>
                    </w:rPr>
                  </w:pPr>
                  <w:r>
                    <w:rPr>
                      <w:szCs w:val="21"/>
                    </w:rPr>
                    <w:t>全部在一期一阶段验收范围内</w:t>
                  </w:r>
                </w:p>
              </w:tc>
              <w:tc>
                <w:tcPr>
                  <w:tcW w:w="1167" w:type="pct"/>
                  <w:vAlign w:val="center"/>
                </w:tcPr>
                <w:p w14:paraId="7EFFBA43">
                  <w:pPr>
                    <w:jc w:val="center"/>
                    <w:rPr>
                      <w:bCs/>
                      <w:szCs w:val="21"/>
                    </w:rPr>
                  </w:pPr>
                  <w:r>
                    <w:rPr>
                      <w:kern w:val="0"/>
                      <w:szCs w:val="21"/>
                      <w:lang w:bidi="ar"/>
                    </w:rPr>
                    <w:t>实际建设办公楼占地面积为3635.13平方米，建筑面积为24567.63平方米。总长96.8米总宽45.3米。建筑高度44.75米，建筑物火灾危险性为丙类，耐火等级为二级。</w:t>
                  </w:r>
                </w:p>
              </w:tc>
            </w:tr>
            <w:tr w14:paraId="33B63D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4" w:type="pct"/>
                  <w:vMerge w:val="continue"/>
                  <w:vAlign w:val="center"/>
                </w:tcPr>
                <w:p w14:paraId="24BE8D59">
                  <w:pPr>
                    <w:jc w:val="center"/>
                    <w:rPr>
                      <w:szCs w:val="21"/>
                    </w:rPr>
                  </w:pPr>
                </w:p>
              </w:tc>
              <w:tc>
                <w:tcPr>
                  <w:tcW w:w="460" w:type="pct"/>
                  <w:gridSpan w:val="2"/>
                  <w:vAlign w:val="center"/>
                </w:tcPr>
                <w:p w14:paraId="3D41619B">
                  <w:pPr>
                    <w:widowControl/>
                    <w:jc w:val="center"/>
                    <w:rPr>
                      <w:kern w:val="0"/>
                      <w:szCs w:val="21"/>
                      <w:lang w:bidi="ar"/>
                    </w:rPr>
                  </w:pPr>
                  <w:r>
                    <w:rPr>
                      <w:kern w:val="0"/>
                      <w:szCs w:val="21"/>
                      <w:lang w:bidi="ar"/>
                    </w:rPr>
                    <w:t>员工食堂</w:t>
                  </w:r>
                </w:p>
              </w:tc>
              <w:tc>
                <w:tcPr>
                  <w:tcW w:w="2298" w:type="pct"/>
                  <w:gridSpan w:val="2"/>
                  <w:vAlign w:val="center"/>
                </w:tcPr>
                <w:p w14:paraId="104A3BB9">
                  <w:pPr>
                    <w:widowControl/>
                    <w:jc w:val="center"/>
                    <w:rPr>
                      <w:kern w:val="0"/>
                      <w:szCs w:val="21"/>
                      <w:lang w:bidi="ar"/>
                    </w:rPr>
                  </w:pPr>
                  <w:r>
                    <w:rPr>
                      <w:kern w:val="0"/>
                      <w:szCs w:val="21"/>
                      <w:lang w:bidi="ar"/>
                    </w:rPr>
                    <w:t>共1幢，合计占地面积11116.83 m</w:t>
                  </w:r>
                  <w:r>
                    <w:rPr>
                      <w:kern w:val="0"/>
                      <w:szCs w:val="21"/>
                      <w:vertAlign w:val="superscript"/>
                      <w:lang w:bidi="ar"/>
                    </w:rPr>
                    <w:t>2</w:t>
                  </w:r>
                  <w:r>
                    <w:rPr>
                      <w:kern w:val="0"/>
                      <w:szCs w:val="21"/>
                      <w:lang w:bidi="ar"/>
                    </w:rPr>
                    <w:t>，建筑面积33350.49 m</w:t>
                  </w:r>
                  <w:r>
                    <w:rPr>
                      <w:kern w:val="0"/>
                      <w:szCs w:val="21"/>
                      <w:vertAlign w:val="superscript"/>
                      <w:lang w:bidi="ar"/>
                    </w:rPr>
                    <w:t>2</w:t>
                  </w:r>
                  <w:r>
                    <w:rPr>
                      <w:kern w:val="0"/>
                      <w:szCs w:val="21"/>
                      <w:lang w:bidi="ar"/>
                    </w:rPr>
                    <w:t>，高3层，建筑物火灾危险性为丙类，耐火等级为二级。</w:t>
                  </w:r>
                </w:p>
              </w:tc>
              <w:tc>
                <w:tcPr>
                  <w:tcW w:w="871" w:type="pct"/>
                  <w:vAlign w:val="center"/>
                </w:tcPr>
                <w:p w14:paraId="14C704FC">
                  <w:pPr>
                    <w:jc w:val="center"/>
                    <w:rPr>
                      <w:bCs/>
                      <w:szCs w:val="21"/>
                    </w:rPr>
                  </w:pPr>
                  <w:r>
                    <w:rPr>
                      <w:szCs w:val="21"/>
                    </w:rPr>
                    <w:t>全部一期一阶段验收范围内</w:t>
                  </w:r>
                </w:p>
              </w:tc>
              <w:tc>
                <w:tcPr>
                  <w:tcW w:w="1167" w:type="pct"/>
                  <w:vAlign w:val="center"/>
                </w:tcPr>
                <w:p w14:paraId="3216E75A">
                  <w:pPr>
                    <w:jc w:val="center"/>
                    <w:rPr>
                      <w:bCs/>
                      <w:szCs w:val="21"/>
                    </w:rPr>
                  </w:pPr>
                  <w:r>
                    <w:rPr>
                      <w:rFonts w:hint="eastAsia"/>
                      <w:bCs/>
                      <w:szCs w:val="21"/>
                    </w:rPr>
                    <w:t>建设与</w:t>
                  </w:r>
                  <w:r>
                    <w:rPr>
                      <w:bCs/>
                      <w:szCs w:val="21"/>
                    </w:rPr>
                    <w:t>运行情况与一期项目环评一致</w:t>
                  </w:r>
                </w:p>
              </w:tc>
            </w:tr>
            <w:tr w14:paraId="436299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4" w:type="pct"/>
                  <w:vMerge w:val="continue"/>
                  <w:vAlign w:val="center"/>
                </w:tcPr>
                <w:p w14:paraId="52D2B062">
                  <w:pPr>
                    <w:jc w:val="center"/>
                    <w:rPr>
                      <w:szCs w:val="21"/>
                    </w:rPr>
                  </w:pPr>
                </w:p>
              </w:tc>
              <w:tc>
                <w:tcPr>
                  <w:tcW w:w="460" w:type="pct"/>
                  <w:gridSpan w:val="2"/>
                  <w:vAlign w:val="center"/>
                </w:tcPr>
                <w:p w14:paraId="77C58221">
                  <w:pPr>
                    <w:widowControl/>
                    <w:jc w:val="center"/>
                    <w:rPr>
                      <w:kern w:val="0"/>
                      <w:szCs w:val="21"/>
                      <w:lang w:bidi="ar"/>
                    </w:rPr>
                  </w:pPr>
                  <w:r>
                    <w:rPr>
                      <w:kern w:val="0"/>
                      <w:szCs w:val="21"/>
                      <w:lang w:bidi="ar"/>
                    </w:rPr>
                    <w:t>立体车库</w:t>
                  </w:r>
                </w:p>
              </w:tc>
              <w:tc>
                <w:tcPr>
                  <w:tcW w:w="2298" w:type="pct"/>
                  <w:gridSpan w:val="2"/>
                  <w:vAlign w:val="center"/>
                </w:tcPr>
                <w:p w14:paraId="6F1E26B8">
                  <w:pPr>
                    <w:widowControl/>
                    <w:jc w:val="center"/>
                    <w:rPr>
                      <w:kern w:val="0"/>
                      <w:szCs w:val="21"/>
                      <w:lang w:bidi="ar"/>
                    </w:rPr>
                  </w:pPr>
                  <w:r>
                    <w:rPr>
                      <w:kern w:val="0"/>
                      <w:szCs w:val="21"/>
                      <w:lang w:bidi="ar"/>
                    </w:rPr>
                    <w:t>合计占地面积8359.14 m</w:t>
                  </w:r>
                  <w:r>
                    <w:rPr>
                      <w:kern w:val="0"/>
                      <w:szCs w:val="21"/>
                      <w:vertAlign w:val="superscript"/>
                      <w:lang w:bidi="ar"/>
                    </w:rPr>
                    <w:t>2</w:t>
                  </w:r>
                  <w:r>
                    <w:rPr>
                      <w:kern w:val="0"/>
                      <w:szCs w:val="21"/>
                      <w:lang w:bidi="ar"/>
                    </w:rPr>
                    <w:t>，建筑面积25077.42 m</w:t>
                  </w:r>
                  <w:r>
                    <w:rPr>
                      <w:kern w:val="0"/>
                      <w:szCs w:val="21"/>
                      <w:vertAlign w:val="superscript"/>
                      <w:lang w:bidi="ar"/>
                    </w:rPr>
                    <w:t>2</w:t>
                  </w:r>
                  <w:r>
                    <w:rPr>
                      <w:kern w:val="0"/>
                      <w:szCs w:val="21"/>
                      <w:lang w:bidi="ar"/>
                    </w:rPr>
                    <w:t>，高10米，建筑物火灾危险性为丙类，耐火等级为二级，可停放机动车数量660辆。</w:t>
                  </w:r>
                </w:p>
              </w:tc>
              <w:tc>
                <w:tcPr>
                  <w:tcW w:w="871" w:type="pct"/>
                  <w:vAlign w:val="center"/>
                </w:tcPr>
                <w:p w14:paraId="56A5FA25">
                  <w:pPr>
                    <w:jc w:val="center"/>
                    <w:rPr>
                      <w:bCs/>
                      <w:szCs w:val="21"/>
                    </w:rPr>
                  </w:pPr>
                  <w:r>
                    <w:rPr>
                      <w:szCs w:val="21"/>
                    </w:rPr>
                    <w:t>全部一期一阶段验收范围内</w:t>
                  </w:r>
                </w:p>
              </w:tc>
              <w:tc>
                <w:tcPr>
                  <w:tcW w:w="1167" w:type="pct"/>
                  <w:vAlign w:val="center"/>
                </w:tcPr>
                <w:p w14:paraId="387A357C">
                  <w:pPr>
                    <w:jc w:val="center"/>
                    <w:rPr>
                      <w:bCs/>
                      <w:szCs w:val="21"/>
                    </w:rPr>
                  </w:pPr>
                  <w:r>
                    <w:rPr>
                      <w:rFonts w:hint="eastAsia"/>
                      <w:bCs/>
                      <w:szCs w:val="21"/>
                    </w:rPr>
                    <w:t>建设与</w:t>
                  </w:r>
                  <w:r>
                    <w:rPr>
                      <w:bCs/>
                      <w:szCs w:val="21"/>
                    </w:rPr>
                    <w:t>运行情况与一期项目环评一致</w:t>
                  </w:r>
                </w:p>
              </w:tc>
            </w:tr>
            <w:tr w14:paraId="5645BE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4" w:type="pct"/>
                  <w:vMerge w:val="continue"/>
                  <w:vAlign w:val="center"/>
                </w:tcPr>
                <w:p w14:paraId="42615150">
                  <w:pPr>
                    <w:jc w:val="center"/>
                    <w:rPr>
                      <w:szCs w:val="21"/>
                    </w:rPr>
                  </w:pPr>
                </w:p>
              </w:tc>
              <w:tc>
                <w:tcPr>
                  <w:tcW w:w="460" w:type="pct"/>
                  <w:gridSpan w:val="2"/>
                  <w:vAlign w:val="center"/>
                </w:tcPr>
                <w:p w14:paraId="2A79476D">
                  <w:pPr>
                    <w:widowControl/>
                    <w:jc w:val="center"/>
                    <w:rPr>
                      <w:kern w:val="0"/>
                      <w:szCs w:val="21"/>
                      <w:lang w:bidi="ar"/>
                    </w:rPr>
                  </w:pPr>
                  <w:r>
                    <w:rPr>
                      <w:kern w:val="0"/>
                      <w:szCs w:val="21"/>
                      <w:lang w:bidi="ar"/>
                    </w:rPr>
                    <w:t>宿舍</w:t>
                  </w:r>
                </w:p>
              </w:tc>
              <w:tc>
                <w:tcPr>
                  <w:tcW w:w="2298" w:type="pct"/>
                  <w:gridSpan w:val="2"/>
                  <w:vAlign w:val="center"/>
                </w:tcPr>
                <w:p w14:paraId="09B5E084">
                  <w:pPr>
                    <w:widowControl/>
                    <w:jc w:val="center"/>
                    <w:rPr>
                      <w:kern w:val="0"/>
                      <w:szCs w:val="21"/>
                      <w:lang w:bidi="ar"/>
                    </w:rPr>
                  </w:pPr>
                  <w:r>
                    <w:rPr>
                      <w:kern w:val="0"/>
                      <w:szCs w:val="21"/>
                      <w:lang w:bidi="ar"/>
                    </w:rPr>
                    <w:t>/</w:t>
                  </w:r>
                </w:p>
              </w:tc>
              <w:tc>
                <w:tcPr>
                  <w:tcW w:w="871" w:type="pct"/>
                  <w:vAlign w:val="center"/>
                </w:tcPr>
                <w:p w14:paraId="4DFFC0A4">
                  <w:pPr>
                    <w:jc w:val="center"/>
                    <w:rPr>
                      <w:bCs/>
                      <w:szCs w:val="21"/>
                    </w:rPr>
                  </w:pPr>
                  <w:r>
                    <w:rPr>
                      <w:szCs w:val="21"/>
                    </w:rPr>
                    <w:t>在一期一阶段验收范围内</w:t>
                  </w:r>
                </w:p>
              </w:tc>
              <w:tc>
                <w:tcPr>
                  <w:tcW w:w="1167" w:type="pct"/>
                  <w:vAlign w:val="center"/>
                </w:tcPr>
                <w:p w14:paraId="678E39A1">
                  <w:pPr>
                    <w:jc w:val="center"/>
                    <w:rPr>
                      <w:bCs/>
                      <w:szCs w:val="21"/>
                    </w:rPr>
                  </w:pPr>
                  <w:r>
                    <w:rPr>
                      <w:bCs/>
                      <w:szCs w:val="21"/>
                    </w:rPr>
                    <w:t>一阶段实际建设过中新增，</w:t>
                  </w:r>
                  <w:r>
                    <w:rPr>
                      <w:kern w:val="0"/>
                      <w:szCs w:val="21"/>
                      <w:lang w:bidi="ar"/>
                    </w:rPr>
                    <w:t>共12栋，建筑面积5397.2m</w:t>
                  </w:r>
                  <w:r>
                    <w:rPr>
                      <w:kern w:val="0"/>
                      <w:szCs w:val="21"/>
                      <w:vertAlign w:val="superscript"/>
                      <w:lang w:bidi="ar"/>
                    </w:rPr>
                    <w:t>2</w:t>
                  </w:r>
                  <w:r>
                    <w:rPr>
                      <w:kern w:val="0"/>
                      <w:szCs w:val="21"/>
                      <w:lang w:bidi="ar"/>
                    </w:rPr>
                    <w:t>/栋，高19.9m。</w:t>
                  </w:r>
                  <w:r>
                    <w:rPr>
                      <w:bCs/>
                      <w:szCs w:val="21"/>
                    </w:rPr>
                    <w:t>不影响产排污情况。目前已入住2450名国望高科员工、2150名芮邦科技员工。并设置了50间流动倒班宿舍。房间利用率已达100%。</w:t>
                  </w:r>
                </w:p>
              </w:tc>
            </w:tr>
            <w:tr w14:paraId="512C06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4" w:type="pct"/>
                  <w:vMerge w:val="restart"/>
                  <w:vAlign w:val="center"/>
                </w:tcPr>
                <w:p w14:paraId="4CA8A110">
                  <w:pPr>
                    <w:jc w:val="center"/>
                    <w:rPr>
                      <w:szCs w:val="21"/>
                    </w:rPr>
                  </w:pPr>
                  <w:r>
                    <w:rPr>
                      <w:szCs w:val="21"/>
                    </w:rPr>
                    <w:t>公辅工程</w:t>
                  </w:r>
                </w:p>
              </w:tc>
              <w:tc>
                <w:tcPr>
                  <w:tcW w:w="460" w:type="pct"/>
                  <w:gridSpan w:val="2"/>
                  <w:vAlign w:val="center"/>
                </w:tcPr>
                <w:p w14:paraId="7C37C7BD">
                  <w:pPr>
                    <w:widowControl/>
                    <w:jc w:val="center"/>
                    <w:rPr>
                      <w:kern w:val="0"/>
                      <w:szCs w:val="21"/>
                      <w:lang w:bidi="ar"/>
                    </w:rPr>
                  </w:pPr>
                  <w:r>
                    <w:rPr>
                      <w:kern w:val="0"/>
                      <w:szCs w:val="21"/>
                      <w:lang w:bidi="ar"/>
                    </w:rPr>
                    <w:t>生产供水系统</w:t>
                  </w:r>
                </w:p>
              </w:tc>
              <w:tc>
                <w:tcPr>
                  <w:tcW w:w="2298" w:type="pct"/>
                  <w:gridSpan w:val="2"/>
                  <w:vAlign w:val="center"/>
                </w:tcPr>
                <w:p w14:paraId="02F69134">
                  <w:pPr>
                    <w:widowControl/>
                    <w:jc w:val="center"/>
                    <w:rPr>
                      <w:kern w:val="0"/>
                      <w:szCs w:val="21"/>
                      <w:lang w:bidi="ar"/>
                    </w:rPr>
                  </w:pPr>
                  <w:r>
                    <w:rPr>
                      <w:kern w:val="0"/>
                      <w:szCs w:val="21"/>
                      <w:lang w:bidi="ar"/>
                    </w:rPr>
                    <w:t>成子河西侧地块工业用水依托芮邦科技厂区自备净水站，设计能力2400m³/h，现有余量1600m³/h，成子河东侧地块新建一套2400m³/h的净水站，本项目平均使用量900m³/h</w:t>
                  </w:r>
                </w:p>
              </w:tc>
              <w:tc>
                <w:tcPr>
                  <w:tcW w:w="871" w:type="pct"/>
                  <w:vAlign w:val="center"/>
                </w:tcPr>
                <w:p w14:paraId="086F809E">
                  <w:pPr>
                    <w:jc w:val="center"/>
                    <w:rPr>
                      <w:bCs/>
                      <w:szCs w:val="21"/>
                    </w:rPr>
                  </w:pPr>
                  <w:r>
                    <w:rPr>
                      <w:kern w:val="0"/>
                      <w:szCs w:val="21"/>
                      <w:lang w:bidi="ar"/>
                    </w:rPr>
                    <w:t>西侧地块</w:t>
                  </w:r>
                  <w:r>
                    <w:rPr>
                      <w:bCs/>
                      <w:szCs w:val="21"/>
                    </w:rPr>
                    <w:t>依托芮邦</w:t>
                  </w:r>
                  <w:r>
                    <w:rPr>
                      <w:rFonts w:hint="eastAsia"/>
                      <w:bCs/>
                      <w:szCs w:val="21"/>
                    </w:rPr>
                    <w:t>科技</w:t>
                  </w:r>
                </w:p>
              </w:tc>
              <w:tc>
                <w:tcPr>
                  <w:tcW w:w="1167" w:type="pct"/>
                  <w:vAlign w:val="center"/>
                </w:tcPr>
                <w:p w14:paraId="38A5F16F">
                  <w:pPr>
                    <w:jc w:val="center"/>
                    <w:rPr>
                      <w:kern w:val="0"/>
                      <w:szCs w:val="21"/>
                      <w:lang w:bidi="ar"/>
                    </w:rPr>
                  </w:pPr>
                  <w:bookmarkStart w:id="29" w:name="_Hlk163827463"/>
                  <w:r>
                    <w:rPr>
                      <w:bCs/>
                      <w:szCs w:val="21"/>
                    </w:rPr>
                    <w:t>依托芮邦</w:t>
                  </w:r>
                  <w:r>
                    <w:rPr>
                      <w:rFonts w:hint="eastAsia"/>
                      <w:bCs/>
                      <w:szCs w:val="21"/>
                    </w:rPr>
                    <w:t>科技</w:t>
                  </w:r>
                  <w:r>
                    <w:rPr>
                      <w:kern w:val="0"/>
                      <w:szCs w:val="21"/>
                      <w:lang w:bidi="ar"/>
                    </w:rPr>
                    <w:t>厂区自备净水站，目前现有一期一阶段项目平均使用量300m³/h</w:t>
                  </w:r>
                  <w:bookmarkEnd w:id="29"/>
                  <w:r>
                    <w:rPr>
                      <w:kern w:val="0"/>
                      <w:szCs w:val="21"/>
                      <w:lang w:bidi="ar"/>
                    </w:rPr>
                    <w:t>，其余与环评一致</w:t>
                  </w:r>
                </w:p>
              </w:tc>
            </w:tr>
            <w:tr w14:paraId="5A2C92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4" w:type="pct"/>
                  <w:vMerge w:val="continue"/>
                  <w:vAlign w:val="center"/>
                </w:tcPr>
                <w:p w14:paraId="2100E696">
                  <w:pPr>
                    <w:jc w:val="center"/>
                    <w:rPr>
                      <w:szCs w:val="21"/>
                    </w:rPr>
                  </w:pPr>
                </w:p>
              </w:tc>
              <w:tc>
                <w:tcPr>
                  <w:tcW w:w="460" w:type="pct"/>
                  <w:gridSpan w:val="2"/>
                  <w:vAlign w:val="center"/>
                </w:tcPr>
                <w:p w14:paraId="3A9ADCCA">
                  <w:pPr>
                    <w:widowControl/>
                    <w:jc w:val="center"/>
                    <w:rPr>
                      <w:kern w:val="0"/>
                      <w:szCs w:val="21"/>
                      <w:lang w:bidi="ar"/>
                    </w:rPr>
                  </w:pPr>
                  <w:r>
                    <w:rPr>
                      <w:kern w:val="0"/>
                      <w:szCs w:val="21"/>
                      <w:lang w:bidi="ar"/>
                    </w:rPr>
                    <w:t>循环冷却水系统</w:t>
                  </w:r>
                </w:p>
              </w:tc>
              <w:tc>
                <w:tcPr>
                  <w:tcW w:w="2298" w:type="pct"/>
                  <w:gridSpan w:val="2"/>
                  <w:vAlign w:val="center"/>
                </w:tcPr>
                <w:p w14:paraId="6214F21E">
                  <w:pPr>
                    <w:widowControl/>
                    <w:jc w:val="center"/>
                    <w:rPr>
                      <w:kern w:val="0"/>
                      <w:szCs w:val="21"/>
                      <w:lang w:bidi="ar"/>
                    </w:rPr>
                  </w:pPr>
                  <w:r>
                    <w:rPr>
                      <w:kern w:val="0"/>
                      <w:szCs w:val="21"/>
                      <w:lang w:bidi="ar"/>
                    </w:rPr>
                    <w:t>4000t/h冷却塔30台，系统能力为18×6000m</w:t>
                  </w:r>
                  <w:r>
                    <w:rPr>
                      <w:kern w:val="0"/>
                      <w:szCs w:val="21"/>
                      <w:vertAlign w:val="superscript"/>
                      <w:lang w:bidi="ar"/>
                    </w:rPr>
                    <w:t>3</w:t>
                  </w:r>
                  <w:r>
                    <w:rPr>
                      <w:kern w:val="0"/>
                      <w:szCs w:val="21"/>
                      <w:lang w:bidi="ar"/>
                    </w:rPr>
                    <w:t>/h加12×2200m3/h。供水压力≥0.35MPa，回水压力≥0.15MPa；供水温度≤33℃，回水温度≤43℃；污垢系数0.000345m2K/W；pH值7~8.5。补水量400m</w:t>
                  </w:r>
                  <w:r>
                    <w:rPr>
                      <w:kern w:val="0"/>
                      <w:szCs w:val="21"/>
                      <w:vertAlign w:val="superscript"/>
                      <w:lang w:bidi="ar"/>
                    </w:rPr>
                    <w:t>3</w:t>
                  </w:r>
                  <w:r>
                    <w:rPr>
                      <w:kern w:val="0"/>
                      <w:szCs w:val="21"/>
                      <w:lang w:bidi="ar"/>
                    </w:rPr>
                    <w:t>/h，循环量108000m</w:t>
                  </w:r>
                  <w:r>
                    <w:rPr>
                      <w:kern w:val="0"/>
                      <w:szCs w:val="21"/>
                      <w:vertAlign w:val="superscript"/>
                      <w:lang w:bidi="ar"/>
                    </w:rPr>
                    <w:t>3</w:t>
                  </w:r>
                  <w:r>
                    <w:rPr>
                      <w:kern w:val="0"/>
                      <w:szCs w:val="21"/>
                      <w:lang w:bidi="ar"/>
                    </w:rPr>
                    <w:t>/h。</w:t>
                  </w:r>
                </w:p>
              </w:tc>
              <w:tc>
                <w:tcPr>
                  <w:tcW w:w="871" w:type="pct"/>
                  <w:vAlign w:val="center"/>
                </w:tcPr>
                <w:p w14:paraId="1005E042">
                  <w:pPr>
                    <w:jc w:val="center"/>
                    <w:rPr>
                      <w:bCs/>
                      <w:szCs w:val="21"/>
                    </w:rPr>
                  </w:pPr>
                  <w:r>
                    <w:rPr>
                      <w:kern w:val="0"/>
                      <w:szCs w:val="21"/>
                      <w:lang w:bidi="ar"/>
                    </w:rPr>
                    <w:t>循环冷却水站1</w:t>
                  </w:r>
                </w:p>
              </w:tc>
              <w:tc>
                <w:tcPr>
                  <w:tcW w:w="1167" w:type="pct"/>
                  <w:vAlign w:val="center"/>
                </w:tcPr>
                <w:p w14:paraId="4C7907C9">
                  <w:pPr>
                    <w:jc w:val="center"/>
                    <w:rPr>
                      <w:kern w:val="0"/>
                      <w:szCs w:val="21"/>
                      <w:lang w:bidi="ar"/>
                    </w:rPr>
                  </w:pPr>
                  <w:r>
                    <w:rPr>
                      <w:kern w:val="0"/>
                      <w:szCs w:val="21"/>
                      <w:lang w:bidi="ar"/>
                    </w:rPr>
                    <w:t>循环冷却水站1，已建、已验收循环量9000m</w:t>
                  </w:r>
                  <w:r>
                    <w:rPr>
                      <w:kern w:val="0"/>
                      <w:szCs w:val="21"/>
                      <w:vertAlign w:val="superscript"/>
                      <w:lang w:bidi="ar"/>
                    </w:rPr>
                    <w:t>3</w:t>
                  </w:r>
                  <w:r>
                    <w:rPr>
                      <w:kern w:val="0"/>
                      <w:szCs w:val="21"/>
                      <w:lang w:bidi="ar"/>
                    </w:rPr>
                    <w:t>/h系统能力。其余与环评一致</w:t>
                  </w:r>
                </w:p>
              </w:tc>
            </w:tr>
            <w:tr w14:paraId="7699A3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4" w:type="pct"/>
                  <w:vMerge w:val="continue"/>
                  <w:vAlign w:val="center"/>
                </w:tcPr>
                <w:p w14:paraId="7B01A71D">
                  <w:pPr>
                    <w:jc w:val="center"/>
                    <w:rPr>
                      <w:szCs w:val="21"/>
                    </w:rPr>
                  </w:pPr>
                </w:p>
              </w:tc>
              <w:tc>
                <w:tcPr>
                  <w:tcW w:w="460" w:type="pct"/>
                  <w:gridSpan w:val="2"/>
                  <w:vAlign w:val="center"/>
                </w:tcPr>
                <w:p w14:paraId="0974FD13">
                  <w:pPr>
                    <w:widowControl/>
                    <w:jc w:val="center"/>
                    <w:rPr>
                      <w:kern w:val="0"/>
                      <w:szCs w:val="21"/>
                      <w:lang w:bidi="ar"/>
                    </w:rPr>
                  </w:pPr>
                  <w:r>
                    <w:rPr>
                      <w:kern w:val="0"/>
                      <w:szCs w:val="21"/>
                      <w:lang w:bidi="ar"/>
                    </w:rPr>
                    <w:t>空调系统</w:t>
                  </w:r>
                </w:p>
              </w:tc>
              <w:tc>
                <w:tcPr>
                  <w:tcW w:w="2298" w:type="pct"/>
                  <w:gridSpan w:val="2"/>
                  <w:vAlign w:val="center"/>
                </w:tcPr>
                <w:p w14:paraId="681D66FD">
                  <w:pPr>
                    <w:widowControl/>
                    <w:jc w:val="center"/>
                    <w:rPr>
                      <w:kern w:val="0"/>
                      <w:szCs w:val="21"/>
                      <w:lang w:bidi="ar"/>
                    </w:rPr>
                  </w:pPr>
                  <w:r>
                    <w:rPr>
                      <w:kern w:val="0"/>
                      <w:szCs w:val="21"/>
                      <w:lang w:bidi="ar"/>
                    </w:rPr>
                    <w:t>冷源：设立制冷站提供冷冻水，供水温度7℃，回水温度12℃。制冷站总制冷量为25200万kcal/小时</w:t>
                  </w:r>
                </w:p>
              </w:tc>
              <w:tc>
                <w:tcPr>
                  <w:tcW w:w="871" w:type="pct"/>
                  <w:vAlign w:val="center"/>
                </w:tcPr>
                <w:p w14:paraId="182DE808">
                  <w:pPr>
                    <w:jc w:val="center"/>
                    <w:rPr>
                      <w:bCs/>
                      <w:szCs w:val="21"/>
                    </w:rPr>
                  </w:pPr>
                  <w:r>
                    <w:rPr>
                      <w:szCs w:val="21"/>
                    </w:rPr>
                    <w:t>制冷站建筑、部分设备</w:t>
                  </w:r>
                </w:p>
              </w:tc>
              <w:tc>
                <w:tcPr>
                  <w:tcW w:w="1167" w:type="pct"/>
                  <w:vAlign w:val="center"/>
                </w:tcPr>
                <w:p w14:paraId="342B2791">
                  <w:pPr>
                    <w:jc w:val="center"/>
                    <w:rPr>
                      <w:bCs/>
                      <w:szCs w:val="21"/>
                    </w:rPr>
                  </w:pPr>
                  <w:r>
                    <w:rPr>
                      <w:kern w:val="0"/>
                      <w:szCs w:val="21"/>
                      <w:lang w:bidi="ar"/>
                    </w:rPr>
                    <w:t>已建</w:t>
                  </w:r>
                  <w:r>
                    <w:rPr>
                      <w:rFonts w:hint="eastAsia"/>
                      <w:kern w:val="0"/>
                      <w:szCs w:val="21"/>
                      <w:lang w:bidi="ar"/>
                    </w:rPr>
                    <w:t>5105</w:t>
                  </w:r>
                  <w:r>
                    <w:rPr>
                      <w:kern w:val="0"/>
                      <w:szCs w:val="21"/>
                      <w:lang w:bidi="ar"/>
                    </w:rPr>
                    <w:t>万kcal/小时制冷能力</w:t>
                  </w:r>
                </w:p>
              </w:tc>
            </w:tr>
            <w:tr w14:paraId="18CF4D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4" w:type="pct"/>
                  <w:vMerge w:val="continue"/>
                  <w:vAlign w:val="center"/>
                </w:tcPr>
                <w:p w14:paraId="7F10ADC4">
                  <w:pPr>
                    <w:jc w:val="center"/>
                    <w:rPr>
                      <w:szCs w:val="21"/>
                    </w:rPr>
                  </w:pPr>
                </w:p>
              </w:tc>
              <w:tc>
                <w:tcPr>
                  <w:tcW w:w="460" w:type="pct"/>
                  <w:gridSpan w:val="2"/>
                  <w:vAlign w:val="center"/>
                </w:tcPr>
                <w:p w14:paraId="3DE73136">
                  <w:pPr>
                    <w:widowControl/>
                    <w:jc w:val="center"/>
                    <w:rPr>
                      <w:kern w:val="0"/>
                      <w:szCs w:val="21"/>
                      <w:lang w:bidi="ar"/>
                    </w:rPr>
                  </w:pPr>
                  <w:r>
                    <w:rPr>
                      <w:kern w:val="0"/>
                      <w:szCs w:val="21"/>
                      <w:lang w:bidi="ar"/>
                    </w:rPr>
                    <w:t>除盐水系统</w:t>
                  </w:r>
                </w:p>
              </w:tc>
              <w:tc>
                <w:tcPr>
                  <w:tcW w:w="2298" w:type="pct"/>
                  <w:gridSpan w:val="2"/>
                  <w:vAlign w:val="center"/>
                </w:tcPr>
                <w:p w14:paraId="6957CBF1">
                  <w:pPr>
                    <w:widowControl/>
                    <w:jc w:val="center"/>
                    <w:rPr>
                      <w:kern w:val="0"/>
                      <w:szCs w:val="21"/>
                      <w:lang w:bidi="ar"/>
                    </w:rPr>
                  </w:pPr>
                  <w:r>
                    <w:rPr>
                      <w:kern w:val="0"/>
                      <w:szCs w:val="21"/>
                      <w:lang w:bidi="ar"/>
                    </w:rPr>
                    <w:t>成子河东侧建设60t/h纯水系统2套，采用反渗透工艺+EDI</w:t>
                  </w:r>
                  <w:r>
                    <w:rPr>
                      <w:rFonts w:hint="eastAsia"/>
                      <w:kern w:val="0"/>
                      <w:szCs w:val="21"/>
                      <w:lang w:bidi="ar"/>
                    </w:rPr>
                    <w:t>。成子河西侧依托</w:t>
                  </w:r>
                  <w:r>
                    <w:rPr>
                      <w:bCs/>
                      <w:szCs w:val="21"/>
                    </w:rPr>
                    <w:t>芮邦</w:t>
                  </w:r>
                  <w:r>
                    <w:rPr>
                      <w:rFonts w:hint="eastAsia"/>
                      <w:bCs/>
                      <w:szCs w:val="21"/>
                    </w:rPr>
                    <w:t>科技</w:t>
                  </w:r>
                  <w:r>
                    <w:rPr>
                      <w:kern w:val="0"/>
                      <w:szCs w:val="21"/>
                      <w:lang w:bidi="ar"/>
                    </w:rPr>
                    <w:t>60t/h纯水系统1套</w:t>
                  </w:r>
                </w:p>
              </w:tc>
              <w:tc>
                <w:tcPr>
                  <w:tcW w:w="871" w:type="pct"/>
                  <w:vAlign w:val="center"/>
                </w:tcPr>
                <w:p w14:paraId="3F22EC0F">
                  <w:pPr>
                    <w:jc w:val="center"/>
                    <w:rPr>
                      <w:bCs/>
                      <w:szCs w:val="21"/>
                    </w:rPr>
                  </w:pPr>
                  <w:r>
                    <w:rPr>
                      <w:bCs/>
                      <w:szCs w:val="21"/>
                    </w:rPr>
                    <w:t>依托芮邦</w:t>
                  </w:r>
                  <w:r>
                    <w:rPr>
                      <w:rFonts w:hint="eastAsia"/>
                      <w:bCs/>
                      <w:szCs w:val="21"/>
                    </w:rPr>
                    <w:t>科技</w:t>
                  </w:r>
                  <w:r>
                    <w:rPr>
                      <w:kern w:val="0"/>
                      <w:szCs w:val="21"/>
                      <w:lang w:bidi="ar"/>
                    </w:rPr>
                    <w:t>60t/h纯水系统1套</w:t>
                  </w:r>
                </w:p>
              </w:tc>
              <w:tc>
                <w:tcPr>
                  <w:tcW w:w="1167" w:type="pct"/>
                  <w:vAlign w:val="center"/>
                </w:tcPr>
                <w:p w14:paraId="39C6C062">
                  <w:pPr>
                    <w:jc w:val="center"/>
                    <w:rPr>
                      <w:bCs/>
                      <w:szCs w:val="21"/>
                    </w:rPr>
                  </w:pPr>
                  <w:bookmarkStart w:id="30" w:name="_Hlk163827510"/>
                  <w:r>
                    <w:rPr>
                      <w:bCs/>
                      <w:szCs w:val="21"/>
                    </w:rPr>
                    <w:t>成子河西侧厂区目前依托芮邦</w:t>
                  </w:r>
                  <w:r>
                    <w:rPr>
                      <w:rFonts w:hint="eastAsia"/>
                      <w:bCs/>
                      <w:szCs w:val="21"/>
                    </w:rPr>
                    <w:t>科技</w:t>
                  </w:r>
                  <w:r>
                    <w:rPr>
                      <w:kern w:val="0"/>
                      <w:szCs w:val="21"/>
                      <w:lang w:bidi="ar"/>
                    </w:rPr>
                    <w:t>60t/h纯水系统1套，采用反渗透工艺+EDI</w:t>
                  </w:r>
                  <w:bookmarkEnd w:id="30"/>
                  <w:r>
                    <w:rPr>
                      <w:kern w:val="0"/>
                      <w:szCs w:val="21"/>
                      <w:lang w:bidi="ar"/>
                    </w:rPr>
                    <w:t>，</w:t>
                  </w:r>
                  <w:r>
                    <w:rPr>
                      <w:rFonts w:hint="eastAsia"/>
                      <w:kern w:val="0"/>
                      <w:szCs w:val="21"/>
                      <w:lang w:bidi="ar"/>
                    </w:rPr>
                    <w:t>芮邦科技及</w:t>
                  </w:r>
                  <w:r>
                    <w:rPr>
                      <w:bCs/>
                      <w:szCs w:val="21"/>
                    </w:rPr>
                    <w:t>现有项目用水</w:t>
                  </w:r>
                  <w:r>
                    <w:rPr>
                      <w:rStyle w:val="55"/>
                      <w:rFonts w:hint="eastAsia"/>
                      <w:kern w:val="0"/>
                      <w:szCs w:val="20"/>
                    </w:rPr>
                    <w:t>4</w:t>
                  </w:r>
                  <w:r>
                    <w:rPr>
                      <w:rStyle w:val="55"/>
                      <w:rFonts w:hint="eastAsia"/>
                      <w:szCs w:val="20"/>
                    </w:rPr>
                    <w:t>5</w:t>
                  </w:r>
                  <w:r>
                    <w:rPr>
                      <w:rStyle w:val="55"/>
                      <w:kern w:val="0"/>
                      <w:szCs w:val="20"/>
                    </w:rPr>
                    <w:t>m³/h</w:t>
                  </w:r>
                </w:p>
              </w:tc>
            </w:tr>
            <w:tr w14:paraId="1788E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4" w:type="pct"/>
                  <w:vMerge w:val="continue"/>
                  <w:vAlign w:val="center"/>
                </w:tcPr>
                <w:p w14:paraId="63E23E7A">
                  <w:pPr>
                    <w:jc w:val="center"/>
                    <w:rPr>
                      <w:szCs w:val="21"/>
                    </w:rPr>
                  </w:pPr>
                </w:p>
              </w:tc>
              <w:tc>
                <w:tcPr>
                  <w:tcW w:w="460" w:type="pct"/>
                  <w:gridSpan w:val="2"/>
                  <w:vAlign w:val="center"/>
                </w:tcPr>
                <w:p w14:paraId="7983CD78">
                  <w:pPr>
                    <w:widowControl/>
                    <w:jc w:val="center"/>
                    <w:rPr>
                      <w:kern w:val="0"/>
                      <w:szCs w:val="21"/>
                      <w:lang w:bidi="ar"/>
                    </w:rPr>
                  </w:pPr>
                  <w:r>
                    <w:rPr>
                      <w:kern w:val="0"/>
                      <w:szCs w:val="21"/>
                      <w:lang w:bidi="ar"/>
                    </w:rPr>
                    <w:t>氮气系统</w:t>
                  </w:r>
                </w:p>
              </w:tc>
              <w:tc>
                <w:tcPr>
                  <w:tcW w:w="2298" w:type="pct"/>
                  <w:gridSpan w:val="2"/>
                  <w:vAlign w:val="center"/>
                </w:tcPr>
                <w:p w14:paraId="506E7E29">
                  <w:pPr>
                    <w:widowControl/>
                    <w:jc w:val="center"/>
                    <w:rPr>
                      <w:kern w:val="0"/>
                      <w:szCs w:val="21"/>
                      <w:lang w:bidi="ar"/>
                    </w:rPr>
                  </w:pPr>
                  <w:r>
                    <w:rPr>
                      <w:kern w:val="0"/>
                      <w:szCs w:val="21"/>
                      <w:lang w:bidi="ar"/>
                    </w:rPr>
                    <w:t>6台400Nm</w:t>
                  </w:r>
                  <w:r>
                    <w:rPr>
                      <w:kern w:val="0"/>
                      <w:szCs w:val="21"/>
                      <w:vertAlign w:val="superscript"/>
                      <w:lang w:bidi="ar"/>
                    </w:rPr>
                    <w:t>3</w:t>
                  </w:r>
                  <w:r>
                    <w:rPr>
                      <w:kern w:val="0"/>
                      <w:szCs w:val="21"/>
                      <w:lang w:bidi="ar"/>
                    </w:rPr>
                    <w:t>-PSA型制氮机、单台产气量：400Nm³/min；4个30m</w:t>
                  </w:r>
                  <w:r>
                    <w:rPr>
                      <w:kern w:val="0"/>
                      <w:szCs w:val="21"/>
                      <w:vertAlign w:val="superscript"/>
                      <w:lang w:bidi="ar"/>
                    </w:rPr>
                    <w:t>3</w:t>
                  </w:r>
                  <w:r>
                    <w:rPr>
                      <w:kern w:val="0"/>
                      <w:szCs w:val="21"/>
                      <w:lang w:bidi="ar"/>
                    </w:rPr>
                    <w:t>液氮储罐</w:t>
                  </w:r>
                </w:p>
              </w:tc>
              <w:tc>
                <w:tcPr>
                  <w:tcW w:w="871" w:type="pct"/>
                  <w:vAlign w:val="center"/>
                </w:tcPr>
                <w:p w14:paraId="015E9162">
                  <w:pPr>
                    <w:jc w:val="center"/>
                    <w:rPr>
                      <w:bCs/>
                      <w:szCs w:val="21"/>
                    </w:rPr>
                  </w:pPr>
                  <w:r>
                    <w:rPr>
                      <w:kern w:val="0"/>
                      <w:szCs w:val="21"/>
                      <w:lang w:bidi="ar"/>
                    </w:rPr>
                    <w:t>2台400Nm</w:t>
                  </w:r>
                  <w:r>
                    <w:rPr>
                      <w:kern w:val="0"/>
                      <w:szCs w:val="21"/>
                      <w:vertAlign w:val="superscript"/>
                      <w:lang w:bidi="ar"/>
                    </w:rPr>
                    <w:t>3</w:t>
                  </w:r>
                  <w:r>
                    <w:rPr>
                      <w:kern w:val="0"/>
                      <w:szCs w:val="21"/>
                      <w:lang w:bidi="ar"/>
                    </w:rPr>
                    <w:t>-PSA型制氮机、单台产气量：400Nm³/min；1个30m</w:t>
                  </w:r>
                  <w:r>
                    <w:rPr>
                      <w:kern w:val="0"/>
                      <w:szCs w:val="21"/>
                      <w:vertAlign w:val="superscript"/>
                      <w:lang w:bidi="ar"/>
                    </w:rPr>
                    <w:t>3</w:t>
                  </w:r>
                  <w:r>
                    <w:rPr>
                      <w:kern w:val="0"/>
                      <w:szCs w:val="21"/>
                      <w:lang w:bidi="ar"/>
                    </w:rPr>
                    <w:t>液氮储罐</w:t>
                  </w:r>
                </w:p>
              </w:tc>
              <w:tc>
                <w:tcPr>
                  <w:tcW w:w="1167" w:type="pct"/>
                  <w:vAlign w:val="center"/>
                </w:tcPr>
                <w:p w14:paraId="23FC0CEF">
                  <w:pPr>
                    <w:jc w:val="center"/>
                    <w:rPr>
                      <w:bCs/>
                      <w:szCs w:val="21"/>
                    </w:rPr>
                  </w:pPr>
                  <w:r>
                    <w:rPr>
                      <w:bCs/>
                      <w:szCs w:val="21"/>
                    </w:rPr>
                    <w:t>现有项目使用精氮和粗氮最大消耗量分别200Nm³/h和200Nm³/h</w:t>
                  </w:r>
                </w:p>
              </w:tc>
            </w:tr>
            <w:tr w14:paraId="1119B0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4" w:type="pct"/>
                  <w:vMerge w:val="continue"/>
                  <w:vAlign w:val="center"/>
                </w:tcPr>
                <w:p w14:paraId="79FA9CAB">
                  <w:pPr>
                    <w:jc w:val="center"/>
                    <w:rPr>
                      <w:szCs w:val="21"/>
                    </w:rPr>
                  </w:pPr>
                </w:p>
              </w:tc>
              <w:tc>
                <w:tcPr>
                  <w:tcW w:w="460" w:type="pct"/>
                  <w:gridSpan w:val="2"/>
                  <w:vAlign w:val="center"/>
                </w:tcPr>
                <w:p w14:paraId="1E593FA0">
                  <w:pPr>
                    <w:widowControl/>
                    <w:jc w:val="center"/>
                    <w:rPr>
                      <w:kern w:val="0"/>
                      <w:szCs w:val="21"/>
                      <w:lang w:bidi="ar"/>
                    </w:rPr>
                  </w:pPr>
                  <w:r>
                    <w:rPr>
                      <w:kern w:val="0"/>
                      <w:szCs w:val="21"/>
                      <w:lang w:bidi="ar"/>
                    </w:rPr>
                    <w:t>过滤器清洗系统</w:t>
                  </w:r>
                </w:p>
              </w:tc>
              <w:tc>
                <w:tcPr>
                  <w:tcW w:w="2298" w:type="pct"/>
                  <w:gridSpan w:val="2"/>
                  <w:vAlign w:val="center"/>
                </w:tcPr>
                <w:p w14:paraId="60EAA3C8">
                  <w:pPr>
                    <w:widowControl/>
                    <w:jc w:val="center"/>
                    <w:rPr>
                      <w:kern w:val="0"/>
                      <w:szCs w:val="21"/>
                      <w:lang w:bidi="ar"/>
                    </w:rPr>
                  </w:pPr>
                  <w:r>
                    <w:rPr>
                      <w:kern w:val="0"/>
                      <w:szCs w:val="21"/>
                      <w:lang w:bidi="ar"/>
                    </w:rPr>
                    <w:t>采用高温水解法清洗熔体过滤器滤芯。工作温度为300~350℃。清洗时间为大约18小时。</w:t>
                  </w:r>
                </w:p>
              </w:tc>
              <w:tc>
                <w:tcPr>
                  <w:tcW w:w="871" w:type="pct"/>
                  <w:vAlign w:val="center"/>
                </w:tcPr>
                <w:p w14:paraId="4611ABCC">
                  <w:pPr>
                    <w:jc w:val="center"/>
                    <w:rPr>
                      <w:bCs/>
                      <w:szCs w:val="21"/>
                    </w:rPr>
                  </w:pPr>
                  <w:r>
                    <w:rPr>
                      <w:szCs w:val="21"/>
                    </w:rPr>
                    <w:t>全部在一阶段验收范围内</w:t>
                  </w:r>
                </w:p>
              </w:tc>
              <w:tc>
                <w:tcPr>
                  <w:tcW w:w="1167" w:type="pct"/>
                  <w:vAlign w:val="center"/>
                </w:tcPr>
                <w:p w14:paraId="2EF89284">
                  <w:pPr>
                    <w:jc w:val="center"/>
                    <w:rPr>
                      <w:bCs/>
                      <w:szCs w:val="21"/>
                    </w:rPr>
                  </w:pPr>
                  <w:r>
                    <w:rPr>
                      <w:rFonts w:hint="eastAsia"/>
                      <w:bCs/>
                      <w:szCs w:val="21"/>
                    </w:rPr>
                    <w:t>建设与</w:t>
                  </w:r>
                  <w:r>
                    <w:rPr>
                      <w:bCs/>
                      <w:szCs w:val="21"/>
                    </w:rPr>
                    <w:t>运行情况与一期项目环评一致</w:t>
                  </w:r>
                </w:p>
              </w:tc>
            </w:tr>
            <w:tr w14:paraId="05B8D8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4" w:type="pct"/>
                  <w:vMerge w:val="continue"/>
                  <w:vAlign w:val="center"/>
                </w:tcPr>
                <w:p w14:paraId="21A3D3A0">
                  <w:pPr>
                    <w:jc w:val="center"/>
                    <w:rPr>
                      <w:szCs w:val="21"/>
                    </w:rPr>
                  </w:pPr>
                </w:p>
              </w:tc>
              <w:tc>
                <w:tcPr>
                  <w:tcW w:w="460" w:type="pct"/>
                  <w:gridSpan w:val="2"/>
                  <w:vAlign w:val="center"/>
                </w:tcPr>
                <w:p w14:paraId="24FA6ED4">
                  <w:pPr>
                    <w:widowControl/>
                    <w:jc w:val="center"/>
                    <w:rPr>
                      <w:kern w:val="0"/>
                      <w:szCs w:val="21"/>
                      <w:lang w:bidi="ar"/>
                    </w:rPr>
                  </w:pPr>
                  <w:r>
                    <w:rPr>
                      <w:kern w:val="0"/>
                      <w:szCs w:val="21"/>
                      <w:lang w:bidi="ar"/>
                    </w:rPr>
                    <w:t>热媒系统</w:t>
                  </w:r>
                </w:p>
              </w:tc>
              <w:tc>
                <w:tcPr>
                  <w:tcW w:w="2298" w:type="pct"/>
                  <w:gridSpan w:val="2"/>
                  <w:vAlign w:val="center"/>
                </w:tcPr>
                <w:p w14:paraId="367A7C5B">
                  <w:pPr>
                    <w:widowControl/>
                    <w:rPr>
                      <w:kern w:val="0"/>
                      <w:szCs w:val="21"/>
                      <w:lang w:bidi="ar"/>
                    </w:rPr>
                  </w:pPr>
                  <w:r>
                    <w:rPr>
                      <w:szCs w:val="21"/>
                    </w:rPr>
                    <w:t>本工程工艺生产需要使用热媒，拟新建一座热媒站，</w:t>
                  </w:r>
                  <w:r>
                    <w:rPr>
                      <w:kern w:val="0"/>
                      <w:szCs w:val="21"/>
                    </w:rPr>
                    <w:t>成子河西侧地块（100万吨熔体产能）由导热油直接供热，所需热媒负荷9760万cal/h，依托厂区自备热媒站</w:t>
                  </w:r>
                  <w:r>
                    <w:rPr>
                      <w:szCs w:val="21"/>
                    </w:rPr>
                    <w:t>4×65.5t/h水煤浆导热油炉和1×40t/h水煤浆导热油炉（备用），</w:t>
                  </w:r>
                  <w:r>
                    <w:rPr>
                      <w:kern w:val="0"/>
                      <w:szCs w:val="21"/>
                    </w:rPr>
                    <w:t>设计总热媒负荷15800万cal/h（不含备用炉）。</w:t>
                  </w:r>
                  <w:r>
                    <w:rPr>
                      <w:szCs w:val="21"/>
                    </w:rPr>
                    <w:t>水煤浆导热油炉供热温度325℃，压力1.0MPa~1.2MPa；热媒系统主要由导热油炉、循环泵、膨胀罐、贮罐、加油泵组成。膨胀罐设在所在热媒管道系统最高点，贮罐在系统停止使用时贮存热媒，加油泵在系统起动前将热媒打入系统及在运行中补充热媒。经过加热的热媒油</w:t>
                  </w:r>
                  <w:r>
                    <w:rPr>
                      <w:rFonts w:hint="eastAsia"/>
                      <w:szCs w:val="21"/>
                    </w:rPr>
                    <w:t>管道输</w:t>
                  </w:r>
                  <w:r>
                    <w:rPr>
                      <w:szCs w:val="21"/>
                    </w:rPr>
                    <w:t>送至主车间后回到热媒间，经循环泵重新打入热媒炉进行加热，形成循环系统。</w:t>
                  </w:r>
                </w:p>
              </w:tc>
              <w:tc>
                <w:tcPr>
                  <w:tcW w:w="871" w:type="pct"/>
                  <w:vAlign w:val="center"/>
                </w:tcPr>
                <w:p w14:paraId="166CD994">
                  <w:pPr>
                    <w:jc w:val="center"/>
                    <w:rPr>
                      <w:bCs/>
                      <w:szCs w:val="21"/>
                    </w:rPr>
                  </w:pPr>
                  <w:r>
                    <w:rPr>
                      <w:szCs w:val="21"/>
                    </w:rPr>
                    <w:t>全部在一阶段验收范围内</w:t>
                  </w:r>
                </w:p>
              </w:tc>
              <w:tc>
                <w:tcPr>
                  <w:tcW w:w="1167" w:type="pct"/>
                  <w:vAlign w:val="center"/>
                </w:tcPr>
                <w:p w14:paraId="68E3C992">
                  <w:pPr>
                    <w:jc w:val="center"/>
                    <w:rPr>
                      <w:bCs/>
                      <w:szCs w:val="21"/>
                    </w:rPr>
                  </w:pPr>
                  <w:r>
                    <w:rPr>
                      <w:rFonts w:hint="eastAsia"/>
                      <w:bCs/>
                      <w:szCs w:val="21"/>
                    </w:rPr>
                    <w:t>建设与</w:t>
                  </w:r>
                  <w:r>
                    <w:rPr>
                      <w:bCs/>
                      <w:szCs w:val="21"/>
                    </w:rPr>
                    <w:t>运行情况与一期项目环评一致，计划2025年底前停止使用</w:t>
                  </w:r>
                </w:p>
              </w:tc>
            </w:tr>
            <w:tr w14:paraId="723249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4" w:type="pct"/>
                  <w:vMerge w:val="continue"/>
                  <w:vAlign w:val="center"/>
                </w:tcPr>
                <w:p w14:paraId="1F632159">
                  <w:pPr>
                    <w:jc w:val="center"/>
                    <w:rPr>
                      <w:szCs w:val="21"/>
                    </w:rPr>
                  </w:pPr>
                </w:p>
              </w:tc>
              <w:tc>
                <w:tcPr>
                  <w:tcW w:w="460" w:type="pct"/>
                  <w:gridSpan w:val="2"/>
                  <w:vAlign w:val="center"/>
                </w:tcPr>
                <w:p w14:paraId="39030F20">
                  <w:pPr>
                    <w:widowControl/>
                    <w:jc w:val="center"/>
                    <w:rPr>
                      <w:kern w:val="0"/>
                      <w:szCs w:val="21"/>
                      <w:lang w:bidi="ar"/>
                    </w:rPr>
                  </w:pPr>
                  <w:r>
                    <w:rPr>
                      <w:kern w:val="0"/>
                      <w:szCs w:val="21"/>
                      <w:lang w:bidi="ar"/>
                    </w:rPr>
                    <w:t>压缩空气</w:t>
                  </w:r>
                </w:p>
              </w:tc>
              <w:tc>
                <w:tcPr>
                  <w:tcW w:w="2298" w:type="pct"/>
                  <w:gridSpan w:val="2"/>
                  <w:vAlign w:val="center"/>
                </w:tcPr>
                <w:p w14:paraId="45681684">
                  <w:pPr>
                    <w:widowControl/>
                    <w:jc w:val="center"/>
                    <w:rPr>
                      <w:kern w:val="0"/>
                      <w:szCs w:val="21"/>
                      <w:lang w:bidi="ar"/>
                    </w:rPr>
                  </w:pPr>
                  <w:r>
                    <w:rPr>
                      <w:kern w:val="0"/>
                      <w:szCs w:val="21"/>
                      <w:lang w:bidi="ar"/>
                    </w:rPr>
                    <w:t>7台250Nm³/min 0.8MPa离心式空气压缩机；6台250Nm³/min 0.45MPa离心式空气压缩机；13台250Nm³/min 0.22MPa离心式空气压缩机。11台964Nm3/min 0.22MPa蒸汽透平空压机，2台1050Nm</w:t>
                  </w:r>
                  <w:r>
                    <w:rPr>
                      <w:kern w:val="0"/>
                      <w:szCs w:val="21"/>
                      <w:vertAlign w:val="superscript"/>
                      <w:lang w:bidi="ar"/>
                    </w:rPr>
                    <w:t>3</w:t>
                  </w:r>
                  <w:r>
                    <w:rPr>
                      <w:kern w:val="0"/>
                      <w:szCs w:val="21"/>
                      <w:lang w:bidi="ar"/>
                    </w:rPr>
                    <w:t>/min 0.32MPa蒸汽透平空压机，3台910Nm</w:t>
                  </w:r>
                  <w:r>
                    <w:rPr>
                      <w:kern w:val="0"/>
                      <w:szCs w:val="21"/>
                      <w:vertAlign w:val="superscript"/>
                      <w:lang w:bidi="ar"/>
                    </w:rPr>
                    <w:t>3</w:t>
                  </w:r>
                  <w:r>
                    <w:rPr>
                      <w:kern w:val="0"/>
                      <w:szCs w:val="21"/>
                      <w:lang w:bidi="ar"/>
                    </w:rPr>
                    <w:t>/min 0.45MPa蒸汽透平空压机，1台840Nm</w:t>
                  </w:r>
                  <w:r>
                    <w:rPr>
                      <w:kern w:val="0"/>
                      <w:szCs w:val="21"/>
                      <w:vertAlign w:val="superscript"/>
                      <w:lang w:bidi="ar"/>
                    </w:rPr>
                    <w:t>3</w:t>
                  </w:r>
                  <w:r>
                    <w:rPr>
                      <w:kern w:val="0"/>
                      <w:szCs w:val="21"/>
                      <w:lang w:bidi="ar"/>
                    </w:rPr>
                    <w:t>/min 0.5MPa蒸汽透平空压机，2台680Nm</w:t>
                  </w:r>
                  <w:r>
                    <w:rPr>
                      <w:kern w:val="0"/>
                      <w:szCs w:val="21"/>
                      <w:vertAlign w:val="superscript"/>
                      <w:lang w:bidi="ar"/>
                    </w:rPr>
                    <w:t>3</w:t>
                  </w:r>
                  <w:r>
                    <w:rPr>
                      <w:kern w:val="0"/>
                      <w:szCs w:val="21"/>
                      <w:lang w:bidi="ar"/>
                    </w:rPr>
                    <w:t>/min 0.8MPa蒸汽透平空压机。</w:t>
                  </w:r>
                </w:p>
              </w:tc>
              <w:tc>
                <w:tcPr>
                  <w:tcW w:w="871" w:type="pct"/>
                  <w:vAlign w:val="center"/>
                </w:tcPr>
                <w:p w14:paraId="0F41DC27">
                  <w:pPr>
                    <w:jc w:val="center"/>
                    <w:rPr>
                      <w:bCs/>
                      <w:szCs w:val="21"/>
                    </w:rPr>
                  </w:pPr>
                  <w:r>
                    <w:rPr>
                      <w:bCs/>
                      <w:szCs w:val="21"/>
                    </w:rPr>
                    <w:t>动力站1中部分空压机</w:t>
                  </w:r>
                </w:p>
              </w:tc>
              <w:tc>
                <w:tcPr>
                  <w:tcW w:w="1167" w:type="pct"/>
                  <w:vAlign w:val="center"/>
                </w:tcPr>
                <w:p w14:paraId="6CA788A6">
                  <w:pPr>
                    <w:jc w:val="center"/>
                    <w:rPr>
                      <w:bCs/>
                      <w:szCs w:val="21"/>
                    </w:rPr>
                  </w:pPr>
                  <w:r>
                    <w:rPr>
                      <w:kern w:val="0"/>
                      <w:szCs w:val="21"/>
                      <w:lang w:bidi="ar"/>
                    </w:rPr>
                    <w:t>动力站1</w:t>
                  </w:r>
                  <w:r>
                    <w:rPr>
                      <w:szCs w:val="21"/>
                      <w:lang w:bidi="ar"/>
                    </w:rPr>
                    <w:t>中空压机已验收，并政策运行。</w:t>
                  </w:r>
                  <w:r>
                    <w:rPr>
                      <w:kern w:val="0"/>
                      <w:szCs w:val="21"/>
                      <w:lang w:bidi="ar"/>
                    </w:rPr>
                    <w:t>2台250Nm³/min 0.8MPa离心式空气压缩机；2台250Nm³/min 0.45MPa离心式空气压缩机；2台250Nm³/min 0.22MPa离心式空气压缩机。</w:t>
                  </w:r>
                </w:p>
              </w:tc>
            </w:tr>
            <w:tr w14:paraId="018802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4" w:type="pct"/>
                  <w:vMerge w:val="continue"/>
                  <w:vAlign w:val="center"/>
                </w:tcPr>
                <w:p w14:paraId="0E3133AF">
                  <w:pPr>
                    <w:jc w:val="center"/>
                    <w:rPr>
                      <w:szCs w:val="21"/>
                    </w:rPr>
                  </w:pPr>
                </w:p>
              </w:tc>
              <w:tc>
                <w:tcPr>
                  <w:tcW w:w="460" w:type="pct"/>
                  <w:gridSpan w:val="2"/>
                  <w:vAlign w:val="center"/>
                </w:tcPr>
                <w:p w14:paraId="109877CD">
                  <w:pPr>
                    <w:widowControl/>
                    <w:jc w:val="center"/>
                    <w:rPr>
                      <w:kern w:val="0"/>
                      <w:szCs w:val="21"/>
                      <w:lang w:bidi="ar"/>
                    </w:rPr>
                  </w:pPr>
                  <w:r>
                    <w:rPr>
                      <w:kern w:val="0"/>
                      <w:szCs w:val="21"/>
                      <w:lang w:bidi="ar"/>
                    </w:rPr>
                    <w:t>供电系统</w:t>
                  </w:r>
                </w:p>
              </w:tc>
              <w:tc>
                <w:tcPr>
                  <w:tcW w:w="2298" w:type="pct"/>
                  <w:gridSpan w:val="2"/>
                  <w:vAlign w:val="center"/>
                </w:tcPr>
                <w:p w14:paraId="4438A1EE">
                  <w:pPr>
                    <w:widowControl/>
                    <w:jc w:val="center"/>
                    <w:rPr>
                      <w:kern w:val="0"/>
                      <w:szCs w:val="21"/>
                      <w:lang w:bidi="ar"/>
                    </w:rPr>
                  </w:pPr>
                  <w:r>
                    <w:rPr>
                      <w:kern w:val="0"/>
                      <w:szCs w:val="21"/>
                      <w:lang w:bidi="ar"/>
                    </w:rPr>
                    <w:t>成子河西侧二里桥以南地块电源直接取自220kV站，成子河西侧其他地块由动力站1、动力站2和3个35kV站，成子河东侧地块由3个35kV站供应，总电源都出自220kV，年用电量242990万度</w:t>
                  </w:r>
                </w:p>
              </w:tc>
              <w:tc>
                <w:tcPr>
                  <w:tcW w:w="871" w:type="pct"/>
                  <w:vAlign w:val="center"/>
                </w:tcPr>
                <w:p w14:paraId="2B7051FE">
                  <w:pPr>
                    <w:jc w:val="center"/>
                    <w:rPr>
                      <w:bCs/>
                      <w:szCs w:val="21"/>
                    </w:rPr>
                  </w:pPr>
                  <w:r>
                    <w:rPr>
                      <w:kern w:val="0"/>
                      <w:szCs w:val="21"/>
                      <w:lang w:bidi="ar"/>
                    </w:rPr>
                    <w:t>动力站1</w:t>
                  </w:r>
                </w:p>
              </w:tc>
              <w:tc>
                <w:tcPr>
                  <w:tcW w:w="1167" w:type="pct"/>
                  <w:vAlign w:val="center"/>
                </w:tcPr>
                <w:p w14:paraId="0F0658C4">
                  <w:pPr>
                    <w:jc w:val="center"/>
                    <w:rPr>
                      <w:kern w:val="0"/>
                      <w:szCs w:val="21"/>
                      <w:lang w:bidi="ar"/>
                    </w:rPr>
                  </w:pPr>
                  <w:r>
                    <w:rPr>
                      <w:kern w:val="0"/>
                      <w:szCs w:val="21"/>
                      <w:lang w:bidi="ar"/>
                    </w:rPr>
                    <w:t>成子河西侧220kv变电站已建成，目前由动力站1及1个35kv站供应，年用电量25000万度</w:t>
                  </w:r>
                </w:p>
              </w:tc>
            </w:tr>
            <w:tr w14:paraId="14B97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70" w:hRule="atLeast"/>
                <w:jc w:val="center"/>
              </w:trPr>
              <w:tc>
                <w:tcPr>
                  <w:tcW w:w="204" w:type="pct"/>
                  <w:vMerge w:val="continue"/>
                  <w:vAlign w:val="center"/>
                </w:tcPr>
                <w:p w14:paraId="59CF753D">
                  <w:pPr>
                    <w:jc w:val="center"/>
                    <w:rPr>
                      <w:szCs w:val="21"/>
                    </w:rPr>
                  </w:pPr>
                </w:p>
              </w:tc>
              <w:tc>
                <w:tcPr>
                  <w:tcW w:w="460" w:type="pct"/>
                  <w:gridSpan w:val="2"/>
                  <w:vAlign w:val="center"/>
                </w:tcPr>
                <w:p w14:paraId="06D17BA2">
                  <w:pPr>
                    <w:widowControl/>
                    <w:jc w:val="center"/>
                    <w:rPr>
                      <w:kern w:val="0"/>
                      <w:szCs w:val="21"/>
                      <w:lang w:bidi="ar"/>
                    </w:rPr>
                  </w:pPr>
                  <w:r>
                    <w:rPr>
                      <w:kern w:val="0"/>
                      <w:szCs w:val="21"/>
                      <w:lang w:bidi="ar"/>
                    </w:rPr>
                    <w:t>染色试验间</w:t>
                  </w:r>
                </w:p>
              </w:tc>
              <w:tc>
                <w:tcPr>
                  <w:tcW w:w="2298" w:type="pct"/>
                  <w:gridSpan w:val="2"/>
                  <w:vAlign w:val="center"/>
                </w:tcPr>
                <w:p w14:paraId="2D80A5F5">
                  <w:pPr>
                    <w:widowControl/>
                    <w:jc w:val="center"/>
                    <w:rPr>
                      <w:kern w:val="0"/>
                      <w:szCs w:val="21"/>
                      <w:lang w:bidi="ar"/>
                    </w:rPr>
                  </w:pPr>
                  <w:r>
                    <w:rPr>
                      <w:kern w:val="0"/>
                      <w:szCs w:val="21"/>
                      <w:lang w:bidi="ar"/>
                    </w:rPr>
                    <w:t>对每批丝饼抽样，织袜染色，以验证产品的染色均匀度。本项目染色试验间共配套100台染色机。</w:t>
                  </w:r>
                </w:p>
              </w:tc>
              <w:tc>
                <w:tcPr>
                  <w:tcW w:w="871" w:type="pct"/>
                  <w:vAlign w:val="center"/>
                </w:tcPr>
                <w:p w14:paraId="2427E6C0">
                  <w:pPr>
                    <w:jc w:val="center"/>
                    <w:rPr>
                      <w:bCs/>
                      <w:szCs w:val="21"/>
                    </w:rPr>
                  </w:pPr>
                  <w:r>
                    <w:rPr>
                      <w:szCs w:val="21"/>
                    </w:rPr>
                    <w:t>一阶段配备4台</w:t>
                  </w:r>
                  <w:r>
                    <w:rPr>
                      <w:kern w:val="0"/>
                      <w:szCs w:val="21"/>
                      <w:lang w:bidi="ar"/>
                    </w:rPr>
                    <w:t>染色机</w:t>
                  </w:r>
                </w:p>
              </w:tc>
              <w:tc>
                <w:tcPr>
                  <w:tcW w:w="1167" w:type="pct"/>
                  <w:vAlign w:val="center"/>
                </w:tcPr>
                <w:p w14:paraId="29CC111E">
                  <w:pPr>
                    <w:jc w:val="center"/>
                    <w:rPr>
                      <w:bCs/>
                      <w:szCs w:val="21"/>
                    </w:rPr>
                  </w:pPr>
                  <w:r>
                    <w:rPr>
                      <w:rFonts w:hint="eastAsia"/>
                      <w:bCs/>
                      <w:szCs w:val="21"/>
                    </w:rPr>
                    <w:t>建设与</w:t>
                  </w:r>
                  <w:r>
                    <w:rPr>
                      <w:bCs/>
                      <w:szCs w:val="21"/>
                    </w:rPr>
                    <w:t>运行情况与一期项目环评一致</w:t>
                  </w:r>
                </w:p>
              </w:tc>
            </w:tr>
            <w:tr w14:paraId="79D10D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70" w:hRule="atLeast"/>
                <w:jc w:val="center"/>
              </w:trPr>
              <w:tc>
                <w:tcPr>
                  <w:tcW w:w="204" w:type="pct"/>
                  <w:vMerge w:val="continue"/>
                  <w:vAlign w:val="center"/>
                </w:tcPr>
                <w:p w14:paraId="2AF0A4FB">
                  <w:pPr>
                    <w:jc w:val="center"/>
                    <w:rPr>
                      <w:szCs w:val="21"/>
                    </w:rPr>
                  </w:pPr>
                </w:p>
              </w:tc>
              <w:tc>
                <w:tcPr>
                  <w:tcW w:w="460" w:type="pct"/>
                  <w:gridSpan w:val="2"/>
                  <w:vAlign w:val="center"/>
                </w:tcPr>
                <w:p w14:paraId="6CF60A7F">
                  <w:pPr>
                    <w:widowControl/>
                    <w:jc w:val="center"/>
                    <w:rPr>
                      <w:kern w:val="0"/>
                      <w:szCs w:val="21"/>
                      <w:lang w:bidi="ar"/>
                    </w:rPr>
                  </w:pPr>
                  <w:r>
                    <w:rPr>
                      <w:szCs w:val="21"/>
                    </w:rPr>
                    <w:t>化验中心</w:t>
                  </w:r>
                </w:p>
              </w:tc>
              <w:tc>
                <w:tcPr>
                  <w:tcW w:w="2298" w:type="pct"/>
                  <w:gridSpan w:val="2"/>
                  <w:vAlign w:val="center"/>
                </w:tcPr>
                <w:p w14:paraId="35FD97C2">
                  <w:pPr>
                    <w:widowControl/>
                    <w:jc w:val="center"/>
                    <w:rPr>
                      <w:kern w:val="0"/>
                      <w:szCs w:val="21"/>
                      <w:lang w:bidi="ar"/>
                    </w:rPr>
                  </w:pPr>
                  <w:r>
                    <w:rPr>
                      <w:kern w:val="0"/>
                      <w:szCs w:val="21"/>
                      <w:lang w:bidi="ar"/>
                    </w:rPr>
                    <w:t>使用试剂进行日常水质分析，过程品切片、酯化物的检测分析、聚酯辅剂分析、假捻纺丝油剂分析</w:t>
                  </w:r>
                </w:p>
              </w:tc>
              <w:tc>
                <w:tcPr>
                  <w:tcW w:w="871" w:type="pct"/>
                  <w:vAlign w:val="center"/>
                </w:tcPr>
                <w:p w14:paraId="7676D12A">
                  <w:pPr>
                    <w:jc w:val="center"/>
                    <w:rPr>
                      <w:szCs w:val="21"/>
                    </w:rPr>
                  </w:pPr>
                  <w:r>
                    <w:rPr>
                      <w:szCs w:val="21"/>
                    </w:rPr>
                    <w:t>全部在一期一阶段验收范围内</w:t>
                  </w:r>
                </w:p>
              </w:tc>
              <w:tc>
                <w:tcPr>
                  <w:tcW w:w="1167" w:type="pct"/>
                  <w:vAlign w:val="center"/>
                </w:tcPr>
                <w:p w14:paraId="47433EE7">
                  <w:pPr>
                    <w:jc w:val="center"/>
                    <w:rPr>
                      <w:bCs/>
                      <w:szCs w:val="21"/>
                    </w:rPr>
                  </w:pPr>
                  <w:r>
                    <w:rPr>
                      <w:rFonts w:hint="eastAsia"/>
                      <w:bCs/>
                      <w:szCs w:val="21"/>
                    </w:rPr>
                    <w:t>建设与</w:t>
                  </w:r>
                  <w:r>
                    <w:rPr>
                      <w:bCs/>
                      <w:szCs w:val="21"/>
                    </w:rPr>
                    <w:t>运行情况与一期项目环评一致</w:t>
                  </w:r>
                </w:p>
              </w:tc>
            </w:tr>
            <w:tr w14:paraId="4A8620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204" w:type="pct"/>
                  <w:vMerge w:val="restart"/>
                  <w:vAlign w:val="center"/>
                </w:tcPr>
                <w:p w14:paraId="63FF71FD">
                  <w:pPr>
                    <w:jc w:val="center"/>
                    <w:rPr>
                      <w:szCs w:val="21"/>
                    </w:rPr>
                  </w:pPr>
                  <w:r>
                    <w:rPr>
                      <w:szCs w:val="21"/>
                    </w:rPr>
                    <w:t>储运工程</w:t>
                  </w:r>
                </w:p>
              </w:tc>
              <w:tc>
                <w:tcPr>
                  <w:tcW w:w="460" w:type="pct"/>
                  <w:gridSpan w:val="2"/>
                  <w:vAlign w:val="center"/>
                </w:tcPr>
                <w:p w14:paraId="59C4E13B">
                  <w:pPr>
                    <w:jc w:val="center"/>
                    <w:rPr>
                      <w:szCs w:val="21"/>
                    </w:rPr>
                  </w:pPr>
                  <w:r>
                    <w:rPr>
                      <w:szCs w:val="21"/>
                    </w:rPr>
                    <w:t>原料罐区</w:t>
                  </w:r>
                </w:p>
              </w:tc>
              <w:tc>
                <w:tcPr>
                  <w:tcW w:w="2298" w:type="pct"/>
                  <w:gridSpan w:val="2"/>
                  <w:vAlign w:val="center"/>
                </w:tcPr>
                <w:p w14:paraId="71018AF8">
                  <w:pPr>
                    <w:widowControl/>
                    <w:jc w:val="center"/>
                    <w:rPr>
                      <w:szCs w:val="21"/>
                    </w:rPr>
                  </w:pPr>
                  <w:r>
                    <w:rPr>
                      <w:kern w:val="0"/>
                      <w:szCs w:val="21"/>
                      <w:lang w:bidi="ar"/>
                    </w:rPr>
                    <w:t>8个8800m</w:t>
                  </w:r>
                  <w:r>
                    <w:rPr>
                      <w:kern w:val="0"/>
                      <w:szCs w:val="21"/>
                      <w:vertAlign w:val="superscript"/>
                      <w:lang w:bidi="ar"/>
                    </w:rPr>
                    <w:t>3</w:t>
                  </w:r>
                  <w:r>
                    <w:rPr>
                      <w:kern w:val="0"/>
                      <w:szCs w:val="21"/>
                      <w:lang w:bidi="ar"/>
                    </w:rPr>
                    <w:t>乙二醇储罐，10个1000m</w:t>
                  </w:r>
                  <w:r>
                    <w:rPr>
                      <w:kern w:val="0"/>
                      <w:szCs w:val="21"/>
                      <w:vertAlign w:val="superscript"/>
                      <w:lang w:bidi="ar"/>
                    </w:rPr>
                    <w:t>3</w:t>
                  </w:r>
                  <w:r>
                    <w:rPr>
                      <w:kern w:val="0"/>
                      <w:szCs w:val="21"/>
                      <w:lang w:bidi="ar"/>
                    </w:rPr>
                    <w:t>乙二醇储罐，均为立式拱顶罐；二甘醇储罐：5个300m</w:t>
                  </w:r>
                  <w:r>
                    <w:rPr>
                      <w:kern w:val="0"/>
                      <w:szCs w:val="21"/>
                      <w:vertAlign w:val="superscript"/>
                      <w:lang w:bidi="ar"/>
                    </w:rPr>
                    <w:t>3</w:t>
                  </w:r>
                  <w:r>
                    <w:rPr>
                      <w:kern w:val="0"/>
                      <w:szCs w:val="21"/>
                      <w:lang w:bidi="ar"/>
                    </w:rPr>
                    <w:t>二甘醇立式拱顶罐储罐；乙二醇卸车缓冲罐：4个100m</w:t>
                  </w:r>
                  <w:r>
                    <w:rPr>
                      <w:kern w:val="0"/>
                      <w:szCs w:val="21"/>
                      <w:vertAlign w:val="superscript"/>
                      <w:lang w:bidi="ar"/>
                    </w:rPr>
                    <w:t>3</w:t>
                  </w:r>
                  <w:r>
                    <w:rPr>
                      <w:kern w:val="0"/>
                      <w:szCs w:val="21"/>
                      <w:lang w:bidi="ar"/>
                    </w:rPr>
                    <w:t>乙二醇卸车缓冲罐；回用EG收集罐5个300m</w:t>
                  </w:r>
                  <w:r>
                    <w:rPr>
                      <w:kern w:val="0"/>
                      <w:szCs w:val="21"/>
                      <w:vertAlign w:val="superscript"/>
                      <w:lang w:bidi="ar"/>
                    </w:rPr>
                    <w:t>3</w:t>
                  </w:r>
                  <w:r>
                    <w:rPr>
                      <w:kern w:val="0"/>
                      <w:szCs w:val="21"/>
                      <w:lang w:bidi="ar"/>
                    </w:rPr>
                    <w:t>；罐区设置了围堰。</w:t>
                  </w:r>
                </w:p>
              </w:tc>
              <w:tc>
                <w:tcPr>
                  <w:tcW w:w="871" w:type="pct"/>
                  <w:vAlign w:val="center"/>
                </w:tcPr>
                <w:p w14:paraId="3DF03C09">
                  <w:pPr>
                    <w:jc w:val="center"/>
                    <w:rPr>
                      <w:bCs/>
                      <w:szCs w:val="21"/>
                    </w:rPr>
                  </w:pPr>
                  <w:r>
                    <w:rPr>
                      <w:bCs/>
                      <w:szCs w:val="21"/>
                    </w:rPr>
                    <w:t>8个8800m³储罐、4个100m³乙二醇卸车缓冲罐；中间罐区1个200m³二甘醇储罐、1个300m³回用乙二醇储罐、2个1000m³乙二醇储罐</w:t>
                  </w:r>
                </w:p>
              </w:tc>
              <w:tc>
                <w:tcPr>
                  <w:tcW w:w="1167" w:type="pct"/>
                  <w:vAlign w:val="center"/>
                </w:tcPr>
                <w:p w14:paraId="443BF07F">
                  <w:pPr>
                    <w:jc w:val="center"/>
                    <w:rPr>
                      <w:bCs/>
                      <w:szCs w:val="21"/>
                    </w:rPr>
                  </w:pPr>
                  <w:r>
                    <w:rPr>
                      <w:rFonts w:hint="eastAsia"/>
                      <w:bCs/>
                      <w:szCs w:val="21"/>
                    </w:rPr>
                    <w:t>建设与</w:t>
                  </w:r>
                  <w:r>
                    <w:rPr>
                      <w:bCs/>
                      <w:szCs w:val="21"/>
                    </w:rPr>
                    <w:t>运行情况与一期项目环评一致</w:t>
                  </w:r>
                </w:p>
              </w:tc>
            </w:tr>
            <w:tr w14:paraId="6B4814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204" w:type="pct"/>
                  <w:vMerge w:val="continue"/>
                  <w:vAlign w:val="center"/>
                </w:tcPr>
                <w:p w14:paraId="1688DD2F">
                  <w:pPr>
                    <w:jc w:val="center"/>
                    <w:rPr>
                      <w:szCs w:val="21"/>
                    </w:rPr>
                  </w:pPr>
                </w:p>
              </w:tc>
              <w:tc>
                <w:tcPr>
                  <w:tcW w:w="460" w:type="pct"/>
                  <w:gridSpan w:val="2"/>
                  <w:vAlign w:val="center"/>
                </w:tcPr>
                <w:p w14:paraId="1B99FF9C">
                  <w:pPr>
                    <w:jc w:val="center"/>
                    <w:rPr>
                      <w:szCs w:val="21"/>
                    </w:rPr>
                  </w:pPr>
                  <w:r>
                    <w:rPr>
                      <w:szCs w:val="21"/>
                    </w:rPr>
                    <w:t>柴油储罐</w:t>
                  </w:r>
                </w:p>
              </w:tc>
              <w:tc>
                <w:tcPr>
                  <w:tcW w:w="2298" w:type="pct"/>
                  <w:gridSpan w:val="2"/>
                  <w:vAlign w:val="center"/>
                </w:tcPr>
                <w:p w14:paraId="7DEFCB99">
                  <w:pPr>
                    <w:jc w:val="center"/>
                    <w:rPr>
                      <w:szCs w:val="21"/>
                    </w:rPr>
                  </w:pPr>
                  <w:r>
                    <w:rPr>
                      <w:szCs w:val="21"/>
                    </w:rPr>
                    <w:t>锅炉采用柴油点火，设有50m</w:t>
                  </w:r>
                  <w:r>
                    <w:rPr>
                      <w:szCs w:val="21"/>
                      <w:vertAlign w:val="superscript"/>
                    </w:rPr>
                    <w:t>3</w:t>
                  </w:r>
                  <w:r>
                    <w:rPr>
                      <w:szCs w:val="21"/>
                    </w:rPr>
                    <w:t>（Ф2.8m）储罐</w:t>
                  </w:r>
                </w:p>
              </w:tc>
              <w:tc>
                <w:tcPr>
                  <w:tcW w:w="871" w:type="pct"/>
                  <w:vAlign w:val="center"/>
                </w:tcPr>
                <w:p w14:paraId="2DB353F0">
                  <w:pPr>
                    <w:jc w:val="center"/>
                    <w:rPr>
                      <w:bCs/>
                      <w:szCs w:val="21"/>
                    </w:rPr>
                  </w:pPr>
                  <w:r>
                    <w:rPr>
                      <w:szCs w:val="21"/>
                    </w:rPr>
                    <w:t>全部在一期一阶段验收范围内</w:t>
                  </w:r>
                </w:p>
              </w:tc>
              <w:tc>
                <w:tcPr>
                  <w:tcW w:w="1167" w:type="pct"/>
                </w:tcPr>
                <w:p w14:paraId="53A7E6A4">
                  <w:pPr>
                    <w:jc w:val="center"/>
                    <w:rPr>
                      <w:bCs/>
                      <w:szCs w:val="21"/>
                    </w:rPr>
                  </w:pPr>
                  <w:r>
                    <w:rPr>
                      <w:rFonts w:hint="eastAsia"/>
                      <w:bCs/>
                      <w:szCs w:val="21"/>
                    </w:rPr>
                    <w:t>建设与</w:t>
                  </w:r>
                  <w:r>
                    <w:rPr>
                      <w:bCs/>
                      <w:szCs w:val="21"/>
                    </w:rPr>
                    <w:t>运行情况与一期项目环评一致，计划与热媒站同步关停</w:t>
                  </w:r>
                </w:p>
              </w:tc>
            </w:tr>
            <w:tr w14:paraId="0B98AA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204" w:type="pct"/>
                  <w:vMerge w:val="continue"/>
                  <w:vAlign w:val="center"/>
                </w:tcPr>
                <w:p w14:paraId="473C7EBC">
                  <w:pPr>
                    <w:jc w:val="center"/>
                    <w:rPr>
                      <w:szCs w:val="21"/>
                    </w:rPr>
                  </w:pPr>
                </w:p>
              </w:tc>
              <w:tc>
                <w:tcPr>
                  <w:tcW w:w="460" w:type="pct"/>
                  <w:gridSpan w:val="2"/>
                  <w:vAlign w:val="center"/>
                </w:tcPr>
                <w:p w14:paraId="76D6DCC4">
                  <w:pPr>
                    <w:jc w:val="center"/>
                    <w:rPr>
                      <w:szCs w:val="21"/>
                    </w:rPr>
                  </w:pPr>
                  <w:r>
                    <w:rPr>
                      <w:szCs w:val="21"/>
                    </w:rPr>
                    <w:t>氨水储罐</w:t>
                  </w:r>
                </w:p>
              </w:tc>
              <w:tc>
                <w:tcPr>
                  <w:tcW w:w="2298" w:type="pct"/>
                  <w:gridSpan w:val="2"/>
                  <w:vAlign w:val="center"/>
                </w:tcPr>
                <w:p w14:paraId="2BE04FAE">
                  <w:pPr>
                    <w:jc w:val="center"/>
                    <w:rPr>
                      <w:szCs w:val="21"/>
                    </w:rPr>
                  </w:pPr>
                  <w:r>
                    <w:rPr>
                      <w:szCs w:val="21"/>
                    </w:rPr>
                    <w:t>20%浓度氨水，设有1座150m</w:t>
                  </w:r>
                  <w:r>
                    <w:rPr>
                      <w:szCs w:val="21"/>
                      <w:vertAlign w:val="superscript"/>
                    </w:rPr>
                    <w:t>3</w:t>
                  </w:r>
                  <w:r>
                    <w:rPr>
                      <w:szCs w:val="21"/>
                    </w:rPr>
                    <w:t>储罐</w:t>
                  </w:r>
                </w:p>
              </w:tc>
              <w:tc>
                <w:tcPr>
                  <w:tcW w:w="871" w:type="pct"/>
                </w:tcPr>
                <w:p w14:paraId="38E11D4C">
                  <w:pPr>
                    <w:jc w:val="center"/>
                    <w:rPr>
                      <w:bCs/>
                      <w:szCs w:val="21"/>
                    </w:rPr>
                  </w:pPr>
                  <w:r>
                    <w:rPr>
                      <w:szCs w:val="21"/>
                    </w:rPr>
                    <w:t>全部在一期一阶段验收范围内</w:t>
                  </w:r>
                </w:p>
              </w:tc>
              <w:tc>
                <w:tcPr>
                  <w:tcW w:w="1167" w:type="pct"/>
                </w:tcPr>
                <w:p w14:paraId="2F2DD031">
                  <w:pPr>
                    <w:jc w:val="center"/>
                    <w:rPr>
                      <w:bCs/>
                      <w:szCs w:val="21"/>
                    </w:rPr>
                  </w:pPr>
                  <w:r>
                    <w:rPr>
                      <w:rFonts w:hint="eastAsia"/>
                      <w:bCs/>
                      <w:szCs w:val="21"/>
                    </w:rPr>
                    <w:t>建设与</w:t>
                  </w:r>
                  <w:r>
                    <w:rPr>
                      <w:bCs/>
                      <w:szCs w:val="21"/>
                    </w:rPr>
                    <w:t>运行情况与一期项目环评一致，计划与热媒站同步关停</w:t>
                  </w:r>
                </w:p>
              </w:tc>
            </w:tr>
            <w:tr w14:paraId="10AF06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204" w:type="pct"/>
                  <w:vMerge w:val="continue"/>
                  <w:vAlign w:val="center"/>
                </w:tcPr>
                <w:p w14:paraId="7AD709F3">
                  <w:pPr>
                    <w:jc w:val="center"/>
                    <w:rPr>
                      <w:szCs w:val="21"/>
                    </w:rPr>
                  </w:pPr>
                </w:p>
              </w:tc>
              <w:tc>
                <w:tcPr>
                  <w:tcW w:w="460" w:type="pct"/>
                  <w:gridSpan w:val="2"/>
                  <w:vAlign w:val="center"/>
                </w:tcPr>
                <w:p w14:paraId="26A5AE35">
                  <w:pPr>
                    <w:jc w:val="center"/>
                    <w:rPr>
                      <w:szCs w:val="21"/>
                    </w:rPr>
                  </w:pPr>
                  <w:r>
                    <w:rPr>
                      <w:szCs w:val="21"/>
                    </w:rPr>
                    <w:t>水煤浆储罐</w:t>
                  </w:r>
                </w:p>
              </w:tc>
              <w:tc>
                <w:tcPr>
                  <w:tcW w:w="2298" w:type="pct"/>
                  <w:gridSpan w:val="2"/>
                  <w:vAlign w:val="center"/>
                </w:tcPr>
                <w:p w14:paraId="3D18F5B4">
                  <w:pPr>
                    <w:jc w:val="center"/>
                    <w:rPr>
                      <w:szCs w:val="21"/>
                    </w:rPr>
                  </w:pPr>
                  <w:r>
                    <w:rPr>
                      <w:szCs w:val="21"/>
                    </w:rPr>
                    <w:t>2×3000m</w:t>
                  </w:r>
                  <w:r>
                    <w:rPr>
                      <w:szCs w:val="21"/>
                      <w:vertAlign w:val="superscript"/>
                    </w:rPr>
                    <w:t>3</w:t>
                  </w:r>
                  <w:r>
                    <w:rPr>
                      <w:szCs w:val="21"/>
                    </w:rPr>
                    <w:t>+2×1000m</w:t>
                  </w:r>
                  <w:r>
                    <w:rPr>
                      <w:szCs w:val="21"/>
                      <w:vertAlign w:val="superscript"/>
                    </w:rPr>
                    <w:t>3</w:t>
                  </w:r>
                  <w:r>
                    <w:rPr>
                      <w:szCs w:val="21"/>
                    </w:rPr>
                    <w:t>水煤浆储罐</w:t>
                  </w:r>
                </w:p>
              </w:tc>
              <w:tc>
                <w:tcPr>
                  <w:tcW w:w="871" w:type="pct"/>
                </w:tcPr>
                <w:p w14:paraId="135E4157">
                  <w:pPr>
                    <w:jc w:val="center"/>
                    <w:rPr>
                      <w:bCs/>
                      <w:szCs w:val="21"/>
                    </w:rPr>
                  </w:pPr>
                  <w:r>
                    <w:rPr>
                      <w:szCs w:val="21"/>
                    </w:rPr>
                    <w:t>全部在一期一阶段验收范围内</w:t>
                  </w:r>
                </w:p>
              </w:tc>
              <w:tc>
                <w:tcPr>
                  <w:tcW w:w="1167" w:type="pct"/>
                </w:tcPr>
                <w:p w14:paraId="21FD6240">
                  <w:pPr>
                    <w:jc w:val="center"/>
                    <w:rPr>
                      <w:bCs/>
                      <w:szCs w:val="21"/>
                    </w:rPr>
                  </w:pPr>
                  <w:r>
                    <w:rPr>
                      <w:rFonts w:hint="eastAsia"/>
                      <w:bCs/>
                      <w:szCs w:val="21"/>
                    </w:rPr>
                    <w:t>建设与</w:t>
                  </w:r>
                  <w:r>
                    <w:rPr>
                      <w:bCs/>
                      <w:szCs w:val="21"/>
                    </w:rPr>
                    <w:t>运行情况与一期项目环评一致，计划与热媒站同步关停</w:t>
                  </w:r>
                </w:p>
              </w:tc>
            </w:tr>
            <w:tr w14:paraId="1021BB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204" w:type="pct"/>
                  <w:vMerge w:val="continue"/>
                  <w:vAlign w:val="center"/>
                </w:tcPr>
                <w:p w14:paraId="25A11A98">
                  <w:pPr>
                    <w:jc w:val="center"/>
                    <w:rPr>
                      <w:szCs w:val="21"/>
                    </w:rPr>
                  </w:pPr>
                </w:p>
              </w:tc>
              <w:tc>
                <w:tcPr>
                  <w:tcW w:w="460" w:type="pct"/>
                  <w:gridSpan w:val="2"/>
                  <w:vAlign w:val="center"/>
                </w:tcPr>
                <w:p w14:paraId="30860A54">
                  <w:pPr>
                    <w:jc w:val="center"/>
                    <w:rPr>
                      <w:szCs w:val="21"/>
                    </w:rPr>
                  </w:pPr>
                  <w:r>
                    <w:rPr>
                      <w:szCs w:val="21"/>
                    </w:rPr>
                    <w:t>热媒储罐</w:t>
                  </w:r>
                </w:p>
              </w:tc>
              <w:tc>
                <w:tcPr>
                  <w:tcW w:w="2298" w:type="pct"/>
                  <w:gridSpan w:val="2"/>
                  <w:vAlign w:val="center"/>
                </w:tcPr>
                <w:p w14:paraId="21471731">
                  <w:pPr>
                    <w:jc w:val="center"/>
                    <w:rPr>
                      <w:szCs w:val="21"/>
                    </w:rPr>
                  </w:pPr>
                  <w:r>
                    <w:rPr>
                      <w:szCs w:val="21"/>
                    </w:rPr>
                    <w:t>3×250 m</w:t>
                  </w:r>
                  <w:r>
                    <w:rPr>
                      <w:szCs w:val="21"/>
                      <w:vertAlign w:val="superscript"/>
                    </w:rPr>
                    <w:t>3</w:t>
                  </w:r>
                  <w:r>
                    <w:rPr>
                      <w:szCs w:val="21"/>
                    </w:rPr>
                    <w:t>+1×10 m</w:t>
                  </w:r>
                  <w:r>
                    <w:rPr>
                      <w:szCs w:val="21"/>
                      <w:vertAlign w:val="superscript"/>
                    </w:rPr>
                    <w:t>3</w:t>
                  </w:r>
                  <w:r>
                    <w:rPr>
                      <w:szCs w:val="21"/>
                    </w:rPr>
                    <w:t>热媒储罐</w:t>
                  </w:r>
                </w:p>
              </w:tc>
              <w:tc>
                <w:tcPr>
                  <w:tcW w:w="871" w:type="pct"/>
                </w:tcPr>
                <w:p w14:paraId="30D1D346">
                  <w:pPr>
                    <w:jc w:val="center"/>
                    <w:rPr>
                      <w:bCs/>
                      <w:szCs w:val="21"/>
                    </w:rPr>
                  </w:pPr>
                  <w:r>
                    <w:rPr>
                      <w:szCs w:val="21"/>
                    </w:rPr>
                    <w:t>全部在一期一阶段验收范围内</w:t>
                  </w:r>
                </w:p>
              </w:tc>
              <w:tc>
                <w:tcPr>
                  <w:tcW w:w="1167" w:type="pct"/>
                </w:tcPr>
                <w:p w14:paraId="7CA2E46A">
                  <w:pPr>
                    <w:jc w:val="center"/>
                    <w:rPr>
                      <w:bCs/>
                      <w:szCs w:val="21"/>
                    </w:rPr>
                  </w:pPr>
                  <w:r>
                    <w:rPr>
                      <w:rFonts w:hint="eastAsia"/>
                      <w:bCs/>
                      <w:szCs w:val="21"/>
                    </w:rPr>
                    <w:t>建设与</w:t>
                  </w:r>
                  <w:r>
                    <w:rPr>
                      <w:bCs/>
                      <w:szCs w:val="21"/>
                    </w:rPr>
                    <w:t>运行情况与一期项目环评一致，计划与热媒站同步关停</w:t>
                  </w:r>
                </w:p>
              </w:tc>
            </w:tr>
            <w:tr w14:paraId="414345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204" w:type="pct"/>
                  <w:vMerge w:val="continue"/>
                  <w:vAlign w:val="center"/>
                </w:tcPr>
                <w:p w14:paraId="791D6DD8">
                  <w:pPr>
                    <w:jc w:val="center"/>
                    <w:rPr>
                      <w:szCs w:val="21"/>
                    </w:rPr>
                  </w:pPr>
                </w:p>
              </w:tc>
              <w:tc>
                <w:tcPr>
                  <w:tcW w:w="460" w:type="pct"/>
                  <w:gridSpan w:val="2"/>
                  <w:vAlign w:val="center"/>
                </w:tcPr>
                <w:p w14:paraId="790BE4DC">
                  <w:pPr>
                    <w:jc w:val="center"/>
                    <w:rPr>
                      <w:szCs w:val="21"/>
                    </w:rPr>
                  </w:pPr>
                  <w:r>
                    <w:rPr>
                      <w:szCs w:val="21"/>
                    </w:rPr>
                    <w:t>原料仓库</w:t>
                  </w:r>
                </w:p>
              </w:tc>
              <w:tc>
                <w:tcPr>
                  <w:tcW w:w="2298" w:type="pct"/>
                  <w:gridSpan w:val="2"/>
                  <w:vAlign w:val="center"/>
                </w:tcPr>
                <w:p w14:paraId="5857D39E">
                  <w:pPr>
                    <w:rPr>
                      <w:kern w:val="0"/>
                      <w:szCs w:val="21"/>
                      <w:lang w:bidi="ar"/>
                    </w:rPr>
                  </w:pPr>
                  <w:r>
                    <w:rPr>
                      <w:kern w:val="0"/>
                      <w:szCs w:val="21"/>
                      <w:lang w:bidi="ar"/>
                    </w:rPr>
                    <w:t>成子河西侧用地配套PTA库2个，规格分别为108*92m；占地面积10038.74平方米。成子河东侧用地配套PTA库3个，规格分别为50*132m、50*114m、54*100m，占地合计17700 m</w:t>
                  </w:r>
                  <w:r>
                    <w:rPr>
                      <w:kern w:val="0"/>
                      <w:szCs w:val="21"/>
                      <w:vertAlign w:val="superscript"/>
                      <w:lang w:bidi="ar"/>
                    </w:rPr>
                    <w:t>2</w:t>
                  </w:r>
                  <w:r>
                    <w:rPr>
                      <w:kern w:val="0"/>
                      <w:szCs w:val="21"/>
                      <w:lang w:bidi="ar"/>
                    </w:rPr>
                    <w:t>。备件库1个，规格为</w:t>
                  </w:r>
                  <w:r>
                    <w:rPr>
                      <w:szCs w:val="21"/>
                    </w:rPr>
                    <w:t>56*75m</w:t>
                  </w:r>
                  <w:r>
                    <w:rPr>
                      <w:rFonts w:eastAsiaTheme="minorEastAsia"/>
                      <w:szCs w:val="21"/>
                    </w:rPr>
                    <w:t>，占地面积4200平方米</w:t>
                  </w:r>
                </w:p>
              </w:tc>
              <w:tc>
                <w:tcPr>
                  <w:tcW w:w="871" w:type="pct"/>
                  <w:vAlign w:val="center"/>
                </w:tcPr>
                <w:p w14:paraId="03DBAEF1">
                  <w:pPr>
                    <w:jc w:val="center"/>
                    <w:rPr>
                      <w:bCs/>
                      <w:szCs w:val="21"/>
                    </w:rPr>
                  </w:pPr>
                  <w:r>
                    <w:rPr>
                      <w:kern w:val="0"/>
                      <w:szCs w:val="21"/>
                      <w:lang w:bidi="ar"/>
                    </w:rPr>
                    <w:t>PTA库1、辅材库1、备件库1</w:t>
                  </w:r>
                </w:p>
              </w:tc>
              <w:tc>
                <w:tcPr>
                  <w:tcW w:w="1167" w:type="pct"/>
                  <w:vAlign w:val="center"/>
                </w:tcPr>
                <w:p w14:paraId="1DD2F665">
                  <w:pPr>
                    <w:jc w:val="center"/>
                    <w:rPr>
                      <w:kern w:val="0"/>
                      <w:szCs w:val="21"/>
                      <w:lang w:bidi="ar"/>
                    </w:rPr>
                  </w:pPr>
                  <w:r>
                    <w:rPr>
                      <w:rFonts w:hint="eastAsia"/>
                      <w:bCs/>
                      <w:szCs w:val="21"/>
                    </w:rPr>
                    <w:t>建设与</w:t>
                  </w:r>
                  <w:r>
                    <w:rPr>
                      <w:bCs/>
                      <w:szCs w:val="21"/>
                    </w:rPr>
                    <w:t>运行情况与一期项目环评一致，计划与热媒站同步关停</w:t>
                  </w:r>
                </w:p>
              </w:tc>
            </w:tr>
            <w:tr w14:paraId="678FD0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204" w:type="pct"/>
                  <w:vMerge w:val="continue"/>
                  <w:vAlign w:val="center"/>
                </w:tcPr>
                <w:p w14:paraId="4CDE68A4">
                  <w:pPr>
                    <w:jc w:val="center"/>
                    <w:rPr>
                      <w:szCs w:val="21"/>
                    </w:rPr>
                  </w:pPr>
                </w:p>
              </w:tc>
              <w:tc>
                <w:tcPr>
                  <w:tcW w:w="460" w:type="pct"/>
                  <w:gridSpan w:val="2"/>
                  <w:vAlign w:val="center"/>
                </w:tcPr>
                <w:p w14:paraId="0B6149BA">
                  <w:pPr>
                    <w:jc w:val="center"/>
                    <w:rPr>
                      <w:szCs w:val="21"/>
                    </w:rPr>
                  </w:pPr>
                  <w:r>
                    <w:rPr>
                      <w:szCs w:val="21"/>
                    </w:rPr>
                    <w:t>成品仓库</w:t>
                  </w:r>
                </w:p>
              </w:tc>
              <w:tc>
                <w:tcPr>
                  <w:tcW w:w="2298" w:type="pct"/>
                  <w:gridSpan w:val="2"/>
                  <w:vAlign w:val="center"/>
                </w:tcPr>
                <w:p w14:paraId="2E56187F">
                  <w:pPr>
                    <w:rPr>
                      <w:kern w:val="0"/>
                      <w:szCs w:val="21"/>
                      <w:lang w:bidi="ar"/>
                    </w:rPr>
                  </w:pPr>
                  <w:r>
                    <w:rPr>
                      <w:kern w:val="0"/>
                      <w:szCs w:val="21"/>
                      <w:lang w:bidi="ar"/>
                    </w:rPr>
                    <w:t>成子河西侧用地配套立体库3个，规格分别为136*103m，130*120m，160*100m；成品库3个，占地面积合计67696 m</w:t>
                  </w:r>
                  <w:r>
                    <w:rPr>
                      <w:kern w:val="0"/>
                      <w:szCs w:val="21"/>
                      <w:vertAlign w:val="superscript"/>
                      <w:lang w:bidi="ar"/>
                    </w:rPr>
                    <w:t>2</w:t>
                  </w:r>
                  <w:r>
                    <w:rPr>
                      <w:kern w:val="0"/>
                      <w:szCs w:val="21"/>
                      <w:lang w:bidi="ar"/>
                    </w:rPr>
                    <w:t>；成子河东侧用地配套立体库4个，规格均为150*100m，成品库5个，规格分别为140*172m，126*127m，106*188m，124*104m，130*193m，占地面积合计147396 m</w:t>
                  </w:r>
                  <w:r>
                    <w:rPr>
                      <w:kern w:val="0"/>
                      <w:szCs w:val="21"/>
                      <w:vertAlign w:val="superscript"/>
                      <w:lang w:bidi="ar"/>
                    </w:rPr>
                    <w:t>2</w:t>
                  </w:r>
                  <w:r>
                    <w:rPr>
                      <w:kern w:val="0"/>
                      <w:szCs w:val="21"/>
                      <w:lang w:bidi="ar"/>
                    </w:rPr>
                    <w:t>。</w:t>
                  </w:r>
                </w:p>
              </w:tc>
              <w:tc>
                <w:tcPr>
                  <w:tcW w:w="871" w:type="pct"/>
                  <w:vAlign w:val="center"/>
                </w:tcPr>
                <w:p w14:paraId="09C8C5A5">
                  <w:pPr>
                    <w:jc w:val="center"/>
                    <w:rPr>
                      <w:bCs/>
                      <w:szCs w:val="21"/>
                    </w:rPr>
                  </w:pPr>
                  <w:r>
                    <w:rPr>
                      <w:kern w:val="0"/>
                      <w:szCs w:val="21"/>
                      <w:lang w:bidi="ar"/>
                    </w:rPr>
                    <w:t>成子河西侧成品库1、成品库2、成品库3</w:t>
                  </w:r>
                </w:p>
              </w:tc>
              <w:tc>
                <w:tcPr>
                  <w:tcW w:w="1167" w:type="pct"/>
                  <w:vAlign w:val="center"/>
                </w:tcPr>
                <w:p w14:paraId="7652F50C">
                  <w:pPr>
                    <w:tabs>
                      <w:tab w:val="left" w:pos="578"/>
                    </w:tabs>
                    <w:jc w:val="center"/>
                    <w:rPr>
                      <w:kern w:val="0"/>
                      <w:szCs w:val="21"/>
                      <w:lang w:bidi="ar"/>
                    </w:rPr>
                  </w:pPr>
                  <w:r>
                    <w:rPr>
                      <w:rFonts w:hint="eastAsia"/>
                      <w:bCs/>
                      <w:szCs w:val="21"/>
                    </w:rPr>
                    <w:t>建设与</w:t>
                  </w:r>
                  <w:r>
                    <w:rPr>
                      <w:bCs/>
                      <w:szCs w:val="21"/>
                    </w:rPr>
                    <w:t>运行情况与一期项目环评一致，计划与热媒站同步关停</w:t>
                  </w:r>
                </w:p>
              </w:tc>
            </w:tr>
            <w:tr w14:paraId="5CD299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204" w:type="pct"/>
                  <w:vMerge w:val="continue"/>
                  <w:vAlign w:val="center"/>
                </w:tcPr>
                <w:p w14:paraId="134699A1">
                  <w:pPr>
                    <w:jc w:val="center"/>
                    <w:rPr>
                      <w:szCs w:val="21"/>
                    </w:rPr>
                  </w:pPr>
                </w:p>
              </w:tc>
              <w:tc>
                <w:tcPr>
                  <w:tcW w:w="460" w:type="pct"/>
                  <w:gridSpan w:val="2"/>
                  <w:vAlign w:val="center"/>
                </w:tcPr>
                <w:p w14:paraId="16808238">
                  <w:pPr>
                    <w:jc w:val="center"/>
                    <w:rPr>
                      <w:szCs w:val="21"/>
                    </w:rPr>
                  </w:pPr>
                  <w:r>
                    <w:rPr>
                      <w:szCs w:val="21"/>
                    </w:rPr>
                    <w:t>危险化学品仓库</w:t>
                  </w:r>
                </w:p>
              </w:tc>
              <w:tc>
                <w:tcPr>
                  <w:tcW w:w="2298" w:type="pct"/>
                  <w:gridSpan w:val="2"/>
                  <w:vAlign w:val="center"/>
                </w:tcPr>
                <w:p w14:paraId="5B1051D1">
                  <w:pPr>
                    <w:rPr>
                      <w:kern w:val="0"/>
                      <w:szCs w:val="21"/>
                      <w:lang w:bidi="ar"/>
                    </w:rPr>
                  </w:pPr>
                  <w:r>
                    <w:rPr>
                      <w:kern w:val="0"/>
                      <w:szCs w:val="21"/>
                      <w:lang w:bidi="ar"/>
                    </w:rPr>
                    <w:t>化验中心北侧新增危险化学品仓库1个，720</w:t>
                  </w:r>
                  <w:r>
                    <w:rPr>
                      <w:bCs/>
                      <w:szCs w:val="28"/>
                    </w:rPr>
                    <w:t xml:space="preserve"> m</w:t>
                  </w:r>
                  <w:r>
                    <w:rPr>
                      <w:bCs/>
                      <w:szCs w:val="28"/>
                      <w:vertAlign w:val="superscript"/>
                    </w:rPr>
                    <w:t>2</w:t>
                  </w:r>
                  <w:r>
                    <w:rPr>
                      <w:kern w:val="0"/>
                      <w:szCs w:val="21"/>
                      <w:lang w:bidi="ar"/>
                    </w:rPr>
                    <w:t>。在纺丝车间1-6于</w:t>
                  </w:r>
                  <w:r>
                    <w:rPr>
                      <w:bCs/>
                      <w:szCs w:val="28"/>
                    </w:rPr>
                    <w:t>4F设</w:t>
                  </w:r>
                  <w:r>
                    <w:rPr>
                      <w:szCs w:val="21"/>
                    </w:rPr>
                    <w:t>危险化学品</w:t>
                  </w:r>
                  <w:r>
                    <w:rPr>
                      <w:bCs/>
                      <w:szCs w:val="28"/>
                    </w:rPr>
                    <w:t>房间，162m</w:t>
                  </w:r>
                  <w:r>
                    <w:rPr>
                      <w:bCs/>
                      <w:szCs w:val="28"/>
                      <w:vertAlign w:val="superscript"/>
                    </w:rPr>
                    <w:t>2</w:t>
                  </w:r>
                  <w:r>
                    <w:rPr>
                      <w:bCs/>
                      <w:szCs w:val="28"/>
                    </w:rPr>
                    <w:t>；</w:t>
                  </w:r>
                  <w:r>
                    <w:rPr>
                      <w:kern w:val="0"/>
                      <w:szCs w:val="21"/>
                      <w:lang w:bidi="ar"/>
                    </w:rPr>
                    <w:t>纺丝车间1-6</w:t>
                  </w:r>
                  <w:r>
                    <w:rPr>
                      <w:szCs w:val="21"/>
                    </w:rPr>
                    <w:t>分别</w:t>
                  </w:r>
                  <w:r>
                    <w:rPr>
                      <w:bCs/>
                      <w:szCs w:val="28"/>
                    </w:rPr>
                    <w:t xml:space="preserve"> 3F设</w:t>
                  </w:r>
                  <w:r>
                    <w:rPr>
                      <w:szCs w:val="21"/>
                    </w:rPr>
                    <w:t>危险化学品</w:t>
                  </w:r>
                  <w:r>
                    <w:rPr>
                      <w:bCs/>
                      <w:szCs w:val="28"/>
                    </w:rPr>
                    <w:t>房，94m</w:t>
                  </w:r>
                  <w:r>
                    <w:rPr>
                      <w:bCs/>
                      <w:szCs w:val="28"/>
                      <w:vertAlign w:val="superscript"/>
                    </w:rPr>
                    <w:t>2</w:t>
                  </w:r>
                  <w:r>
                    <w:rPr>
                      <w:bCs/>
                      <w:szCs w:val="28"/>
                    </w:rPr>
                    <w:t>。</w:t>
                  </w:r>
                </w:p>
              </w:tc>
              <w:tc>
                <w:tcPr>
                  <w:tcW w:w="871" w:type="pct"/>
                  <w:vAlign w:val="center"/>
                </w:tcPr>
                <w:p w14:paraId="07BAD4C3">
                  <w:pPr>
                    <w:jc w:val="center"/>
                    <w:rPr>
                      <w:kern w:val="0"/>
                      <w:szCs w:val="21"/>
                      <w:lang w:bidi="ar"/>
                    </w:rPr>
                  </w:pPr>
                  <w:r>
                    <w:rPr>
                      <w:kern w:val="0"/>
                      <w:szCs w:val="21"/>
                      <w:lang w:bidi="ar"/>
                    </w:rPr>
                    <w:t>危险化学品仓库纺丝车间1的</w:t>
                  </w:r>
                  <w:r>
                    <w:rPr>
                      <w:szCs w:val="21"/>
                    </w:rPr>
                    <w:t>危险化学品</w:t>
                  </w:r>
                  <w:r>
                    <w:rPr>
                      <w:bCs/>
                      <w:szCs w:val="28"/>
                    </w:rPr>
                    <w:t>房</w:t>
                  </w:r>
                </w:p>
              </w:tc>
              <w:tc>
                <w:tcPr>
                  <w:tcW w:w="1167" w:type="pct"/>
                  <w:vAlign w:val="center"/>
                </w:tcPr>
                <w:p w14:paraId="2580E4B4">
                  <w:pPr>
                    <w:tabs>
                      <w:tab w:val="left" w:pos="578"/>
                    </w:tabs>
                    <w:jc w:val="center"/>
                    <w:rPr>
                      <w:kern w:val="0"/>
                      <w:szCs w:val="21"/>
                      <w:lang w:bidi="ar"/>
                    </w:rPr>
                  </w:pPr>
                  <w:r>
                    <w:rPr>
                      <w:rFonts w:hint="eastAsia"/>
                      <w:bCs/>
                      <w:szCs w:val="21"/>
                    </w:rPr>
                    <w:t>建设与</w:t>
                  </w:r>
                  <w:r>
                    <w:rPr>
                      <w:bCs/>
                      <w:szCs w:val="21"/>
                    </w:rPr>
                    <w:t>运行情况与一期项目环评一致，计划与热媒站同步关停</w:t>
                  </w:r>
                </w:p>
              </w:tc>
            </w:tr>
            <w:tr w14:paraId="69D01C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204" w:type="pct"/>
                  <w:vMerge w:val="continue"/>
                  <w:vAlign w:val="center"/>
                </w:tcPr>
                <w:p w14:paraId="1649EC6C">
                  <w:pPr>
                    <w:jc w:val="center"/>
                    <w:rPr>
                      <w:szCs w:val="21"/>
                    </w:rPr>
                  </w:pPr>
                </w:p>
              </w:tc>
              <w:tc>
                <w:tcPr>
                  <w:tcW w:w="460" w:type="pct"/>
                  <w:gridSpan w:val="2"/>
                  <w:vAlign w:val="center"/>
                </w:tcPr>
                <w:p w14:paraId="2CFFA5C1">
                  <w:pPr>
                    <w:jc w:val="center"/>
                    <w:rPr>
                      <w:szCs w:val="21"/>
                    </w:rPr>
                  </w:pPr>
                  <w:r>
                    <w:rPr>
                      <w:szCs w:val="21"/>
                    </w:rPr>
                    <w:t>运输</w:t>
                  </w:r>
                </w:p>
              </w:tc>
              <w:tc>
                <w:tcPr>
                  <w:tcW w:w="2298" w:type="pct"/>
                  <w:gridSpan w:val="2"/>
                  <w:vAlign w:val="center"/>
                </w:tcPr>
                <w:p w14:paraId="6686B1A1">
                  <w:pPr>
                    <w:jc w:val="center"/>
                    <w:rPr>
                      <w:szCs w:val="21"/>
                    </w:rPr>
                  </w:pPr>
                  <w:r>
                    <w:rPr>
                      <w:szCs w:val="21"/>
                    </w:rPr>
                    <w:t>乙二醇、PTA、水煤浆经码头水运输送，其他原料、产品采用汽车运输。</w:t>
                  </w:r>
                </w:p>
              </w:tc>
              <w:tc>
                <w:tcPr>
                  <w:tcW w:w="871" w:type="pct"/>
                  <w:vAlign w:val="center"/>
                </w:tcPr>
                <w:p w14:paraId="7930F836">
                  <w:pPr>
                    <w:jc w:val="center"/>
                    <w:rPr>
                      <w:szCs w:val="21"/>
                    </w:rPr>
                  </w:pPr>
                  <w:r>
                    <w:rPr>
                      <w:szCs w:val="21"/>
                    </w:rPr>
                    <w:t>目前乙二醇、PTA码头设施已完成验收。水煤浆码头尚未完成建设</w:t>
                  </w:r>
                </w:p>
              </w:tc>
              <w:tc>
                <w:tcPr>
                  <w:tcW w:w="1167" w:type="pct"/>
                  <w:vAlign w:val="center"/>
                </w:tcPr>
                <w:p w14:paraId="66AF2FF8">
                  <w:pPr>
                    <w:jc w:val="center"/>
                    <w:rPr>
                      <w:szCs w:val="21"/>
                    </w:rPr>
                  </w:pPr>
                  <w:r>
                    <w:rPr>
                      <w:szCs w:val="21"/>
                    </w:rPr>
                    <w:t>乙二醇、PTA码头设施</w:t>
                  </w:r>
                  <w:r>
                    <w:rPr>
                      <w:bCs/>
                      <w:szCs w:val="21"/>
                    </w:rPr>
                    <w:t>已</w:t>
                  </w:r>
                  <w:r>
                    <w:rPr>
                      <w:rFonts w:hint="eastAsia"/>
                      <w:bCs/>
                      <w:szCs w:val="21"/>
                    </w:rPr>
                    <w:t>建设并</w:t>
                  </w:r>
                  <w:r>
                    <w:rPr>
                      <w:bCs/>
                      <w:szCs w:val="21"/>
                    </w:rPr>
                    <w:t>验收，运行情况与码头项目环评一致，</w:t>
                  </w:r>
                  <w:r>
                    <w:rPr>
                      <w:szCs w:val="21"/>
                    </w:rPr>
                    <w:t>水煤浆码头尚未完成建设</w:t>
                  </w:r>
                </w:p>
              </w:tc>
            </w:tr>
            <w:tr w14:paraId="03E85F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590" w:hRule="atLeast"/>
                <w:jc w:val="center"/>
              </w:trPr>
              <w:tc>
                <w:tcPr>
                  <w:tcW w:w="204" w:type="pct"/>
                  <w:vMerge w:val="restart"/>
                  <w:vAlign w:val="center"/>
                </w:tcPr>
                <w:p w14:paraId="6FECD668">
                  <w:pPr>
                    <w:jc w:val="center"/>
                    <w:rPr>
                      <w:szCs w:val="21"/>
                    </w:rPr>
                  </w:pPr>
                  <w:r>
                    <w:rPr>
                      <w:szCs w:val="21"/>
                    </w:rPr>
                    <w:t>环保设施</w:t>
                  </w:r>
                </w:p>
              </w:tc>
              <w:tc>
                <w:tcPr>
                  <w:tcW w:w="460" w:type="pct"/>
                  <w:gridSpan w:val="2"/>
                  <w:vAlign w:val="center"/>
                </w:tcPr>
                <w:p w14:paraId="6BEA44FF">
                  <w:pPr>
                    <w:jc w:val="center"/>
                    <w:rPr>
                      <w:szCs w:val="21"/>
                    </w:rPr>
                  </w:pPr>
                  <w:r>
                    <w:rPr>
                      <w:szCs w:val="21"/>
                    </w:rPr>
                    <w:t>酯化废水乙醛回收装置</w:t>
                  </w:r>
                </w:p>
              </w:tc>
              <w:tc>
                <w:tcPr>
                  <w:tcW w:w="2298" w:type="pct"/>
                  <w:gridSpan w:val="2"/>
                  <w:vAlign w:val="center"/>
                </w:tcPr>
                <w:p w14:paraId="1565D629">
                  <w:pPr>
                    <w:jc w:val="center"/>
                    <w:rPr>
                      <w:szCs w:val="21"/>
                    </w:rPr>
                  </w:pPr>
                  <w:r>
                    <w:rPr>
                      <w:szCs w:val="21"/>
                    </w:rPr>
                    <w:t>泗阳意杨环保科技有限公司设置两套乙醛回收装置，分别对应处理150万吨聚酯产能聚酯装置产生的聚酯废水W1。单套回收装置处理废水量约30万吨/年，聚酯废水W1通过汽提、精馏、二次汽提处理后，对高浓度酯化废水预处理的同时，回收部分乙醛、乙二醇，乙醛达到《工业用乙醛(HG/T5149-2017)》中的优等品的相关要求，作为副产品外售，乙二醇回用至聚酯装置工艺塔。</w:t>
                  </w:r>
                </w:p>
              </w:tc>
              <w:tc>
                <w:tcPr>
                  <w:tcW w:w="871" w:type="pct"/>
                  <w:vAlign w:val="center"/>
                </w:tcPr>
                <w:p w14:paraId="63D7BBE0">
                  <w:pPr>
                    <w:jc w:val="center"/>
                    <w:rPr>
                      <w:szCs w:val="21"/>
                    </w:rPr>
                  </w:pPr>
                  <w:r>
                    <w:rPr>
                      <w:rFonts w:hint="eastAsia"/>
                      <w:szCs w:val="21"/>
                    </w:rPr>
                    <w:t>改为依托</w:t>
                  </w:r>
                  <w:r>
                    <w:rPr>
                      <w:bCs/>
                      <w:szCs w:val="21"/>
                    </w:rPr>
                    <w:t>国望高科纤维（宿迁）有限公司PET酯化废水预处理项目中两套乙醛回收装置</w:t>
                  </w:r>
                </w:p>
              </w:tc>
              <w:tc>
                <w:tcPr>
                  <w:tcW w:w="1167" w:type="pct"/>
                  <w:vAlign w:val="center"/>
                </w:tcPr>
                <w:p w14:paraId="0F3BCB06">
                  <w:pPr>
                    <w:jc w:val="center"/>
                    <w:rPr>
                      <w:szCs w:val="21"/>
                    </w:rPr>
                  </w:pPr>
                  <w:bookmarkStart w:id="31" w:name="_Hlk163827589"/>
                  <w:r>
                    <w:rPr>
                      <w:bCs/>
                      <w:szCs w:val="21"/>
                    </w:rPr>
                    <w:t>国望高科纤维（宿迁）有限公司PET酯化废水预处理项目中两套乙醛回收装置（回收工艺与原依托泗阳意杨环保科技有限公司工艺一致）于2024年5月完成建设，经汽提处理后的酯化废水处理措施接入芮邦科技有限公司污水站处理，实际与环评一致</w:t>
                  </w:r>
                  <w:bookmarkEnd w:id="31"/>
                  <w:r>
                    <w:rPr>
                      <w:bCs/>
                      <w:szCs w:val="21"/>
                    </w:rPr>
                    <w:t>。</w:t>
                  </w:r>
                </w:p>
              </w:tc>
            </w:tr>
            <w:tr w14:paraId="0C4EB0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04" w:type="pct"/>
                  <w:vMerge w:val="continue"/>
                  <w:vAlign w:val="center"/>
                </w:tcPr>
                <w:p w14:paraId="04B4CA2A">
                  <w:pPr>
                    <w:jc w:val="center"/>
                    <w:rPr>
                      <w:szCs w:val="21"/>
                    </w:rPr>
                  </w:pPr>
                </w:p>
              </w:tc>
              <w:tc>
                <w:tcPr>
                  <w:tcW w:w="460" w:type="pct"/>
                  <w:gridSpan w:val="2"/>
                  <w:vAlign w:val="center"/>
                </w:tcPr>
                <w:p w14:paraId="26BC502D">
                  <w:pPr>
                    <w:jc w:val="center"/>
                    <w:rPr>
                      <w:szCs w:val="21"/>
                    </w:rPr>
                  </w:pPr>
                  <w:r>
                    <w:rPr>
                      <w:szCs w:val="21"/>
                    </w:rPr>
                    <w:t>乙醛回收汽提塔废气和聚酯真空系统不凝气焚烧系统</w:t>
                  </w:r>
                </w:p>
              </w:tc>
              <w:tc>
                <w:tcPr>
                  <w:tcW w:w="2298" w:type="pct"/>
                  <w:gridSpan w:val="2"/>
                  <w:vAlign w:val="center"/>
                </w:tcPr>
                <w:p w14:paraId="215C9A8D">
                  <w:pPr>
                    <w:jc w:val="center"/>
                    <w:rPr>
                      <w:szCs w:val="21"/>
                    </w:rPr>
                  </w:pPr>
                  <w:r>
                    <w:rPr>
                      <w:szCs w:val="21"/>
                    </w:rPr>
                    <w:t>乙醛回收汽提塔废气和聚酯真空系统不凝气分别经收集后送厂区热媒炉区焚烧处理，焚烧后乙醛、乙二醇废气污染物去除率可达99.8%以上。</w:t>
                  </w:r>
                </w:p>
              </w:tc>
              <w:tc>
                <w:tcPr>
                  <w:tcW w:w="871" w:type="pct"/>
                  <w:vAlign w:val="center"/>
                </w:tcPr>
                <w:p w14:paraId="7580C275">
                  <w:pPr>
                    <w:jc w:val="center"/>
                    <w:rPr>
                      <w:szCs w:val="21"/>
                    </w:rPr>
                  </w:pPr>
                  <w:r>
                    <w:rPr>
                      <w:szCs w:val="21"/>
                    </w:rPr>
                    <w:t>聚酯真空系统不凝气分别经收集后送厂区热媒炉区焚烧处理。乙醛回收汽提塔废气尚未产生</w:t>
                  </w:r>
                </w:p>
              </w:tc>
              <w:tc>
                <w:tcPr>
                  <w:tcW w:w="1167" w:type="pct"/>
                  <w:vAlign w:val="center"/>
                </w:tcPr>
                <w:p w14:paraId="67B0FFB5">
                  <w:pPr>
                    <w:jc w:val="center"/>
                    <w:rPr>
                      <w:szCs w:val="21"/>
                    </w:rPr>
                  </w:pPr>
                  <w:r>
                    <w:rPr>
                      <w:rFonts w:hint="eastAsia"/>
                      <w:bCs/>
                      <w:szCs w:val="21"/>
                    </w:rPr>
                    <w:t>建设与</w:t>
                  </w:r>
                  <w:r>
                    <w:rPr>
                      <w:bCs/>
                      <w:szCs w:val="21"/>
                    </w:rPr>
                    <w:t>运行情况与</w:t>
                  </w:r>
                  <w:r>
                    <w:rPr>
                      <w:szCs w:val="21"/>
                    </w:rPr>
                    <w:t>与环评一致。计划2025年底接入泗阳意杨环保</w:t>
                  </w:r>
                  <w:r>
                    <w:rPr>
                      <w:rFonts w:hint="eastAsia"/>
                      <w:szCs w:val="21"/>
                    </w:rPr>
                    <w:t>能源</w:t>
                  </w:r>
                  <w:r>
                    <w:rPr>
                      <w:szCs w:val="21"/>
                    </w:rPr>
                    <w:t>有限公司焚烧处置</w:t>
                  </w:r>
                </w:p>
              </w:tc>
            </w:tr>
            <w:tr w14:paraId="59B411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04" w:type="pct"/>
                  <w:vMerge w:val="continue"/>
                  <w:vAlign w:val="center"/>
                </w:tcPr>
                <w:p w14:paraId="41DCA23B">
                  <w:pPr>
                    <w:jc w:val="center"/>
                    <w:rPr>
                      <w:szCs w:val="21"/>
                    </w:rPr>
                  </w:pPr>
                </w:p>
              </w:tc>
              <w:tc>
                <w:tcPr>
                  <w:tcW w:w="218" w:type="pct"/>
                  <w:vMerge w:val="restart"/>
                  <w:vAlign w:val="center"/>
                </w:tcPr>
                <w:p w14:paraId="484892EA">
                  <w:pPr>
                    <w:jc w:val="center"/>
                    <w:rPr>
                      <w:szCs w:val="21"/>
                    </w:rPr>
                  </w:pPr>
                  <w:r>
                    <w:rPr>
                      <w:szCs w:val="21"/>
                    </w:rPr>
                    <w:t>水煤浆导热油锅炉烟气</w:t>
                  </w:r>
                </w:p>
              </w:tc>
              <w:tc>
                <w:tcPr>
                  <w:tcW w:w="242" w:type="pct"/>
                  <w:vAlign w:val="center"/>
                </w:tcPr>
                <w:p w14:paraId="233900EA">
                  <w:pPr>
                    <w:jc w:val="center"/>
                    <w:rPr>
                      <w:szCs w:val="21"/>
                    </w:rPr>
                  </w:pPr>
                  <w:r>
                    <w:rPr>
                      <w:szCs w:val="21"/>
                    </w:rPr>
                    <w:t>脱硝设施</w:t>
                  </w:r>
                </w:p>
              </w:tc>
              <w:tc>
                <w:tcPr>
                  <w:tcW w:w="2298" w:type="pct"/>
                  <w:gridSpan w:val="2"/>
                  <w:vAlign w:val="center"/>
                </w:tcPr>
                <w:p w14:paraId="5CE4C5AE">
                  <w:pPr>
                    <w:jc w:val="center"/>
                    <w:rPr>
                      <w:szCs w:val="21"/>
                    </w:rPr>
                  </w:pPr>
                  <w:r>
                    <w:rPr>
                      <w:szCs w:val="21"/>
                    </w:rPr>
                    <w:t>每1台水煤浆锅炉配一套处理设施，采用SCR脱硝，设计脱硝效率不低于92%。</w:t>
                  </w:r>
                </w:p>
              </w:tc>
              <w:tc>
                <w:tcPr>
                  <w:tcW w:w="871" w:type="pct"/>
                  <w:vAlign w:val="center"/>
                </w:tcPr>
                <w:p w14:paraId="136CFC7D">
                  <w:pPr>
                    <w:jc w:val="center"/>
                    <w:rPr>
                      <w:szCs w:val="21"/>
                    </w:rPr>
                  </w:pPr>
                  <w:r>
                    <w:rPr>
                      <w:szCs w:val="21"/>
                    </w:rPr>
                    <w:t>全部在一期一阶段验收范围内</w:t>
                  </w:r>
                </w:p>
              </w:tc>
              <w:tc>
                <w:tcPr>
                  <w:tcW w:w="1167" w:type="pct"/>
                </w:tcPr>
                <w:p w14:paraId="571EF544">
                  <w:pPr>
                    <w:jc w:val="center"/>
                    <w:rPr>
                      <w:szCs w:val="21"/>
                    </w:rPr>
                  </w:pPr>
                  <w:r>
                    <w:rPr>
                      <w:rFonts w:hint="eastAsia"/>
                      <w:bCs/>
                      <w:szCs w:val="21"/>
                    </w:rPr>
                    <w:t>建设与</w:t>
                  </w:r>
                  <w:r>
                    <w:rPr>
                      <w:bCs/>
                      <w:szCs w:val="21"/>
                    </w:rPr>
                    <w:t>运行情况与一期项目环评一致，计划与热媒站同步关停</w:t>
                  </w:r>
                </w:p>
              </w:tc>
            </w:tr>
            <w:tr w14:paraId="613DB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04" w:type="pct"/>
                  <w:vMerge w:val="continue"/>
                  <w:vAlign w:val="center"/>
                </w:tcPr>
                <w:p w14:paraId="6C1D1A4D">
                  <w:pPr>
                    <w:jc w:val="center"/>
                    <w:rPr>
                      <w:szCs w:val="21"/>
                    </w:rPr>
                  </w:pPr>
                </w:p>
              </w:tc>
              <w:tc>
                <w:tcPr>
                  <w:tcW w:w="218" w:type="pct"/>
                  <w:vMerge w:val="continue"/>
                  <w:vAlign w:val="center"/>
                </w:tcPr>
                <w:p w14:paraId="3386FAD4">
                  <w:pPr>
                    <w:jc w:val="center"/>
                    <w:rPr>
                      <w:szCs w:val="21"/>
                    </w:rPr>
                  </w:pPr>
                </w:p>
              </w:tc>
              <w:tc>
                <w:tcPr>
                  <w:tcW w:w="242" w:type="pct"/>
                  <w:vAlign w:val="center"/>
                </w:tcPr>
                <w:p w14:paraId="5C515E6C">
                  <w:pPr>
                    <w:jc w:val="center"/>
                    <w:rPr>
                      <w:szCs w:val="21"/>
                    </w:rPr>
                  </w:pPr>
                  <w:r>
                    <w:rPr>
                      <w:szCs w:val="21"/>
                    </w:rPr>
                    <w:t>除尘设施</w:t>
                  </w:r>
                </w:p>
              </w:tc>
              <w:tc>
                <w:tcPr>
                  <w:tcW w:w="2298" w:type="pct"/>
                  <w:gridSpan w:val="2"/>
                  <w:vAlign w:val="center"/>
                </w:tcPr>
                <w:p w14:paraId="38A0330C">
                  <w:pPr>
                    <w:jc w:val="center"/>
                    <w:rPr>
                      <w:szCs w:val="21"/>
                    </w:rPr>
                  </w:pPr>
                  <w:r>
                    <w:rPr>
                      <w:szCs w:val="21"/>
                    </w:rPr>
                    <w:t>每1台水煤浆锅炉配一套处理设施，静电、湿电除尘器除尘+湿法脱硫协同除尘，综合除尘效率不低于99.95%。</w:t>
                  </w:r>
                </w:p>
              </w:tc>
              <w:tc>
                <w:tcPr>
                  <w:tcW w:w="871" w:type="pct"/>
                </w:tcPr>
                <w:p w14:paraId="611B75FF">
                  <w:pPr>
                    <w:jc w:val="center"/>
                    <w:rPr>
                      <w:szCs w:val="21"/>
                    </w:rPr>
                  </w:pPr>
                  <w:r>
                    <w:rPr>
                      <w:szCs w:val="21"/>
                    </w:rPr>
                    <w:t>全部在一期一阶段验收范围内</w:t>
                  </w:r>
                </w:p>
              </w:tc>
              <w:tc>
                <w:tcPr>
                  <w:tcW w:w="1167" w:type="pct"/>
                </w:tcPr>
                <w:p w14:paraId="758A99DD">
                  <w:pPr>
                    <w:jc w:val="center"/>
                    <w:rPr>
                      <w:szCs w:val="21"/>
                    </w:rPr>
                  </w:pPr>
                  <w:r>
                    <w:rPr>
                      <w:rFonts w:hint="eastAsia"/>
                      <w:bCs/>
                      <w:szCs w:val="21"/>
                    </w:rPr>
                    <w:t>建设与</w:t>
                  </w:r>
                  <w:r>
                    <w:rPr>
                      <w:bCs/>
                      <w:szCs w:val="21"/>
                    </w:rPr>
                    <w:t>运行情况与一期项目环评一致，计划与热媒站同步关停</w:t>
                  </w:r>
                </w:p>
              </w:tc>
            </w:tr>
            <w:tr w14:paraId="1D650D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0" w:hRule="atLeast"/>
                <w:jc w:val="center"/>
              </w:trPr>
              <w:tc>
                <w:tcPr>
                  <w:tcW w:w="204" w:type="pct"/>
                  <w:vMerge w:val="continue"/>
                  <w:vAlign w:val="center"/>
                </w:tcPr>
                <w:p w14:paraId="17DC2B92">
                  <w:pPr>
                    <w:jc w:val="center"/>
                    <w:rPr>
                      <w:szCs w:val="21"/>
                    </w:rPr>
                  </w:pPr>
                </w:p>
              </w:tc>
              <w:tc>
                <w:tcPr>
                  <w:tcW w:w="218" w:type="pct"/>
                  <w:vMerge w:val="continue"/>
                  <w:vAlign w:val="center"/>
                </w:tcPr>
                <w:p w14:paraId="7480396E">
                  <w:pPr>
                    <w:jc w:val="center"/>
                    <w:rPr>
                      <w:szCs w:val="21"/>
                    </w:rPr>
                  </w:pPr>
                </w:p>
              </w:tc>
              <w:tc>
                <w:tcPr>
                  <w:tcW w:w="242" w:type="pct"/>
                  <w:vAlign w:val="center"/>
                </w:tcPr>
                <w:p w14:paraId="76283668">
                  <w:pPr>
                    <w:jc w:val="center"/>
                    <w:rPr>
                      <w:szCs w:val="21"/>
                    </w:rPr>
                  </w:pPr>
                  <w:r>
                    <w:rPr>
                      <w:szCs w:val="21"/>
                    </w:rPr>
                    <w:t>脱硫设施</w:t>
                  </w:r>
                </w:p>
              </w:tc>
              <w:tc>
                <w:tcPr>
                  <w:tcW w:w="2298" w:type="pct"/>
                  <w:gridSpan w:val="2"/>
                  <w:vAlign w:val="center"/>
                </w:tcPr>
                <w:p w14:paraId="7FBC20F3">
                  <w:pPr>
                    <w:jc w:val="center"/>
                    <w:rPr>
                      <w:szCs w:val="21"/>
                    </w:rPr>
                  </w:pPr>
                  <w:r>
                    <w:rPr>
                      <w:szCs w:val="21"/>
                    </w:rPr>
                    <w:t>水煤浆机组设置2座脱硫塔，分别配一套石灰石-石膏湿法脱硫处理设施，设计脱硫效率不小于98%。</w:t>
                  </w:r>
                </w:p>
              </w:tc>
              <w:tc>
                <w:tcPr>
                  <w:tcW w:w="871" w:type="pct"/>
                </w:tcPr>
                <w:p w14:paraId="5E243973">
                  <w:pPr>
                    <w:jc w:val="center"/>
                    <w:rPr>
                      <w:szCs w:val="21"/>
                    </w:rPr>
                  </w:pPr>
                  <w:r>
                    <w:rPr>
                      <w:szCs w:val="21"/>
                    </w:rPr>
                    <w:t>全部在一期一阶段验收范围内</w:t>
                  </w:r>
                </w:p>
              </w:tc>
              <w:tc>
                <w:tcPr>
                  <w:tcW w:w="1167" w:type="pct"/>
                </w:tcPr>
                <w:p w14:paraId="2EBCD5DB">
                  <w:pPr>
                    <w:jc w:val="center"/>
                    <w:rPr>
                      <w:szCs w:val="21"/>
                    </w:rPr>
                  </w:pPr>
                  <w:r>
                    <w:rPr>
                      <w:rFonts w:hint="eastAsia"/>
                      <w:bCs/>
                      <w:szCs w:val="21"/>
                    </w:rPr>
                    <w:t>建设与</w:t>
                  </w:r>
                  <w:r>
                    <w:rPr>
                      <w:bCs/>
                      <w:szCs w:val="21"/>
                    </w:rPr>
                    <w:t>运行情况与一期项目环评一致，计划与热媒站同步关停</w:t>
                  </w:r>
                </w:p>
              </w:tc>
            </w:tr>
            <w:tr w14:paraId="74B4A2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04" w:type="pct"/>
                  <w:vMerge w:val="continue"/>
                  <w:vAlign w:val="center"/>
                </w:tcPr>
                <w:p w14:paraId="48CA5487">
                  <w:pPr>
                    <w:jc w:val="center"/>
                    <w:rPr>
                      <w:szCs w:val="21"/>
                    </w:rPr>
                  </w:pPr>
                </w:p>
              </w:tc>
              <w:tc>
                <w:tcPr>
                  <w:tcW w:w="218" w:type="pct"/>
                  <w:vMerge w:val="continue"/>
                  <w:vAlign w:val="center"/>
                </w:tcPr>
                <w:p w14:paraId="15199F1B">
                  <w:pPr>
                    <w:jc w:val="center"/>
                    <w:rPr>
                      <w:szCs w:val="21"/>
                    </w:rPr>
                  </w:pPr>
                </w:p>
              </w:tc>
              <w:tc>
                <w:tcPr>
                  <w:tcW w:w="242" w:type="pct"/>
                  <w:vAlign w:val="center"/>
                </w:tcPr>
                <w:p w14:paraId="12F97D0B">
                  <w:pPr>
                    <w:jc w:val="center"/>
                    <w:rPr>
                      <w:szCs w:val="21"/>
                    </w:rPr>
                  </w:pPr>
                  <w:r>
                    <w:rPr>
                      <w:szCs w:val="21"/>
                    </w:rPr>
                    <w:t>烟囱</w:t>
                  </w:r>
                </w:p>
              </w:tc>
              <w:tc>
                <w:tcPr>
                  <w:tcW w:w="2298" w:type="pct"/>
                  <w:gridSpan w:val="2"/>
                  <w:vAlign w:val="center"/>
                </w:tcPr>
                <w:p w14:paraId="083EC53F">
                  <w:pPr>
                    <w:jc w:val="center"/>
                    <w:rPr>
                      <w:szCs w:val="21"/>
                    </w:rPr>
                  </w:pPr>
                  <w:r>
                    <w:rPr>
                      <w:szCs w:val="21"/>
                    </w:rPr>
                    <w:t>水煤浆站设1座75m排烟囱，内径为3.5m。</w:t>
                  </w:r>
                </w:p>
              </w:tc>
              <w:tc>
                <w:tcPr>
                  <w:tcW w:w="871" w:type="pct"/>
                  <w:vAlign w:val="center"/>
                </w:tcPr>
                <w:p w14:paraId="0A22E0D6">
                  <w:pPr>
                    <w:jc w:val="center"/>
                    <w:rPr>
                      <w:szCs w:val="21"/>
                    </w:rPr>
                  </w:pPr>
                  <w:r>
                    <w:rPr>
                      <w:szCs w:val="21"/>
                    </w:rPr>
                    <w:t>全部在一期一阶段验收范围内</w:t>
                  </w:r>
                </w:p>
              </w:tc>
              <w:tc>
                <w:tcPr>
                  <w:tcW w:w="1167" w:type="pct"/>
                  <w:vAlign w:val="center"/>
                </w:tcPr>
                <w:p w14:paraId="7718279D">
                  <w:pPr>
                    <w:jc w:val="center"/>
                    <w:rPr>
                      <w:szCs w:val="21"/>
                    </w:rPr>
                  </w:pPr>
                  <w:r>
                    <w:rPr>
                      <w:rFonts w:hint="eastAsia"/>
                      <w:bCs/>
                      <w:szCs w:val="21"/>
                    </w:rPr>
                    <w:t>建设与</w:t>
                  </w:r>
                  <w:r>
                    <w:rPr>
                      <w:bCs/>
                      <w:szCs w:val="21"/>
                    </w:rPr>
                    <w:t>运行情况与一期项目环评一致，计划与热媒站同步关停</w:t>
                  </w:r>
                </w:p>
              </w:tc>
            </w:tr>
            <w:tr w14:paraId="3645E9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8" w:hRule="atLeast"/>
                <w:jc w:val="center"/>
              </w:trPr>
              <w:tc>
                <w:tcPr>
                  <w:tcW w:w="204" w:type="pct"/>
                  <w:vMerge w:val="continue"/>
                  <w:vAlign w:val="center"/>
                </w:tcPr>
                <w:p w14:paraId="50D95A7E">
                  <w:pPr>
                    <w:jc w:val="center"/>
                    <w:rPr>
                      <w:szCs w:val="21"/>
                    </w:rPr>
                  </w:pPr>
                </w:p>
              </w:tc>
              <w:tc>
                <w:tcPr>
                  <w:tcW w:w="460" w:type="pct"/>
                  <w:gridSpan w:val="2"/>
                  <w:vAlign w:val="center"/>
                </w:tcPr>
                <w:p w14:paraId="3D717C00">
                  <w:pPr>
                    <w:jc w:val="center"/>
                    <w:rPr>
                      <w:szCs w:val="21"/>
                    </w:rPr>
                  </w:pPr>
                  <w:r>
                    <w:rPr>
                      <w:szCs w:val="21"/>
                    </w:rPr>
                    <w:t>PTA投料车间布袋除尘器</w:t>
                  </w:r>
                </w:p>
              </w:tc>
              <w:tc>
                <w:tcPr>
                  <w:tcW w:w="2298" w:type="pct"/>
                  <w:gridSpan w:val="2"/>
                  <w:vAlign w:val="center"/>
                </w:tcPr>
                <w:p w14:paraId="45AED8E0">
                  <w:pPr>
                    <w:rPr>
                      <w:szCs w:val="21"/>
                    </w:rPr>
                  </w:pPr>
                  <w:r>
                    <w:rPr>
                      <w:szCs w:val="21"/>
                    </w:rPr>
                    <w:t>在各PTA投料车间的PTA投料口设置布袋除尘器捕集PTA粉尘，收集效率为95%，收集后的处理效率为99%，除尘后的废气分别经车间顶部1根15m排气筒排放。</w:t>
                  </w:r>
                </w:p>
              </w:tc>
              <w:tc>
                <w:tcPr>
                  <w:tcW w:w="871" w:type="pct"/>
                  <w:vAlign w:val="center"/>
                </w:tcPr>
                <w:p w14:paraId="54AA2E99">
                  <w:pPr>
                    <w:jc w:val="center"/>
                    <w:rPr>
                      <w:szCs w:val="21"/>
                    </w:rPr>
                  </w:pPr>
                  <w:r>
                    <w:rPr>
                      <w:szCs w:val="21"/>
                    </w:rPr>
                    <w:t>PTA投料车间1，1个排气筒P1-1</w:t>
                  </w:r>
                </w:p>
              </w:tc>
              <w:tc>
                <w:tcPr>
                  <w:tcW w:w="1167" w:type="pct"/>
                  <w:vAlign w:val="center"/>
                </w:tcPr>
                <w:p w14:paraId="1FCA7DB9">
                  <w:pPr>
                    <w:jc w:val="center"/>
                    <w:rPr>
                      <w:szCs w:val="21"/>
                    </w:rPr>
                  </w:pPr>
                  <w:r>
                    <w:rPr>
                      <w:rFonts w:hint="eastAsia"/>
                      <w:bCs/>
                      <w:szCs w:val="21"/>
                    </w:rPr>
                    <w:t>建设与</w:t>
                  </w:r>
                  <w:r>
                    <w:rPr>
                      <w:bCs/>
                      <w:szCs w:val="21"/>
                    </w:rPr>
                    <w:t>运行情况与一期项目环评一致，计划与热媒站同步关停</w:t>
                  </w:r>
                </w:p>
              </w:tc>
            </w:tr>
            <w:tr w14:paraId="27C57D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8" w:hRule="atLeast"/>
                <w:jc w:val="center"/>
              </w:trPr>
              <w:tc>
                <w:tcPr>
                  <w:tcW w:w="204" w:type="pct"/>
                  <w:vMerge w:val="continue"/>
                  <w:vAlign w:val="center"/>
                </w:tcPr>
                <w:p w14:paraId="33176A3C">
                  <w:pPr>
                    <w:jc w:val="center"/>
                    <w:rPr>
                      <w:szCs w:val="21"/>
                    </w:rPr>
                  </w:pPr>
                </w:p>
              </w:tc>
              <w:tc>
                <w:tcPr>
                  <w:tcW w:w="460" w:type="pct"/>
                  <w:gridSpan w:val="2"/>
                  <w:vAlign w:val="center"/>
                </w:tcPr>
                <w:p w14:paraId="24534F86">
                  <w:pPr>
                    <w:jc w:val="center"/>
                    <w:rPr>
                      <w:szCs w:val="21"/>
                    </w:rPr>
                  </w:pPr>
                  <w:r>
                    <w:rPr>
                      <w:szCs w:val="21"/>
                    </w:rPr>
                    <w:t>纺丝车间油剂废气处理装置</w:t>
                  </w:r>
                </w:p>
              </w:tc>
              <w:tc>
                <w:tcPr>
                  <w:tcW w:w="2298" w:type="pct"/>
                  <w:gridSpan w:val="2"/>
                  <w:vAlign w:val="center"/>
                </w:tcPr>
                <w:p w14:paraId="2B1E8559">
                  <w:pPr>
                    <w:rPr>
                      <w:szCs w:val="21"/>
                    </w:rPr>
                  </w:pPr>
                  <w:r>
                    <w:rPr>
                      <w:szCs w:val="21"/>
                    </w:rPr>
                    <w:t>1.纺丝车间油剂经车间通风系统收集后，由设在车间屋顶的POY-24套油气分离装置（去除率约80%），油气分离装置处理风量约10000m</w:t>
                  </w:r>
                  <w:r>
                    <w:rPr>
                      <w:szCs w:val="21"/>
                      <w:vertAlign w:val="superscript"/>
                    </w:rPr>
                    <w:t>3</w:t>
                  </w:r>
                  <w:r>
                    <w:rPr>
                      <w:szCs w:val="21"/>
                    </w:rPr>
                    <w:t>/h，烟气温度为常温；排气筒内径为600mm，排气高度26m。</w:t>
                  </w:r>
                </w:p>
                <w:p w14:paraId="4CEE6D9D">
                  <w:pPr>
                    <w:rPr>
                      <w:szCs w:val="21"/>
                    </w:rPr>
                  </w:pPr>
                  <w:r>
                    <w:rPr>
                      <w:szCs w:val="21"/>
                    </w:rPr>
                    <w:t>2.纺丝车间油剂经车间通风系统收集后，由设在车间屋顶的FDY油烟分离装置20套，每套FDY油烟净化设备处理风量约38240m</w:t>
                  </w:r>
                  <w:r>
                    <w:rPr>
                      <w:szCs w:val="21"/>
                      <w:vertAlign w:val="superscript"/>
                    </w:rPr>
                    <w:t>3</w:t>
                  </w:r>
                  <w:r>
                    <w:rPr>
                      <w:szCs w:val="21"/>
                    </w:rPr>
                    <w:t>/h，烟气温度约100℃；排气筒内径为1000mm，排气高度26m。</w:t>
                  </w:r>
                </w:p>
              </w:tc>
              <w:tc>
                <w:tcPr>
                  <w:tcW w:w="871" w:type="pct"/>
                  <w:vAlign w:val="center"/>
                </w:tcPr>
                <w:p w14:paraId="207F7EF6">
                  <w:pPr>
                    <w:jc w:val="center"/>
                    <w:rPr>
                      <w:szCs w:val="21"/>
                    </w:rPr>
                  </w:pPr>
                  <w:r>
                    <w:rPr>
                      <w:szCs w:val="21"/>
                    </w:rPr>
                    <w:t>纺丝车间1中POY4套油气分离装置4个排气筒P2-1~P2-4；</w:t>
                  </w:r>
                </w:p>
                <w:p w14:paraId="56365C89">
                  <w:pPr>
                    <w:jc w:val="center"/>
                    <w:rPr>
                      <w:szCs w:val="21"/>
                    </w:rPr>
                  </w:pPr>
                  <w:r>
                    <w:rPr>
                      <w:szCs w:val="21"/>
                    </w:rPr>
                    <w:t>FDY2套P3-1、P3-2</w:t>
                  </w:r>
                </w:p>
              </w:tc>
              <w:tc>
                <w:tcPr>
                  <w:tcW w:w="1167" w:type="pct"/>
                  <w:vAlign w:val="center"/>
                </w:tcPr>
                <w:p w14:paraId="7E88E44F">
                  <w:pPr>
                    <w:rPr>
                      <w:szCs w:val="21"/>
                    </w:rPr>
                  </w:pPr>
                  <w:r>
                    <w:rPr>
                      <w:szCs w:val="21"/>
                    </w:rPr>
                    <w:t>1.原有POY4条生产线每条对应1套油气分离装置及排气筒（共4套），改为4条生产线每2条生产线对应1套油气分离装置及排气筒（共2套），处理风量由10000 m</w:t>
                  </w:r>
                  <w:r>
                    <w:rPr>
                      <w:szCs w:val="21"/>
                      <w:vertAlign w:val="superscript"/>
                    </w:rPr>
                    <w:t>3</w:t>
                  </w:r>
                  <w:r>
                    <w:rPr>
                      <w:szCs w:val="21"/>
                    </w:rPr>
                    <w:t>/h提高至约20000m</w:t>
                  </w:r>
                  <w:r>
                    <w:rPr>
                      <w:szCs w:val="21"/>
                      <w:vertAlign w:val="superscript"/>
                    </w:rPr>
                    <w:t>3</w:t>
                  </w:r>
                  <w:r>
                    <w:rPr>
                      <w:szCs w:val="21"/>
                    </w:rPr>
                    <w:t>/h，以满足现有生产线处理需求。最终分别通过排气筒P2-1、P2-2进行排放，取消P2-3、P2-4。其余与环评一致。</w:t>
                  </w:r>
                </w:p>
                <w:p w14:paraId="64ABA428">
                  <w:pPr>
                    <w:jc w:val="center"/>
                    <w:rPr>
                      <w:szCs w:val="21"/>
                    </w:rPr>
                  </w:pPr>
                  <w:r>
                    <w:rPr>
                      <w:szCs w:val="21"/>
                    </w:rPr>
                    <w:t>2. FDY生产线油剂经车间通风系统收集后，由设在车间屋顶的2套油烟净化设备，处理风量由38240m</w:t>
                  </w:r>
                  <w:r>
                    <w:rPr>
                      <w:szCs w:val="21"/>
                      <w:vertAlign w:val="superscript"/>
                    </w:rPr>
                    <w:t>3</w:t>
                  </w:r>
                  <w:r>
                    <w:rPr>
                      <w:szCs w:val="21"/>
                    </w:rPr>
                    <w:t>/h更改为22000m</w:t>
                  </w:r>
                  <w:r>
                    <w:rPr>
                      <w:szCs w:val="21"/>
                      <w:vertAlign w:val="superscript"/>
                    </w:rPr>
                    <w:t>3</w:t>
                  </w:r>
                  <w:r>
                    <w:rPr>
                      <w:szCs w:val="21"/>
                    </w:rPr>
                    <w:t>/h、28000 m</w:t>
                  </w:r>
                  <w:r>
                    <w:rPr>
                      <w:szCs w:val="21"/>
                      <w:vertAlign w:val="superscript"/>
                    </w:rPr>
                    <w:t>3</w:t>
                  </w:r>
                  <w:r>
                    <w:rPr>
                      <w:szCs w:val="21"/>
                    </w:rPr>
                    <w:t>/h，其余与环评一致。</w:t>
                  </w:r>
                </w:p>
              </w:tc>
            </w:tr>
            <w:tr w14:paraId="33EA0A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8" w:hRule="atLeast"/>
                <w:jc w:val="center"/>
              </w:trPr>
              <w:tc>
                <w:tcPr>
                  <w:tcW w:w="204" w:type="pct"/>
                  <w:vMerge w:val="continue"/>
                  <w:vAlign w:val="center"/>
                </w:tcPr>
                <w:p w14:paraId="5E64ECF4">
                  <w:pPr>
                    <w:jc w:val="center"/>
                    <w:rPr>
                      <w:szCs w:val="21"/>
                    </w:rPr>
                  </w:pPr>
                </w:p>
              </w:tc>
              <w:tc>
                <w:tcPr>
                  <w:tcW w:w="460" w:type="pct"/>
                  <w:gridSpan w:val="2"/>
                  <w:vAlign w:val="center"/>
                </w:tcPr>
                <w:p w14:paraId="60E341C0">
                  <w:pPr>
                    <w:jc w:val="center"/>
                    <w:rPr>
                      <w:bCs/>
                      <w:szCs w:val="21"/>
                    </w:rPr>
                  </w:pPr>
                  <w:r>
                    <w:rPr>
                      <w:bCs/>
                      <w:szCs w:val="21"/>
                    </w:rPr>
                    <w:t>化验中心实验废气处理装置</w:t>
                  </w:r>
                </w:p>
              </w:tc>
              <w:tc>
                <w:tcPr>
                  <w:tcW w:w="2298" w:type="pct"/>
                  <w:gridSpan w:val="2"/>
                  <w:vAlign w:val="center"/>
                </w:tcPr>
                <w:p w14:paraId="095E5F49">
                  <w:pPr>
                    <w:jc w:val="center"/>
                    <w:rPr>
                      <w:szCs w:val="21"/>
                    </w:rPr>
                  </w:pPr>
                  <w:r>
                    <w:rPr>
                      <w:szCs w:val="21"/>
                    </w:rPr>
                    <w:t>实际建设过程中新建</w:t>
                  </w:r>
                </w:p>
              </w:tc>
              <w:tc>
                <w:tcPr>
                  <w:tcW w:w="871" w:type="pct"/>
                  <w:vAlign w:val="center"/>
                </w:tcPr>
                <w:p w14:paraId="5C901DCF">
                  <w:pPr>
                    <w:jc w:val="center"/>
                    <w:rPr>
                      <w:bCs/>
                      <w:szCs w:val="21"/>
                    </w:rPr>
                  </w:pPr>
                  <w:r>
                    <w:rPr>
                      <w:bCs/>
                      <w:szCs w:val="21"/>
                    </w:rPr>
                    <w:t>新增3套实验废气收集系统，3套水喷淋+活性炭吸附装置、3个排气筒</w:t>
                  </w:r>
                </w:p>
              </w:tc>
              <w:tc>
                <w:tcPr>
                  <w:tcW w:w="1167" w:type="pct"/>
                  <w:vAlign w:val="center"/>
                </w:tcPr>
                <w:p w14:paraId="1FD4706F">
                  <w:pPr>
                    <w:jc w:val="center"/>
                    <w:rPr>
                      <w:szCs w:val="21"/>
                    </w:rPr>
                  </w:pPr>
                  <w:r>
                    <w:rPr>
                      <w:szCs w:val="21"/>
                    </w:rPr>
                    <w:t>实际建设过程中新增3套</w:t>
                  </w:r>
                  <w:r>
                    <w:rPr>
                      <w:bCs/>
                      <w:szCs w:val="21"/>
                    </w:rPr>
                    <w:t>实验废气收集处理系统。最终通过15m排气筒（一般排放口）排放至大气。将原本的无组织废气变为有组织废气并进行处理。处理工艺：水喷淋+活性炭吸附，风量：16000m</w:t>
                  </w:r>
                  <w:r>
                    <w:rPr>
                      <w:bCs/>
                      <w:szCs w:val="21"/>
                      <w:vertAlign w:val="superscript"/>
                    </w:rPr>
                    <w:t>3</w:t>
                  </w:r>
                  <w:r>
                    <w:rPr>
                      <w:bCs/>
                      <w:szCs w:val="21"/>
                    </w:rPr>
                    <w:t>/h，排气筒高度15m、半径27.5cm。</w:t>
                  </w:r>
                </w:p>
              </w:tc>
            </w:tr>
            <w:tr w14:paraId="1113FF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4" w:type="pct"/>
                  <w:vMerge w:val="continue"/>
                  <w:vAlign w:val="center"/>
                </w:tcPr>
                <w:p w14:paraId="34ADF27B">
                  <w:pPr>
                    <w:jc w:val="center"/>
                    <w:rPr>
                      <w:szCs w:val="21"/>
                    </w:rPr>
                  </w:pPr>
                </w:p>
              </w:tc>
              <w:tc>
                <w:tcPr>
                  <w:tcW w:w="460" w:type="pct"/>
                  <w:gridSpan w:val="2"/>
                  <w:vAlign w:val="center"/>
                </w:tcPr>
                <w:p w14:paraId="103C2A82">
                  <w:pPr>
                    <w:jc w:val="center"/>
                    <w:rPr>
                      <w:szCs w:val="21"/>
                    </w:rPr>
                  </w:pPr>
                  <w:r>
                    <w:rPr>
                      <w:szCs w:val="21"/>
                    </w:rPr>
                    <w:t>污水预处理站</w:t>
                  </w:r>
                </w:p>
              </w:tc>
              <w:tc>
                <w:tcPr>
                  <w:tcW w:w="2298" w:type="pct"/>
                  <w:gridSpan w:val="2"/>
                  <w:vAlign w:val="center"/>
                </w:tcPr>
                <w:p w14:paraId="6F377E30">
                  <w:pPr>
                    <w:jc w:val="center"/>
                    <w:rPr>
                      <w:szCs w:val="21"/>
                    </w:rPr>
                  </w:pPr>
                  <w:r>
                    <w:rPr>
                      <w:szCs w:val="21"/>
                    </w:rPr>
                    <w:t>乙醛回收装置聚酯废水（W1）全部接入芮邦科技有限公司，其余废水中成子河西侧地块内生产及生活废水（占比约33%）经分类收集后</w:t>
                  </w:r>
                  <w:r>
                    <w:rPr>
                      <w:rFonts w:hint="eastAsia"/>
                      <w:szCs w:val="21"/>
                    </w:rPr>
                    <w:t>管道输</w:t>
                  </w:r>
                  <w:r>
                    <w:rPr>
                      <w:szCs w:val="21"/>
                    </w:rPr>
                    <w:t>送至芮邦科技厂区污水站分质预处理，成子河东侧地块内生产及生活废水（占比约67%）经分类收集后</w:t>
                  </w:r>
                  <w:r>
                    <w:rPr>
                      <w:rFonts w:hint="eastAsia"/>
                      <w:szCs w:val="21"/>
                    </w:rPr>
                    <w:t>管道输</w:t>
                  </w:r>
                  <w:r>
                    <w:rPr>
                      <w:szCs w:val="21"/>
                    </w:rPr>
                    <w:t>送至本项目新建的厂区污水站分质预处理。芮邦科技厂区污水站和本次新建污水站污水处理工艺相同，各股废水分质</w:t>
                  </w:r>
                  <w:r>
                    <w:rPr>
                      <w:rFonts w:hint="eastAsia"/>
                      <w:szCs w:val="21"/>
                    </w:rPr>
                    <w:t>管道输</w:t>
                  </w:r>
                  <w:r>
                    <w:rPr>
                      <w:szCs w:val="21"/>
                    </w:rPr>
                    <w:t>送至污水站混合调节池混合后，采用“活性污泥+兼氧好氧”的好氧生化处理工艺和“陶粒过滤+活性炭过滤+精密过滤+反渗透”中水回用深度处理工艺，活性炭过滤器出水中的40%和反渗透淡水在清水池内混合后作为中水回用，中水回用率为80%，反渗透浓水（占比20%）进入除锑系统处理达标后排入市政管网由泗阳县木业园区污水处理厂集中处理，尾水执行《城镇污水处理厂污染物排放标准》（GB18918-2002）中一级A标准，排入小长河，最终进入</w:t>
                  </w:r>
                  <w:r>
                    <w:rPr>
                      <w:rFonts w:hint="eastAsia"/>
                      <w:szCs w:val="21"/>
                    </w:rPr>
                    <w:t>黄河故道（原</w:t>
                  </w:r>
                  <w:r>
                    <w:rPr>
                      <w:szCs w:val="21"/>
                    </w:rPr>
                    <w:t>废黄河</w:t>
                  </w:r>
                  <w:r>
                    <w:rPr>
                      <w:rFonts w:hint="eastAsia"/>
                      <w:szCs w:val="21"/>
                    </w:rPr>
                    <w:t>）</w:t>
                  </w:r>
                  <w:r>
                    <w:rPr>
                      <w:szCs w:val="21"/>
                    </w:rPr>
                    <w:t>。</w:t>
                  </w:r>
                </w:p>
              </w:tc>
              <w:tc>
                <w:tcPr>
                  <w:tcW w:w="871" w:type="pct"/>
                  <w:vAlign w:val="center"/>
                </w:tcPr>
                <w:p w14:paraId="3A5F62AC">
                  <w:pPr>
                    <w:jc w:val="center"/>
                    <w:rPr>
                      <w:szCs w:val="21"/>
                    </w:rPr>
                  </w:pPr>
                  <w:r>
                    <w:rPr>
                      <w:rFonts w:hint="eastAsia"/>
                      <w:szCs w:val="21"/>
                    </w:rPr>
                    <w:t>成子河</w:t>
                  </w:r>
                  <w:r>
                    <w:rPr>
                      <w:szCs w:val="21"/>
                    </w:rPr>
                    <w:t>西侧</w:t>
                  </w:r>
                  <w:r>
                    <w:rPr>
                      <w:rFonts w:hint="eastAsia"/>
                      <w:szCs w:val="21"/>
                    </w:rPr>
                    <w:t>厂区</w:t>
                  </w:r>
                  <w:r>
                    <w:rPr>
                      <w:szCs w:val="21"/>
                    </w:rPr>
                    <w:t>依托芮邦</w:t>
                  </w:r>
                  <w:r>
                    <w:rPr>
                      <w:rFonts w:hint="eastAsia"/>
                      <w:szCs w:val="21"/>
                    </w:rPr>
                    <w:t>科技污水站</w:t>
                  </w:r>
                </w:p>
              </w:tc>
              <w:tc>
                <w:tcPr>
                  <w:tcW w:w="1167" w:type="pct"/>
                  <w:vAlign w:val="center"/>
                </w:tcPr>
                <w:p w14:paraId="7859335A">
                  <w:pPr>
                    <w:jc w:val="center"/>
                    <w:rPr>
                      <w:szCs w:val="21"/>
                    </w:rPr>
                  </w:pPr>
                  <w:r>
                    <w:rPr>
                      <w:szCs w:val="21"/>
                    </w:rPr>
                    <w:t>成子河西侧地块内生产及生活废水依托芮邦科技厂区</w:t>
                  </w:r>
                  <w:r>
                    <w:rPr>
                      <w:rFonts w:hint="eastAsia"/>
                      <w:szCs w:val="21"/>
                    </w:rPr>
                    <w:t>污水站</w:t>
                  </w:r>
                  <w:r>
                    <w:rPr>
                      <w:szCs w:val="21"/>
                    </w:rPr>
                    <w:t>，</w:t>
                  </w:r>
                  <w:r>
                    <w:rPr>
                      <w:bCs/>
                      <w:szCs w:val="21"/>
                    </w:rPr>
                    <w:t>已</w:t>
                  </w:r>
                  <w:r>
                    <w:rPr>
                      <w:rFonts w:hint="eastAsia"/>
                      <w:bCs/>
                      <w:szCs w:val="21"/>
                    </w:rPr>
                    <w:t>于</w:t>
                  </w:r>
                  <w:r>
                    <w:rPr>
                      <w:bCs/>
                      <w:szCs w:val="21"/>
                    </w:rPr>
                    <w:t>芮邦科技一期项目完成验收，运行情况与环评一致</w:t>
                  </w:r>
                </w:p>
              </w:tc>
            </w:tr>
            <w:tr w14:paraId="5C8EBF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4" w:type="pct"/>
                  <w:vMerge w:val="continue"/>
                  <w:vAlign w:val="center"/>
                </w:tcPr>
                <w:p w14:paraId="474B2749">
                  <w:pPr>
                    <w:jc w:val="center"/>
                    <w:rPr>
                      <w:szCs w:val="21"/>
                    </w:rPr>
                  </w:pPr>
                </w:p>
              </w:tc>
              <w:tc>
                <w:tcPr>
                  <w:tcW w:w="460" w:type="pct"/>
                  <w:gridSpan w:val="2"/>
                  <w:vAlign w:val="center"/>
                </w:tcPr>
                <w:p w14:paraId="292EF43D">
                  <w:pPr>
                    <w:jc w:val="center"/>
                    <w:rPr>
                      <w:szCs w:val="21"/>
                    </w:rPr>
                  </w:pPr>
                  <w:r>
                    <w:rPr>
                      <w:szCs w:val="21"/>
                    </w:rPr>
                    <w:t>一般工业固体废物暂存场</w:t>
                  </w:r>
                </w:p>
              </w:tc>
              <w:tc>
                <w:tcPr>
                  <w:tcW w:w="2298" w:type="pct"/>
                  <w:gridSpan w:val="2"/>
                  <w:vAlign w:val="center"/>
                </w:tcPr>
                <w:p w14:paraId="095C7E0A">
                  <w:pPr>
                    <w:jc w:val="center"/>
                    <w:rPr>
                      <w:szCs w:val="21"/>
                    </w:rPr>
                  </w:pPr>
                  <w:r>
                    <w:rPr>
                      <w:szCs w:val="21"/>
                    </w:rPr>
                    <w:t>纺丝废丝房共6个，总面积1020 m</w:t>
                  </w:r>
                  <w:r>
                    <w:rPr>
                      <w:szCs w:val="21"/>
                      <w:vertAlign w:val="superscript"/>
                    </w:rPr>
                    <w:t>2</w:t>
                  </w:r>
                  <w:r>
                    <w:rPr>
                      <w:szCs w:val="21"/>
                    </w:rPr>
                    <w:t>；加弹废丝房9个，总面积2400 m</w:t>
                  </w:r>
                  <w:r>
                    <w:rPr>
                      <w:szCs w:val="21"/>
                      <w:vertAlign w:val="superscript"/>
                    </w:rPr>
                    <w:t>2</w:t>
                  </w:r>
                  <w:r>
                    <w:rPr>
                      <w:szCs w:val="21"/>
                    </w:rPr>
                    <w:t>。</w:t>
                  </w:r>
                </w:p>
              </w:tc>
              <w:tc>
                <w:tcPr>
                  <w:tcW w:w="871" w:type="pct"/>
                  <w:vAlign w:val="center"/>
                </w:tcPr>
                <w:p w14:paraId="2D23335B">
                  <w:pPr>
                    <w:jc w:val="center"/>
                    <w:rPr>
                      <w:szCs w:val="21"/>
                    </w:rPr>
                  </w:pPr>
                  <w:r>
                    <w:rPr>
                      <w:szCs w:val="21"/>
                    </w:rPr>
                    <w:t>全部在一期一阶段验收范围内</w:t>
                  </w:r>
                </w:p>
              </w:tc>
              <w:tc>
                <w:tcPr>
                  <w:tcW w:w="1167" w:type="pct"/>
                  <w:vAlign w:val="center"/>
                </w:tcPr>
                <w:p w14:paraId="3A760446">
                  <w:pPr>
                    <w:jc w:val="center"/>
                    <w:rPr>
                      <w:szCs w:val="21"/>
                    </w:rPr>
                  </w:pPr>
                  <w:r>
                    <w:rPr>
                      <w:szCs w:val="21"/>
                    </w:rPr>
                    <w:t>纺丝废丝房共3个，总面积510 m</w:t>
                  </w:r>
                  <w:r>
                    <w:rPr>
                      <w:szCs w:val="21"/>
                      <w:vertAlign w:val="superscript"/>
                    </w:rPr>
                    <w:t>2</w:t>
                  </w:r>
                  <w:r>
                    <w:rPr>
                      <w:szCs w:val="21"/>
                    </w:rPr>
                    <w:t>；</w:t>
                  </w:r>
                </w:p>
              </w:tc>
            </w:tr>
            <w:tr w14:paraId="7AF49C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4" w:type="pct"/>
                  <w:vMerge w:val="continue"/>
                  <w:vAlign w:val="center"/>
                </w:tcPr>
                <w:p w14:paraId="6B587BE9">
                  <w:pPr>
                    <w:jc w:val="center"/>
                    <w:rPr>
                      <w:szCs w:val="21"/>
                    </w:rPr>
                  </w:pPr>
                </w:p>
              </w:tc>
              <w:tc>
                <w:tcPr>
                  <w:tcW w:w="460" w:type="pct"/>
                  <w:gridSpan w:val="2"/>
                  <w:vAlign w:val="center"/>
                </w:tcPr>
                <w:p w14:paraId="3C96901B">
                  <w:pPr>
                    <w:jc w:val="center"/>
                    <w:rPr>
                      <w:szCs w:val="21"/>
                    </w:rPr>
                  </w:pPr>
                  <w:r>
                    <w:rPr>
                      <w:szCs w:val="21"/>
                    </w:rPr>
                    <w:t>干灰库</w:t>
                  </w:r>
                </w:p>
              </w:tc>
              <w:tc>
                <w:tcPr>
                  <w:tcW w:w="2298" w:type="pct"/>
                  <w:gridSpan w:val="2"/>
                  <w:vAlign w:val="center"/>
                </w:tcPr>
                <w:p w14:paraId="77233C63">
                  <w:pPr>
                    <w:jc w:val="center"/>
                    <w:rPr>
                      <w:szCs w:val="21"/>
                    </w:rPr>
                  </w:pPr>
                  <w:r>
                    <w:t>2×800m</w:t>
                  </w:r>
                  <w:r>
                    <w:rPr>
                      <w:vertAlign w:val="superscript"/>
                    </w:rPr>
                    <w:t>3</w:t>
                  </w:r>
                  <w:r>
                    <w:t>，Ф10m</w:t>
                  </w:r>
                </w:p>
              </w:tc>
              <w:tc>
                <w:tcPr>
                  <w:tcW w:w="871" w:type="pct"/>
                  <w:vAlign w:val="center"/>
                </w:tcPr>
                <w:p w14:paraId="68B0745E">
                  <w:pPr>
                    <w:jc w:val="center"/>
                    <w:rPr>
                      <w:szCs w:val="21"/>
                    </w:rPr>
                  </w:pPr>
                  <w:r>
                    <w:rPr>
                      <w:szCs w:val="21"/>
                    </w:rPr>
                    <w:t>全部在一期一阶段验收范围内</w:t>
                  </w:r>
                </w:p>
              </w:tc>
              <w:tc>
                <w:tcPr>
                  <w:tcW w:w="1167" w:type="pct"/>
                  <w:vAlign w:val="center"/>
                </w:tcPr>
                <w:p w14:paraId="546D2A17">
                  <w:pPr>
                    <w:jc w:val="center"/>
                    <w:rPr>
                      <w:szCs w:val="21"/>
                    </w:rPr>
                  </w:pPr>
                  <w:r>
                    <w:rPr>
                      <w:szCs w:val="21"/>
                    </w:rPr>
                    <w:t>已建成，与环评一致</w:t>
                  </w:r>
                </w:p>
              </w:tc>
            </w:tr>
            <w:tr w14:paraId="38839C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4" w:type="pct"/>
                  <w:vMerge w:val="continue"/>
                  <w:vAlign w:val="center"/>
                </w:tcPr>
                <w:p w14:paraId="15220D44">
                  <w:pPr>
                    <w:jc w:val="center"/>
                    <w:rPr>
                      <w:szCs w:val="21"/>
                    </w:rPr>
                  </w:pPr>
                </w:p>
              </w:tc>
              <w:tc>
                <w:tcPr>
                  <w:tcW w:w="460" w:type="pct"/>
                  <w:gridSpan w:val="2"/>
                  <w:vAlign w:val="center"/>
                </w:tcPr>
                <w:p w14:paraId="5663B35B">
                  <w:pPr>
                    <w:jc w:val="center"/>
                    <w:rPr>
                      <w:szCs w:val="21"/>
                    </w:rPr>
                  </w:pPr>
                  <w:r>
                    <w:rPr>
                      <w:szCs w:val="21"/>
                    </w:rPr>
                    <w:t>热媒站一般工业固体废物暂存间</w:t>
                  </w:r>
                </w:p>
              </w:tc>
              <w:tc>
                <w:tcPr>
                  <w:tcW w:w="2298" w:type="pct"/>
                  <w:gridSpan w:val="2"/>
                  <w:vAlign w:val="center"/>
                </w:tcPr>
                <w:p w14:paraId="49E4991A">
                  <w:pPr>
                    <w:jc w:val="center"/>
                  </w:pPr>
                  <w:r>
                    <w:rPr>
                      <w:rFonts w:hint="eastAsia"/>
                    </w:rPr>
                    <w:t>/</w:t>
                  </w:r>
                </w:p>
              </w:tc>
              <w:tc>
                <w:tcPr>
                  <w:tcW w:w="871" w:type="pct"/>
                  <w:vAlign w:val="center"/>
                </w:tcPr>
                <w:p w14:paraId="5E11F984">
                  <w:pPr>
                    <w:jc w:val="center"/>
                    <w:rPr>
                      <w:szCs w:val="21"/>
                    </w:rPr>
                  </w:pPr>
                  <w:r>
                    <w:rPr>
                      <w:rFonts w:hint="eastAsia"/>
                      <w:szCs w:val="21"/>
                    </w:rPr>
                    <w:t>建设阶段新增一个</w:t>
                  </w:r>
                  <w:r>
                    <w:rPr>
                      <w:szCs w:val="21"/>
                    </w:rPr>
                    <w:t>热媒站一般工业固体废物暂存间</w:t>
                  </w:r>
                  <w:r>
                    <w:t>360m</w:t>
                  </w:r>
                  <w:r>
                    <w:rPr>
                      <w:rFonts w:hint="eastAsia"/>
                      <w:vertAlign w:val="superscript"/>
                    </w:rPr>
                    <w:t>2</w:t>
                  </w:r>
                </w:p>
              </w:tc>
              <w:tc>
                <w:tcPr>
                  <w:tcW w:w="1167" w:type="pct"/>
                  <w:vAlign w:val="center"/>
                </w:tcPr>
                <w:p w14:paraId="729E2879">
                  <w:pPr>
                    <w:jc w:val="center"/>
                    <w:rPr>
                      <w:szCs w:val="21"/>
                    </w:rPr>
                  </w:pPr>
                  <w:r>
                    <w:rPr>
                      <w:szCs w:val="21"/>
                    </w:rPr>
                    <w:t>因泗阳意杨环保能源有限公司尚未建成，热媒站新建一般工业固体废物间用于存放石膏与炉渣</w:t>
                  </w:r>
                </w:p>
              </w:tc>
            </w:tr>
            <w:tr w14:paraId="575F0A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4" w:type="pct"/>
                  <w:vMerge w:val="continue"/>
                  <w:vAlign w:val="center"/>
                </w:tcPr>
                <w:p w14:paraId="2C26EF9C">
                  <w:pPr>
                    <w:jc w:val="center"/>
                    <w:rPr>
                      <w:szCs w:val="21"/>
                    </w:rPr>
                  </w:pPr>
                </w:p>
              </w:tc>
              <w:tc>
                <w:tcPr>
                  <w:tcW w:w="460" w:type="pct"/>
                  <w:gridSpan w:val="2"/>
                  <w:vAlign w:val="center"/>
                </w:tcPr>
                <w:p w14:paraId="6CC2F528">
                  <w:pPr>
                    <w:jc w:val="center"/>
                    <w:rPr>
                      <w:szCs w:val="21"/>
                    </w:rPr>
                  </w:pPr>
                  <w:r>
                    <w:rPr>
                      <w:szCs w:val="21"/>
                    </w:rPr>
                    <w:t>危废暂存场</w:t>
                  </w:r>
                </w:p>
              </w:tc>
              <w:tc>
                <w:tcPr>
                  <w:tcW w:w="2298" w:type="pct"/>
                  <w:gridSpan w:val="2"/>
                  <w:vAlign w:val="center"/>
                </w:tcPr>
                <w:p w14:paraId="0E43F64C">
                  <w:pPr>
                    <w:jc w:val="center"/>
                    <w:rPr>
                      <w:szCs w:val="21"/>
                    </w:rPr>
                  </w:pPr>
                  <w:r>
                    <w:rPr>
                      <w:bCs/>
                      <w:szCs w:val="21"/>
                    </w:rPr>
                    <w:t>成子河西侧，</w:t>
                  </w:r>
                  <w:r>
                    <w:rPr>
                      <w:snapToGrid w:val="0"/>
                      <w:kern w:val="0"/>
                      <w:szCs w:val="21"/>
                    </w:rPr>
                    <w:t>租用芮邦科技厂区土地，新建危废暂存仓库1个，占地面积570</w:t>
                  </w:r>
                  <w:r>
                    <w:rPr>
                      <w:szCs w:val="21"/>
                    </w:rPr>
                    <w:t xml:space="preserve"> m</w:t>
                  </w:r>
                  <w:r>
                    <w:rPr>
                      <w:szCs w:val="21"/>
                      <w:vertAlign w:val="superscript"/>
                    </w:rPr>
                    <w:t>2</w:t>
                  </w:r>
                  <w:r>
                    <w:rPr>
                      <w:szCs w:val="21"/>
                    </w:rPr>
                    <w:t>（19*30m）</w:t>
                  </w:r>
                  <w:r>
                    <w:rPr>
                      <w:snapToGrid w:val="0"/>
                      <w:kern w:val="0"/>
                      <w:szCs w:val="21"/>
                    </w:rPr>
                    <w:t>，成子河</w:t>
                  </w:r>
                  <w:r>
                    <w:rPr>
                      <w:bCs/>
                      <w:szCs w:val="21"/>
                    </w:rPr>
                    <w:t>东侧地块</w:t>
                  </w:r>
                  <w:r>
                    <w:rPr>
                      <w:szCs w:val="21"/>
                    </w:rPr>
                    <w:t>新建</w:t>
                  </w:r>
                  <w:r>
                    <w:rPr>
                      <w:snapToGrid w:val="0"/>
                      <w:kern w:val="0"/>
                      <w:szCs w:val="21"/>
                    </w:rPr>
                    <w:t>危废暂存仓库</w:t>
                  </w:r>
                  <w:r>
                    <w:rPr>
                      <w:bCs/>
                      <w:szCs w:val="21"/>
                    </w:rPr>
                    <w:t>2个，占地面积分别为720</w:t>
                  </w:r>
                  <w:r>
                    <w:rPr>
                      <w:szCs w:val="21"/>
                    </w:rPr>
                    <w:t xml:space="preserve"> m</w:t>
                  </w:r>
                  <w:r>
                    <w:rPr>
                      <w:szCs w:val="21"/>
                      <w:vertAlign w:val="superscript"/>
                    </w:rPr>
                    <w:t>2</w:t>
                  </w:r>
                  <w:r>
                    <w:rPr>
                      <w:szCs w:val="21"/>
                    </w:rPr>
                    <w:t>（36*20m）和940m</w:t>
                  </w:r>
                  <w:r>
                    <w:rPr>
                      <w:szCs w:val="21"/>
                      <w:vertAlign w:val="superscript"/>
                    </w:rPr>
                    <w:t>2</w:t>
                  </w:r>
                  <w:r>
                    <w:rPr>
                      <w:szCs w:val="21"/>
                    </w:rPr>
                    <w:t>（47*20m）</w:t>
                  </w:r>
                </w:p>
              </w:tc>
              <w:tc>
                <w:tcPr>
                  <w:tcW w:w="871" w:type="pct"/>
                  <w:vAlign w:val="center"/>
                </w:tcPr>
                <w:p w14:paraId="6FA4E521">
                  <w:pPr>
                    <w:jc w:val="center"/>
                    <w:rPr>
                      <w:szCs w:val="21"/>
                    </w:rPr>
                  </w:pPr>
                  <w:r>
                    <w:rPr>
                      <w:bCs/>
                      <w:szCs w:val="21"/>
                    </w:rPr>
                    <w:t>成子河西侧</w:t>
                  </w:r>
                  <w:r>
                    <w:rPr>
                      <w:snapToGrid w:val="0"/>
                      <w:kern w:val="0"/>
                      <w:szCs w:val="21"/>
                    </w:rPr>
                    <w:t>芮邦科技厂区内危废暂存仓库1个</w:t>
                  </w:r>
                </w:p>
              </w:tc>
              <w:tc>
                <w:tcPr>
                  <w:tcW w:w="1167" w:type="pct"/>
                  <w:vAlign w:val="center"/>
                </w:tcPr>
                <w:p w14:paraId="23F70A9E">
                  <w:pPr>
                    <w:jc w:val="center"/>
                    <w:rPr>
                      <w:bCs/>
                      <w:szCs w:val="21"/>
                    </w:rPr>
                  </w:pPr>
                  <w:r>
                    <w:rPr>
                      <w:bCs/>
                      <w:szCs w:val="21"/>
                    </w:rPr>
                    <w:t>成子河西侧依托</w:t>
                  </w:r>
                  <w:r>
                    <w:rPr>
                      <w:snapToGrid w:val="0"/>
                      <w:kern w:val="0"/>
                      <w:szCs w:val="21"/>
                    </w:rPr>
                    <w:t>芮邦科技厂区内危废暂存仓库1个,占地面积589m</w:t>
                  </w:r>
                  <w:r>
                    <w:rPr>
                      <w:snapToGrid w:val="0"/>
                      <w:kern w:val="0"/>
                      <w:szCs w:val="21"/>
                      <w:vertAlign w:val="superscript"/>
                    </w:rPr>
                    <w:t>3</w:t>
                  </w:r>
                </w:p>
              </w:tc>
            </w:tr>
            <w:tr w14:paraId="57DC54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4" w:type="pct"/>
                  <w:vMerge w:val="continue"/>
                  <w:vAlign w:val="center"/>
                </w:tcPr>
                <w:p w14:paraId="74348F14">
                  <w:pPr>
                    <w:jc w:val="center"/>
                    <w:rPr>
                      <w:szCs w:val="21"/>
                    </w:rPr>
                  </w:pPr>
                </w:p>
              </w:tc>
              <w:tc>
                <w:tcPr>
                  <w:tcW w:w="460" w:type="pct"/>
                  <w:gridSpan w:val="2"/>
                  <w:vAlign w:val="center"/>
                </w:tcPr>
                <w:p w14:paraId="1F61DAF1">
                  <w:pPr>
                    <w:jc w:val="center"/>
                    <w:rPr>
                      <w:szCs w:val="21"/>
                    </w:rPr>
                  </w:pPr>
                  <w:r>
                    <w:rPr>
                      <w:szCs w:val="21"/>
                    </w:rPr>
                    <w:t>消防水池</w:t>
                  </w:r>
                </w:p>
              </w:tc>
              <w:tc>
                <w:tcPr>
                  <w:tcW w:w="2298" w:type="pct"/>
                  <w:gridSpan w:val="2"/>
                  <w:vAlign w:val="center"/>
                </w:tcPr>
                <w:p w14:paraId="08191FF4">
                  <w:pPr>
                    <w:jc w:val="center"/>
                    <w:rPr>
                      <w:bCs/>
                      <w:szCs w:val="21"/>
                    </w:rPr>
                  </w:pPr>
                  <w:r>
                    <w:rPr>
                      <w:bCs/>
                      <w:szCs w:val="21"/>
                    </w:rPr>
                    <w:t>成子河西侧地块依托芮邦科技厂区</w:t>
                  </w:r>
                  <w:r>
                    <w:rPr>
                      <w:kern w:val="0"/>
                      <w:szCs w:val="21"/>
                    </w:rPr>
                    <w:t>区内综合给水站供给，站内设置消防水池2座，消防水总贮水量为2700m</w:t>
                  </w:r>
                  <w:r>
                    <w:rPr>
                      <w:kern w:val="0"/>
                      <w:szCs w:val="21"/>
                      <w:vertAlign w:val="superscript"/>
                    </w:rPr>
                    <w:t>3</w:t>
                  </w:r>
                  <w:r>
                    <w:rPr>
                      <w:kern w:val="0"/>
                      <w:szCs w:val="21"/>
                    </w:rPr>
                    <w:t>，南罐区新建一座5000</w:t>
                  </w:r>
                  <w:r>
                    <w:rPr>
                      <w:rFonts w:hint="eastAsia"/>
                      <w:kern w:val="0"/>
                      <w:szCs w:val="21"/>
                    </w:rPr>
                    <w:t>m</w:t>
                  </w:r>
                  <w:r>
                    <w:rPr>
                      <w:rFonts w:hint="eastAsia"/>
                      <w:kern w:val="0"/>
                      <w:szCs w:val="21"/>
                      <w:vertAlign w:val="superscript"/>
                    </w:rPr>
                    <w:t>3</w:t>
                  </w:r>
                  <w:r>
                    <w:rPr>
                      <w:kern w:val="0"/>
                      <w:szCs w:val="21"/>
                    </w:rPr>
                    <w:t>消防水池。</w:t>
                  </w:r>
                  <w:r>
                    <w:rPr>
                      <w:bCs/>
                      <w:szCs w:val="21"/>
                    </w:rPr>
                    <w:t>成子河东侧地块厂区新建污水站配套新建消防水池（2000 m</w:t>
                  </w:r>
                  <w:r>
                    <w:rPr>
                      <w:bCs/>
                      <w:szCs w:val="21"/>
                      <w:vertAlign w:val="superscript"/>
                    </w:rPr>
                    <w:t>3</w:t>
                  </w:r>
                  <w:r>
                    <w:rPr>
                      <w:bCs/>
                      <w:szCs w:val="21"/>
                    </w:rPr>
                    <w:t>）</w:t>
                  </w:r>
                </w:p>
              </w:tc>
              <w:tc>
                <w:tcPr>
                  <w:tcW w:w="871" w:type="pct"/>
                  <w:vAlign w:val="center"/>
                </w:tcPr>
                <w:p w14:paraId="5418C22A">
                  <w:pPr>
                    <w:jc w:val="center"/>
                    <w:rPr>
                      <w:szCs w:val="21"/>
                    </w:rPr>
                  </w:pPr>
                  <w:r>
                    <w:rPr>
                      <w:bCs/>
                      <w:szCs w:val="21"/>
                    </w:rPr>
                    <w:t>成子河西侧地块依托芮邦科技厂区污水站配套的消防水池</w:t>
                  </w:r>
                </w:p>
              </w:tc>
              <w:tc>
                <w:tcPr>
                  <w:tcW w:w="1167" w:type="pct"/>
                  <w:vAlign w:val="center"/>
                </w:tcPr>
                <w:p w14:paraId="54DDB101">
                  <w:pPr>
                    <w:jc w:val="center"/>
                    <w:rPr>
                      <w:bCs/>
                      <w:szCs w:val="21"/>
                    </w:rPr>
                  </w:pPr>
                  <w:bookmarkStart w:id="32" w:name="_Hlk163827740"/>
                  <w:r>
                    <w:rPr>
                      <w:kern w:val="0"/>
                      <w:szCs w:val="21"/>
                    </w:rPr>
                    <w:t>依托江苏芮邦科技有限公司厂</w:t>
                  </w:r>
                  <w:r>
                    <w:rPr>
                      <w:rFonts w:hint="eastAsia"/>
                      <w:kern w:val="0"/>
                      <w:szCs w:val="21"/>
                    </w:rPr>
                    <w:t>消防水池，</w:t>
                  </w:r>
                  <w:r>
                    <w:rPr>
                      <w:bCs/>
                      <w:szCs w:val="21"/>
                    </w:rPr>
                    <w:t>已验收，运行情况与一期项目环评一致</w:t>
                  </w:r>
                  <w:bookmarkEnd w:id="32"/>
                </w:p>
              </w:tc>
            </w:tr>
            <w:tr w14:paraId="61147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4" w:type="pct"/>
                  <w:vMerge w:val="continue"/>
                  <w:vAlign w:val="center"/>
                </w:tcPr>
                <w:p w14:paraId="3AAFC85F">
                  <w:pPr>
                    <w:jc w:val="center"/>
                    <w:rPr>
                      <w:szCs w:val="21"/>
                    </w:rPr>
                  </w:pPr>
                </w:p>
              </w:tc>
              <w:tc>
                <w:tcPr>
                  <w:tcW w:w="460" w:type="pct"/>
                  <w:gridSpan w:val="2"/>
                  <w:vAlign w:val="center"/>
                </w:tcPr>
                <w:p w14:paraId="04A6BF8E">
                  <w:pPr>
                    <w:jc w:val="center"/>
                    <w:rPr>
                      <w:bCs/>
                      <w:szCs w:val="21"/>
                    </w:rPr>
                  </w:pPr>
                  <w:r>
                    <w:rPr>
                      <w:bCs/>
                      <w:szCs w:val="21"/>
                    </w:rPr>
                    <w:t>初期雨水池</w:t>
                  </w:r>
                </w:p>
              </w:tc>
              <w:tc>
                <w:tcPr>
                  <w:tcW w:w="2298" w:type="pct"/>
                  <w:gridSpan w:val="2"/>
                  <w:vAlign w:val="center"/>
                </w:tcPr>
                <w:p w14:paraId="0C0F524D">
                  <w:pPr>
                    <w:jc w:val="center"/>
                    <w:rPr>
                      <w:bCs/>
                      <w:szCs w:val="21"/>
                    </w:rPr>
                  </w:pPr>
                  <w:bookmarkStart w:id="33" w:name="_Hlk163827770"/>
                  <w:r>
                    <w:rPr>
                      <w:szCs w:val="21"/>
                    </w:rPr>
                    <w:t>罐区东侧建有一座510m³的初期雨水收集池</w:t>
                  </w:r>
                  <w:bookmarkEnd w:id="33"/>
                </w:p>
              </w:tc>
              <w:tc>
                <w:tcPr>
                  <w:tcW w:w="871" w:type="pct"/>
                  <w:vAlign w:val="center"/>
                </w:tcPr>
                <w:p w14:paraId="0318469B">
                  <w:pPr>
                    <w:jc w:val="center"/>
                    <w:rPr>
                      <w:szCs w:val="21"/>
                    </w:rPr>
                  </w:pPr>
                  <w:r>
                    <w:rPr>
                      <w:szCs w:val="21"/>
                    </w:rPr>
                    <w:t>全部在一期一阶段验收范围内</w:t>
                  </w:r>
                </w:p>
              </w:tc>
              <w:tc>
                <w:tcPr>
                  <w:tcW w:w="1167" w:type="pct"/>
                  <w:vAlign w:val="center"/>
                </w:tcPr>
                <w:p w14:paraId="55596214">
                  <w:pPr>
                    <w:jc w:val="center"/>
                    <w:rPr>
                      <w:szCs w:val="21"/>
                    </w:rPr>
                  </w:pPr>
                  <w:r>
                    <w:rPr>
                      <w:rFonts w:hint="eastAsia"/>
                      <w:bCs/>
                      <w:szCs w:val="21"/>
                    </w:rPr>
                    <w:t>建设与</w:t>
                  </w:r>
                  <w:r>
                    <w:rPr>
                      <w:bCs/>
                      <w:szCs w:val="21"/>
                    </w:rPr>
                    <w:t>运行情况与一期项目环评一致</w:t>
                  </w:r>
                </w:p>
              </w:tc>
            </w:tr>
            <w:tr w14:paraId="5F868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4" w:type="pct"/>
                  <w:vMerge w:val="continue"/>
                  <w:vAlign w:val="center"/>
                </w:tcPr>
                <w:p w14:paraId="68D2D882">
                  <w:pPr>
                    <w:jc w:val="center"/>
                    <w:rPr>
                      <w:szCs w:val="21"/>
                    </w:rPr>
                  </w:pPr>
                </w:p>
              </w:tc>
              <w:tc>
                <w:tcPr>
                  <w:tcW w:w="460" w:type="pct"/>
                  <w:gridSpan w:val="2"/>
                  <w:vAlign w:val="center"/>
                </w:tcPr>
                <w:p w14:paraId="7BC8D7DA">
                  <w:pPr>
                    <w:jc w:val="center"/>
                    <w:rPr>
                      <w:szCs w:val="21"/>
                    </w:rPr>
                  </w:pPr>
                  <w:r>
                    <w:rPr>
                      <w:bCs/>
                      <w:szCs w:val="21"/>
                    </w:rPr>
                    <w:t>事故池</w:t>
                  </w:r>
                </w:p>
              </w:tc>
              <w:tc>
                <w:tcPr>
                  <w:tcW w:w="2298" w:type="pct"/>
                  <w:gridSpan w:val="2"/>
                  <w:vAlign w:val="center"/>
                </w:tcPr>
                <w:p w14:paraId="630DC439">
                  <w:pPr>
                    <w:jc w:val="center"/>
                    <w:rPr>
                      <w:bCs/>
                      <w:szCs w:val="21"/>
                    </w:rPr>
                  </w:pPr>
                  <w:r>
                    <w:rPr>
                      <w:bCs/>
                      <w:szCs w:val="21"/>
                    </w:rPr>
                    <w:t>成子河西侧地块依托芮邦科技厂区污水站配套的事故池（2250 m</w:t>
                  </w:r>
                  <w:r>
                    <w:rPr>
                      <w:bCs/>
                      <w:szCs w:val="21"/>
                      <w:vertAlign w:val="superscript"/>
                    </w:rPr>
                    <w:t>3</w:t>
                  </w:r>
                  <w:r>
                    <w:rPr>
                      <w:bCs/>
                      <w:szCs w:val="21"/>
                    </w:rPr>
                    <w:t>），成子河东侧地块厂区污水站配套新建2000m</w:t>
                  </w:r>
                  <w:r>
                    <w:rPr>
                      <w:bCs/>
                      <w:szCs w:val="21"/>
                      <w:vertAlign w:val="superscript"/>
                    </w:rPr>
                    <w:t>3</w:t>
                  </w:r>
                  <w:r>
                    <w:rPr>
                      <w:bCs/>
                      <w:szCs w:val="21"/>
                    </w:rPr>
                    <w:t>事故池</w:t>
                  </w:r>
                </w:p>
              </w:tc>
              <w:tc>
                <w:tcPr>
                  <w:tcW w:w="871" w:type="pct"/>
                  <w:vAlign w:val="center"/>
                </w:tcPr>
                <w:p w14:paraId="4D4461DF">
                  <w:pPr>
                    <w:jc w:val="center"/>
                    <w:rPr>
                      <w:szCs w:val="21"/>
                    </w:rPr>
                  </w:pPr>
                  <w:r>
                    <w:rPr>
                      <w:bCs/>
                      <w:szCs w:val="21"/>
                    </w:rPr>
                    <w:t>成子河西侧地块依托芮邦</w:t>
                  </w:r>
                  <w:r>
                    <w:rPr>
                      <w:rFonts w:hint="eastAsia"/>
                      <w:bCs/>
                      <w:szCs w:val="21"/>
                    </w:rPr>
                    <w:t>科技</w:t>
                  </w:r>
                </w:p>
              </w:tc>
              <w:tc>
                <w:tcPr>
                  <w:tcW w:w="1167" w:type="pct"/>
                  <w:vAlign w:val="center"/>
                </w:tcPr>
                <w:p w14:paraId="536B897E">
                  <w:pPr>
                    <w:jc w:val="center"/>
                    <w:rPr>
                      <w:bCs/>
                      <w:szCs w:val="21"/>
                    </w:rPr>
                  </w:pPr>
                  <w:r>
                    <w:rPr>
                      <w:rFonts w:hint="eastAsia"/>
                      <w:bCs/>
                      <w:szCs w:val="21"/>
                    </w:rPr>
                    <w:t>已于</w:t>
                  </w:r>
                  <w:r>
                    <w:rPr>
                      <w:bCs/>
                      <w:szCs w:val="21"/>
                    </w:rPr>
                    <w:t>芮邦科技一期项目完成验收</w:t>
                  </w:r>
                </w:p>
              </w:tc>
            </w:tr>
          </w:tbl>
          <w:p w14:paraId="7DE7549D">
            <w:pPr>
              <w:pStyle w:val="22"/>
              <w:spacing w:line="360" w:lineRule="auto"/>
              <w:rPr>
                <w:bCs/>
              </w:rPr>
            </w:pPr>
          </w:p>
          <w:p w14:paraId="46E3D1A8">
            <w:pPr>
              <w:pStyle w:val="22"/>
              <w:spacing w:line="360" w:lineRule="auto"/>
              <w:rPr>
                <w:bCs/>
              </w:rPr>
            </w:pPr>
          </w:p>
        </w:tc>
      </w:tr>
    </w:tbl>
    <w:p w14:paraId="651EB8EB">
      <w:pPr>
        <w:sectPr>
          <w:pgSz w:w="16838" w:h="11906" w:orient="landscape"/>
          <w:pgMar w:top="1797" w:right="1440" w:bottom="1797" w:left="1440" w:header="851" w:footer="851" w:gutter="0"/>
          <w:cols w:space="720" w:num="1"/>
          <w:docGrid w:linePitch="312" w:charSpace="0"/>
        </w:sectPr>
      </w:pPr>
    </w:p>
    <w:p w14:paraId="12646CA7"/>
    <w:tbl>
      <w:tblPr>
        <w:tblStyle w:val="4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66"/>
        <w:gridCol w:w="8156"/>
      </w:tblGrid>
      <w:tr w14:paraId="6FDD60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5" w:type="pct"/>
            <w:tcBorders>
              <w:top w:val="single" w:color="auto" w:sz="4" w:space="0"/>
            </w:tcBorders>
            <w:vAlign w:val="center"/>
          </w:tcPr>
          <w:p w14:paraId="32D54509">
            <w:pPr>
              <w:pStyle w:val="42"/>
              <w:adjustRightInd w:val="0"/>
              <w:snapToGrid w:val="0"/>
              <w:spacing w:before="0" w:beforeAutospacing="0" w:after="0" w:afterAutospacing="0"/>
              <w:jc w:val="center"/>
              <w:rPr>
                <w:rFonts w:ascii="Times New Roman" w:hAnsi="Times New Roman"/>
                <w:sz w:val="21"/>
                <w:szCs w:val="21"/>
              </w:rPr>
            </w:pPr>
          </w:p>
        </w:tc>
        <w:tc>
          <w:tcPr>
            <w:tcW w:w="4785" w:type="pct"/>
            <w:tcBorders>
              <w:top w:val="single" w:color="auto" w:sz="4" w:space="0"/>
            </w:tcBorders>
          </w:tcPr>
          <w:p w14:paraId="61659426">
            <w:pPr>
              <w:pStyle w:val="22"/>
              <w:spacing w:line="500" w:lineRule="exact"/>
              <w:ind w:firstLine="440"/>
              <w:jc w:val="both"/>
              <w:rPr>
                <w:b/>
                <w:szCs w:val="24"/>
              </w:rPr>
            </w:pPr>
            <w:r>
              <w:rPr>
                <w:b/>
                <w:szCs w:val="24"/>
              </w:rPr>
              <w:t>2、排污许可执行情况</w:t>
            </w:r>
          </w:p>
          <w:p w14:paraId="10F1514C">
            <w:pPr>
              <w:pStyle w:val="22"/>
              <w:spacing w:line="500" w:lineRule="exact"/>
              <w:ind w:firstLine="480" w:firstLineChars="200"/>
              <w:jc w:val="both"/>
              <w:rPr>
                <w:bCs/>
                <w:szCs w:val="24"/>
              </w:rPr>
            </w:pPr>
            <w:r>
              <w:rPr>
                <w:bCs/>
                <w:szCs w:val="24"/>
              </w:rPr>
              <w:t>国望高科于2024年12月13日取得最新排污许可证，其编号为91321323MA20EA2749001V，有效期至2029年12月12日。</w:t>
            </w:r>
          </w:p>
          <w:p w14:paraId="14C87BC5">
            <w:pPr>
              <w:pStyle w:val="22"/>
              <w:spacing w:line="500" w:lineRule="exact"/>
              <w:ind w:firstLine="480" w:firstLineChars="200"/>
              <w:jc w:val="both"/>
              <w:rPr>
                <w:bCs/>
                <w:szCs w:val="24"/>
              </w:rPr>
            </w:pPr>
            <w:r>
              <w:rPr>
                <w:bCs/>
                <w:szCs w:val="24"/>
              </w:rPr>
              <w:t>国望高科按照《排污单位自行监测技术指南 总则》（HJ819-2017）、《排污单位自行监测技术指南 化学纤维制造业》（HJ1139-2020）、《排污许可证申请与核发技术规范 化学纤维制造业》（HJ 1102-2020）进行自行监测。企业按照《环境管理台账及排污许可证执行报告技术规范》编制了2024年</w:t>
            </w:r>
            <w:r>
              <w:rPr>
                <w:rFonts w:hint="eastAsia"/>
                <w:bCs/>
                <w:szCs w:val="24"/>
              </w:rPr>
              <w:t>度</w:t>
            </w:r>
            <w:r>
              <w:rPr>
                <w:bCs/>
                <w:szCs w:val="24"/>
              </w:rPr>
              <w:t>排污许可证执行报告。引用排污许可证执行报告数据</w:t>
            </w:r>
            <w:r>
              <w:rPr>
                <w:bCs/>
              </w:rPr>
              <w:t>，企业2024年废气污染物达标排放；现有项目废水通过芮邦科技厂内污水站预处理后排入园区污水厂处理</w:t>
            </w:r>
            <w:r>
              <w:rPr>
                <w:bCs/>
                <w:szCs w:val="24"/>
              </w:rPr>
              <w:t>。</w:t>
            </w:r>
          </w:p>
          <w:p w14:paraId="59E4F34C">
            <w:pPr>
              <w:pStyle w:val="22"/>
              <w:spacing w:line="500" w:lineRule="exact"/>
              <w:ind w:firstLine="440"/>
              <w:jc w:val="both"/>
              <w:rPr>
                <w:b/>
                <w:szCs w:val="24"/>
              </w:rPr>
            </w:pPr>
            <w:r>
              <w:rPr>
                <w:b/>
                <w:szCs w:val="24"/>
              </w:rPr>
              <w:t>3、环境风险应急体系建设现状</w:t>
            </w:r>
          </w:p>
          <w:p w14:paraId="4E6B7757">
            <w:pPr>
              <w:pStyle w:val="22"/>
              <w:spacing w:line="500" w:lineRule="exact"/>
              <w:ind w:firstLine="440"/>
              <w:jc w:val="both"/>
              <w:rPr>
                <w:bCs/>
                <w:szCs w:val="24"/>
              </w:rPr>
            </w:pPr>
            <w:r>
              <w:rPr>
                <w:bCs/>
                <w:szCs w:val="24"/>
              </w:rPr>
              <w:t>国望高科于2024年9月更新了突发环境事件应急预案，根据最新突发环境事件风险评估报告，企业风险等级为重大〔重大-大气（Q2-M3-E1）+较大-水（Q2-M2-E2）〕，于2024年9月9日在宿迁市泗阳生态环境局备案，备案编号：321323-2024-061-H。</w:t>
            </w:r>
          </w:p>
          <w:p w14:paraId="0BCE2245">
            <w:pPr>
              <w:pStyle w:val="22"/>
              <w:spacing w:line="500" w:lineRule="exact"/>
              <w:ind w:firstLine="440"/>
              <w:rPr>
                <w:bCs/>
                <w:szCs w:val="24"/>
              </w:rPr>
            </w:pPr>
            <w:r>
              <w:rPr>
                <w:bCs/>
                <w:szCs w:val="24"/>
              </w:rPr>
              <w:t>国望高科对</w:t>
            </w:r>
            <w:r>
              <w:rPr>
                <w:szCs w:val="21"/>
              </w:rPr>
              <w:t>纺丝车间、乙二醇储罐、危化库、化验中心、危废暂存库等建筑底棉</w:t>
            </w:r>
            <w:r>
              <w:rPr>
                <w:bCs/>
                <w:szCs w:val="24"/>
              </w:rPr>
              <w:t>已做防腐防渗处理，乙二醇储罐区已设置围堰，发生火灾或泄露事故时可开展堵漏等应急处置工作，避免泄露物质及消防废水进入水环境。依托芮邦科技污水站2250 m</w:t>
            </w:r>
            <w:r>
              <w:rPr>
                <w:bCs/>
                <w:szCs w:val="24"/>
                <w:vertAlign w:val="superscript"/>
              </w:rPr>
              <w:t>3</w:t>
            </w:r>
            <w:r>
              <w:rPr>
                <w:bCs/>
                <w:szCs w:val="24"/>
              </w:rPr>
              <w:t>事故池，目前有足够的事故排水缓冲容量，且厂区地面均设有收集导流沟，地面废水可通过导流沟进入厂区污水处理站。厂区地面雨水均进入厂区污水处理系统</w:t>
            </w:r>
            <w:r>
              <w:rPr>
                <w:rFonts w:hint="eastAsia"/>
                <w:bCs/>
                <w:szCs w:val="24"/>
              </w:rPr>
              <w:t>，</w:t>
            </w:r>
            <w:r>
              <w:rPr>
                <w:bCs/>
                <w:szCs w:val="24"/>
              </w:rPr>
              <w:t>屋顶雨水通过架空管线导流至市政雨水管网，不会对周边水体环境造成影响。</w:t>
            </w:r>
            <w:r>
              <w:rPr>
                <w:rFonts w:hint="eastAsia"/>
                <w:bCs/>
                <w:szCs w:val="24"/>
              </w:rPr>
              <w:t>厂区废水依托芮邦科技</w:t>
            </w:r>
            <w:r>
              <w:rPr>
                <w:bCs/>
                <w:szCs w:val="24"/>
              </w:rPr>
              <w:t>生产废水总排口</w:t>
            </w:r>
            <w:r>
              <w:rPr>
                <w:rFonts w:hint="eastAsia"/>
                <w:bCs/>
                <w:szCs w:val="24"/>
              </w:rPr>
              <w:t>监控</w:t>
            </w:r>
            <w:r>
              <w:rPr>
                <w:bCs/>
                <w:szCs w:val="24"/>
              </w:rPr>
              <w:t>及关闭设施，</w:t>
            </w:r>
            <w:r>
              <w:rPr>
                <w:rFonts w:hint="eastAsia"/>
                <w:bCs/>
                <w:szCs w:val="24"/>
              </w:rPr>
              <w:t>由</w:t>
            </w:r>
            <w:r>
              <w:rPr>
                <w:bCs/>
                <w:szCs w:val="24"/>
              </w:rPr>
              <w:t>专人负责启闭，可确保泄漏物、受污染的消防水、不合格废水不排出厂外。</w:t>
            </w:r>
          </w:p>
          <w:p w14:paraId="39998B9D">
            <w:pPr>
              <w:pStyle w:val="22"/>
              <w:spacing w:line="500" w:lineRule="exact"/>
              <w:ind w:firstLine="440"/>
              <w:rPr>
                <w:bCs/>
                <w:szCs w:val="24"/>
              </w:rPr>
            </w:pPr>
            <w:r>
              <w:rPr>
                <w:bCs/>
                <w:szCs w:val="24"/>
              </w:rPr>
              <w:t>公司设立公司级和车间两级突发环境事件应急指挥机构，重视环境应急队伍的建设，熟悉环境应急知识，充分掌握公司突发环境事件处置措施的预备应急力量，基本能够保证在处置突发环境事件中能迅速参与并完成抢救、排险、消毒、监测等现场处置工作，并形成应急网络，确保在事件发生时，能迅速控制污染、减少危害，确保环境和公众安全。公司设有突发环境事件应急组织机构，设急指挥中心、应急救援组、应急监测组、通讯联络组、后勤保障组、善后处理组6个小组并配备了相应的应急物资。公司每年组织一次突发环境事件应急演练，每年年底根据实际情况编制下年的演练计划。</w:t>
            </w:r>
          </w:p>
          <w:p w14:paraId="6A410004">
            <w:pPr>
              <w:pStyle w:val="22"/>
              <w:spacing w:line="500" w:lineRule="exact"/>
              <w:ind w:firstLine="440"/>
              <w:jc w:val="both"/>
              <w:rPr>
                <w:b/>
                <w:szCs w:val="24"/>
              </w:rPr>
            </w:pPr>
            <w:r>
              <w:rPr>
                <w:b/>
                <w:szCs w:val="24"/>
              </w:rPr>
              <w:t>4、现有项目污染物排放及达标情况</w:t>
            </w:r>
          </w:p>
          <w:p w14:paraId="5AAA9648">
            <w:pPr>
              <w:pStyle w:val="22"/>
              <w:spacing w:line="500" w:lineRule="exact"/>
              <w:ind w:firstLine="482" w:firstLineChars="200"/>
              <w:jc w:val="both"/>
              <w:rPr>
                <w:b/>
                <w:szCs w:val="24"/>
              </w:rPr>
            </w:pPr>
            <w:r>
              <w:rPr>
                <w:b/>
                <w:szCs w:val="24"/>
              </w:rPr>
              <w:t>（1）废水排放及达标情况</w:t>
            </w:r>
          </w:p>
          <w:p w14:paraId="5D543985">
            <w:pPr>
              <w:spacing w:line="500" w:lineRule="exact"/>
              <w:ind w:firstLine="480" w:firstLineChars="200"/>
              <w:rPr>
                <w:sz w:val="24"/>
                <w:szCs w:val="28"/>
              </w:rPr>
            </w:pPr>
            <w:r>
              <w:rPr>
                <w:sz w:val="24"/>
              </w:rPr>
              <w:t>现有项目</w:t>
            </w:r>
            <w:r>
              <w:rPr>
                <w:sz w:val="24"/>
                <w:szCs w:val="28"/>
              </w:rPr>
              <w:t>位于成子河西侧地块。PET酯化废水预处理后产生废水全部接入芮邦科技有限公司，成子河西侧地块内生产及生活废水经分类收集后</w:t>
            </w:r>
            <w:r>
              <w:rPr>
                <w:rFonts w:hint="eastAsia"/>
                <w:sz w:val="24"/>
                <w:szCs w:val="28"/>
              </w:rPr>
              <w:t>管道输</w:t>
            </w:r>
            <w:r>
              <w:rPr>
                <w:sz w:val="24"/>
                <w:szCs w:val="28"/>
              </w:rPr>
              <w:t>送至芮邦科技厂区污水站分质预处理，各股废水分质</w:t>
            </w:r>
            <w:r>
              <w:rPr>
                <w:rFonts w:hint="eastAsia"/>
                <w:sz w:val="24"/>
                <w:szCs w:val="28"/>
              </w:rPr>
              <w:t>管道输</w:t>
            </w:r>
            <w:r>
              <w:rPr>
                <w:sz w:val="24"/>
                <w:szCs w:val="28"/>
              </w:rPr>
              <w:t>送至污水站混合调节池混合后，采用“活性污泥+兼氧好氧”的好氧生化处理工艺和“陶粒过滤+活性炭过滤+精密过滤+反渗透”中水回用深度处理工艺，活性炭过滤器出水中的40%和反渗透淡水在清水池内混合后作为中水回用，中水回用率为80%，反渗透浓水（占比20%）进入除锑系统处理达标后排入市政管网由园区污水处理厂（泗阳泗清水务有限公司）集中处理，尾水执行《城镇污水处理厂污染物排放标准》（GB18918-2002）中一级A标准，排入小长河，最终进入</w:t>
            </w:r>
            <w:r>
              <w:rPr>
                <w:rFonts w:hint="eastAsia"/>
                <w:sz w:val="24"/>
                <w:szCs w:val="28"/>
              </w:rPr>
              <w:t>黄河故道（原废黄河）</w:t>
            </w:r>
            <w:r>
              <w:rPr>
                <w:sz w:val="24"/>
                <w:szCs w:val="28"/>
              </w:rPr>
              <w:t>。</w:t>
            </w:r>
          </w:p>
          <w:p w14:paraId="032F9CB4">
            <w:pPr>
              <w:widowControl/>
              <w:spacing w:line="500" w:lineRule="exact"/>
              <w:ind w:firstLine="480" w:firstLineChars="200"/>
              <w:rPr>
                <w:sz w:val="24"/>
                <w:szCs w:val="28"/>
              </w:rPr>
            </w:pPr>
            <w:bookmarkStart w:id="34" w:name="_Hlk160338783"/>
            <w:r>
              <w:rPr>
                <w:sz w:val="24"/>
              </w:rPr>
              <w:t>芮邦科技污水站各处理单元对COD、石油类等指标均有良好的处理效果</w:t>
            </w:r>
            <w:r>
              <w:rPr>
                <w:bCs/>
                <w:sz w:val="24"/>
              </w:rPr>
              <w:t>。</w:t>
            </w:r>
            <w:r>
              <w:rPr>
                <w:sz w:val="24"/>
                <w:szCs w:val="28"/>
              </w:rPr>
              <w:t>反渗透淡水满足《城市污水再生利用 工业用水水质》（GB/T 19923-2005）表1标准中冷却用水（敞开式循环冷却水系统补充水）和洗涤用水标准，除锑装置出水满足泗阳高新区污水处理厂（一期）接管标准。</w:t>
            </w:r>
            <w:bookmarkEnd w:id="34"/>
            <w:r>
              <w:rPr>
                <w:sz w:val="24"/>
                <w:szCs w:val="28"/>
              </w:rPr>
              <w:t>2024年芮邦科技污水站纳管委托监测结果见表2-1</w:t>
            </w:r>
            <w:r>
              <w:rPr>
                <w:rFonts w:hint="eastAsia"/>
                <w:sz w:val="24"/>
                <w:szCs w:val="28"/>
              </w:rPr>
              <w:t>7</w:t>
            </w:r>
            <w:r>
              <w:rPr>
                <w:sz w:val="24"/>
                <w:szCs w:val="28"/>
              </w:rPr>
              <w:t>。</w:t>
            </w:r>
          </w:p>
          <w:p w14:paraId="549B62C2">
            <w:pPr>
              <w:autoSpaceDE w:val="0"/>
              <w:autoSpaceDN w:val="0"/>
              <w:adjustRightInd w:val="0"/>
              <w:spacing w:line="500" w:lineRule="exact"/>
              <w:jc w:val="center"/>
              <w:rPr>
                <w:b/>
                <w:kern w:val="0"/>
                <w:sz w:val="24"/>
              </w:rPr>
            </w:pPr>
            <w:r>
              <w:rPr>
                <w:b/>
                <w:kern w:val="0"/>
                <w:sz w:val="24"/>
              </w:rPr>
              <w:t>表2-1</w:t>
            </w:r>
            <w:r>
              <w:rPr>
                <w:rFonts w:hint="eastAsia"/>
                <w:b/>
                <w:kern w:val="0"/>
                <w:sz w:val="24"/>
              </w:rPr>
              <w:t>7</w:t>
            </w:r>
            <w:r>
              <w:rPr>
                <w:b/>
                <w:kern w:val="0"/>
                <w:sz w:val="24"/>
              </w:rPr>
              <w:t xml:space="preserve"> 芮邦科技废水监测结果</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637"/>
              <w:gridCol w:w="683"/>
              <w:gridCol w:w="505"/>
              <w:gridCol w:w="670"/>
              <w:gridCol w:w="678"/>
              <w:gridCol w:w="581"/>
              <w:gridCol w:w="546"/>
              <w:gridCol w:w="561"/>
              <w:gridCol w:w="684"/>
              <w:gridCol w:w="590"/>
              <w:gridCol w:w="623"/>
              <w:gridCol w:w="622"/>
            </w:tblGrid>
            <w:tr w14:paraId="5495D0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356" w:type="pct"/>
                  <w:vMerge w:val="restart"/>
                  <w:vAlign w:val="center"/>
                </w:tcPr>
                <w:p w14:paraId="68287D40">
                  <w:pPr>
                    <w:widowControl/>
                    <w:jc w:val="center"/>
                    <w:rPr>
                      <w:rFonts w:eastAsiaTheme="minorEastAsia"/>
                      <w:b/>
                      <w:bCs/>
                      <w:kern w:val="0"/>
                      <w:sz w:val="18"/>
                      <w:szCs w:val="18"/>
                    </w:rPr>
                  </w:pPr>
                  <w:r>
                    <w:rPr>
                      <w:rFonts w:eastAsiaTheme="minorEastAsia"/>
                      <w:b/>
                      <w:bCs/>
                      <w:kern w:val="0"/>
                      <w:sz w:val="18"/>
                      <w:szCs w:val="18"/>
                    </w:rPr>
                    <w:t>监测点位</w:t>
                  </w:r>
                </w:p>
              </w:tc>
              <w:tc>
                <w:tcPr>
                  <w:tcW w:w="404" w:type="pct"/>
                  <w:vMerge w:val="restart"/>
                  <w:vAlign w:val="center"/>
                </w:tcPr>
                <w:p w14:paraId="7459E9BF">
                  <w:pPr>
                    <w:widowControl/>
                    <w:jc w:val="center"/>
                    <w:rPr>
                      <w:rFonts w:eastAsiaTheme="minorEastAsia"/>
                      <w:b/>
                      <w:bCs/>
                      <w:kern w:val="0"/>
                      <w:sz w:val="18"/>
                      <w:szCs w:val="18"/>
                    </w:rPr>
                  </w:pPr>
                  <w:r>
                    <w:rPr>
                      <w:rFonts w:eastAsiaTheme="minorEastAsia"/>
                      <w:b/>
                      <w:bCs/>
                      <w:kern w:val="0"/>
                      <w:sz w:val="18"/>
                      <w:szCs w:val="18"/>
                    </w:rPr>
                    <w:t>监测时间</w:t>
                  </w:r>
                </w:p>
              </w:tc>
              <w:tc>
                <w:tcPr>
                  <w:tcW w:w="433" w:type="pct"/>
                  <w:vMerge w:val="restart"/>
                  <w:vAlign w:val="center"/>
                </w:tcPr>
                <w:p w14:paraId="38693B00">
                  <w:pPr>
                    <w:widowControl/>
                    <w:jc w:val="center"/>
                    <w:rPr>
                      <w:rFonts w:eastAsiaTheme="minorEastAsia"/>
                      <w:b/>
                      <w:bCs/>
                      <w:kern w:val="0"/>
                      <w:sz w:val="18"/>
                      <w:szCs w:val="18"/>
                    </w:rPr>
                  </w:pPr>
                  <w:r>
                    <w:rPr>
                      <w:rFonts w:eastAsiaTheme="minorEastAsia"/>
                      <w:b/>
                      <w:bCs/>
                      <w:kern w:val="0"/>
                      <w:sz w:val="18"/>
                      <w:szCs w:val="18"/>
                    </w:rPr>
                    <w:t>样品</w:t>
                  </w:r>
                </w:p>
              </w:tc>
              <w:tc>
                <w:tcPr>
                  <w:tcW w:w="3806" w:type="pct"/>
                  <w:gridSpan w:val="10"/>
                  <w:vAlign w:val="center"/>
                </w:tcPr>
                <w:p w14:paraId="38093728">
                  <w:pPr>
                    <w:widowControl/>
                    <w:jc w:val="center"/>
                    <w:rPr>
                      <w:rFonts w:eastAsiaTheme="minorEastAsia"/>
                      <w:b/>
                      <w:bCs/>
                      <w:kern w:val="0"/>
                      <w:sz w:val="18"/>
                      <w:szCs w:val="18"/>
                    </w:rPr>
                  </w:pPr>
                  <w:r>
                    <w:rPr>
                      <w:rFonts w:eastAsiaTheme="minorEastAsia"/>
                      <w:b/>
                      <w:bCs/>
                      <w:kern w:val="0"/>
                      <w:sz w:val="18"/>
                      <w:szCs w:val="18"/>
                    </w:rPr>
                    <w:t>检测结果（mg/L，pH无量纲）</w:t>
                  </w:r>
                </w:p>
              </w:tc>
            </w:tr>
            <w:tr w14:paraId="1157FA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4" w:hRule="atLeast"/>
                <w:tblHeader/>
              </w:trPr>
              <w:tc>
                <w:tcPr>
                  <w:tcW w:w="356" w:type="pct"/>
                  <w:vMerge w:val="continue"/>
                  <w:vAlign w:val="center"/>
                </w:tcPr>
                <w:p w14:paraId="1264DA7D">
                  <w:pPr>
                    <w:widowControl/>
                    <w:jc w:val="center"/>
                    <w:rPr>
                      <w:rFonts w:eastAsiaTheme="minorEastAsia"/>
                      <w:b/>
                      <w:bCs/>
                      <w:kern w:val="0"/>
                      <w:sz w:val="18"/>
                      <w:szCs w:val="18"/>
                    </w:rPr>
                  </w:pPr>
                </w:p>
              </w:tc>
              <w:tc>
                <w:tcPr>
                  <w:tcW w:w="404" w:type="pct"/>
                  <w:vMerge w:val="continue"/>
                  <w:vAlign w:val="center"/>
                </w:tcPr>
                <w:p w14:paraId="421EAFF2">
                  <w:pPr>
                    <w:widowControl/>
                    <w:jc w:val="center"/>
                    <w:rPr>
                      <w:rFonts w:eastAsiaTheme="minorEastAsia"/>
                      <w:b/>
                      <w:bCs/>
                      <w:kern w:val="0"/>
                      <w:sz w:val="18"/>
                      <w:szCs w:val="18"/>
                    </w:rPr>
                  </w:pPr>
                </w:p>
              </w:tc>
              <w:tc>
                <w:tcPr>
                  <w:tcW w:w="433" w:type="pct"/>
                  <w:vMerge w:val="continue"/>
                  <w:vAlign w:val="center"/>
                </w:tcPr>
                <w:p w14:paraId="2E50BC25">
                  <w:pPr>
                    <w:widowControl/>
                    <w:jc w:val="center"/>
                    <w:rPr>
                      <w:rFonts w:eastAsiaTheme="minorEastAsia"/>
                      <w:b/>
                      <w:bCs/>
                      <w:kern w:val="0"/>
                      <w:sz w:val="18"/>
                      <w:szCs w:val="18"/>
                    </w:rPr>
                  </w:pPr>
                </w:p>
              </w:tc>
              <w:tc>
                <w:tcPr>
                  <w:tcW w:w="321" w:type="pct"/>
                  <w:vAlign w:val="center"/>
                </w:tcPr>
                <w:p w14:paraId="6A4E9A20">
                  <w:pPr>
                    <w:widowControl/>
                    <w:jc w:val="center"/>
                    <w:rPr>
                      <w:rFonts w:eastAsiaTheme="minorEastAsia"/>
                      <w:b/>
                      <w:bCs/>
                      <w:kern w:val="0"/>
                      <w:sz w:val="18"/>
                      <w:szCs w:val="18"/>
                    </w:rPr>
                  </w:pPr>
                  <w:r>
                    <w:rPr>
                      <w:rFonts w:eastAsiaTheme="minorEastAsia"/>
                      <w:b/>
                      <w:bCs/>
                      <w:kern w:val="0"/>
                      <w:sz w:val="18"/>
                      <w:szCs w:val="18"/>
                    </w:rPr>
                    <w:t>pH</w:t>
                  </w:r>
                </w:p>
              </w:tc>
              <w:tc>
                <w:tcPr>
                  <w:tcW w:w="425" w:type="pct"/>
                  <w:vAlign w:val="center"/>
                </w:tcPr>
                <w:p w14:paraId="647BB0CA">
                  <w:pPr>
                    <w:widowControl/>
                    <w:jc w:val="center"/>
                    <w:rPr>
                      <w:rFonts w:eastAsiaTheme="minorEastAsia"/>
                      <w:b/>
                      <w:bCs/>
                      <w:kern w:val="0"/>
                      <w:sz w:val="18"/>
                      <w:szCs w:val="18"/>
                    </w:rPr>
                  </w:pPr>
                  <w:r>
                    <w:rPr>
                      <w:rFonts w:eastAsiaTheme="minorEastAsia"/>
                      <w:b/>
                      <w:bCs/>
                      <w:kern w:val="0"/>
                      <w:sz w:val="18"/>
                      <w:szCs w:val="18"/>
                    </w:rPr>
                    <w:t>化学需氧量</w:t>
                  </w:r>
                </w:p>
              </w:tc>
              <w:tc>
                <w:tcPr>
                  <w:tcW w:w="430" w:type="pct"/>
                  <w:vAlign w:val="center"/>
                </w:tcPr>
                <w:p w14:paraId="783A1630">
                  <w:pPr>
                    <w:widowControl/>
                    <w:jc w:val="center"/>
                    <w:rPr>
                      <w:rFonts w:eastAsiaTheme="minorEastAsia"/>
                      <w:b/>
                      <w:bCs/>
                      <w:kern w:val="0"/>
                      <w:sz w:val="18"/>
                      <w:szCs w:val="18"/>
                    </w:rPr>
                  </w:pPr>
                  <w:r>
                    <w:rPr>
                      <w:rFonts w:eastAsiaTheme="minorEastAsia"/>
                      <w:b/>
                      <w:bCs/>
                      <w:kern w:val="0"/>
                      <w:sz w:val="18"/>
                      <w:szCs w:val="18"/>
                    </w:rPr>
                    <w:t>悬浮物</w:t>
                  </w:r>
                </w:p>
              </w:tc>
              <w:tc>
                <w:tcPr>
                  <w:tcW w:w="369" w:type="pct"/>
                  <w:vAlign w:val="center"/>
                </w:tcPr>
                <w:p w14:paraId="67722359">
                  <w:pPr>
                    <w:widowControl/>
                    <w:jc w:val="center"/>
                    <w:rPr>
                      <w:rFonts w:eastAsiaTheme="minorEastAsia"/>
                      <w:b/>
                      <w:bCs/>
                      <w:kern w:val="0"/>
                      <w:sz w:val="18"/>
                      <w:szCs w:val="18"/>
                    </w:rPr>
                  </w:pPr>
                  <w:r>
                    <w:rPr>
                      <w:rFonts w:eastAsiaTheme="minorEastAsia"/>
                      <w:b/>
                      <w:bCs/>
                      <w:kern w:val="0"/>
                      <w:sz w:val="18"/>
                      <w:szCs w:val="18"/>
                    </w:rPr>
                    <w:t>氨氮</w:t>
                  </w:r>
                </w:p>
              </w:tc>
              <w:tc>
                <w:tcPr>
                  <w:tcW w:w="347" w:type="pct"/>
                  <w:vAlign w:val="center"/>
                </w:tcPr>
                <w:p w14:paraId="20C30D89">
                  <w:pPr>
                    <w:widowControl/>
                    <w:jc w:val="center"/>
                    <w:rPr>
                      <w:rFonts w:eastAsiaTheme="minorEastAsia"/>
                      <w:b/>
                      <w:bCs/>
                      <w:kern w:val="0"/>
                      <w:sz w:val="18"/>
                      <w:szCs w:val="18"/>
                    </w:rPr>
                  </w:pPr>
                  <w:r>
                    <w:rPr>
                      <w:rFonts w:eastAsiaTheme="minorEastAsia"/>
                      <w:b/>
                      <w:bCs/>
                      <w:kern w:val="0"/>
                      <w:sz w:val="18"/>
                      <w:szCs w:val="18"/>
                    </w:rPr>
                    <w:t>总磷</w:t>
                  </w:r>
                </w:p>
              </w:tc>
              <w:tc>
                <w:tcPr>
                  <w:tcW w:w="356" w:type="pct"/>
                  <w:vAlign w:val="center"/>
                </w:tcPr>
                <w:p w14:paraId="75EB1270">
                  <w:pPr>
                    <w:widowControl/>
                    <w:jc w:val="center"/>
                    <w:rPr>
                      <w:rFonts w:eastAsiaTheme="minorEastAsia"/>
                      <w:b/>
                      <w:bCs/>
                      <w:kern w:val="0"/>
                      <w:sz w:val="18"/>
                      <w:szCs w:val="18"/>
                    </w:rPr>
                  </w:pPr>
                  <w:r>
                    <w:rPr>
                      <w:rFonts w:eastAsiaTheme="minorEastAsia"/>
                      <w:b/>
                      <w:bCs/>
                      <w:kern w:val="0"/>
                      <w:sz w:val="18"/>
                      <w:szCs w:val="18"/>
                    </w:rPr>
                    <w:t>总氮</w:t>
                  </w:r>
                </w:p>
              </w:tc>
              <w:tc>
                <w:tcPr>
                  <w:tcW w:w="433" w:type="pct"/>
                  <w:vAlign w:val="center"/>
                </w:tcPr>
                <w:p w14:paraId="562F5270">
                  <w:pPr>
                    <w:widowControl/>
                    <w:jc w:val="center"/>
                    <w:rPr>
                      <w:rFonts w:eastAsiaTheme="minorEastAsia"/>
                      <w:b/>
                      <w:bCs/>
                      <w:kern w:val="0"/>
                      <w:sz w:val="18"/>
                      <w:szCs w:val="18"/>
                    </w:rPr>
                  </w:pPr>
                  <w:r>
                    <w:rPr>
                      <w:b/>
                      <w:bCs/>
                      <w:sz w:val="18"/>
                      <w:szCs w:val="18"/>
                    </w:rPr>
                    <w:t>石油类</w:t>
                  </w:r>
                </w:p>
              </w:tc>
              <w:tc>
                <w:tcPr>
                  <w:tcW w:w="374" w:type="pct"/>
                  <w:vAlign w:val="center"/>
                </w:tcPr>
                <w:p w14:paraId="707A8759">
                  <w:pPr>
                    <w:widowControl/>
                    <w:jc w:val="center"/>
                    <w:rPr>
                      <w:b/>
                      <w:bCs/>
                      <w:sz w:val="18"/>
                      <w:szCs w:val="18"/>
                    </w:rPr>
                  </w:pPr>
                  <w:r>
                    <w:rPr>
                      <w:b/>
                      <w:bCs/>
                      <w:sz w:val="18"/>
                      <w:szCs w:val="18"/>
                    </w:rPr>
                    <w:t>溶解性固体</w:t>
                  </w:r>
                </w:p>
              </w:tc>
              <w:tc>
                <w:tcPr>
                  <w:tcW w:w="395" w:type="pct"/>
                  <w:vAlign w:val="center"/>
                </w:tcPr>
                <w:p w14:paraId="27A75A6B">
                  <w:pPr>
                    <w:widowControl/>
                    <w:jc w:val="center"/>
                    <w:rPr>
                      <w:rFonts w:eastAsiaTheme="minorEastAsia"/>
                      <w:b/>
                      <w:bCs/>
                      <w:kern w:val="0"/>
                      <w:sz w:val="18"/>
                      <w:szCs w:val="18"/>
                    </w:rPr>
                  </w:pPr>
                  <w:r>
                    <w:rPr>
                      <w:b/>
                      <w:bCs/>
                      <w:sz w:val="18"/>
                      <w:szCs w:val="18"/>
                    </w:rPr>
                    <w:t>BOD</w:t>
                  </w:r>
                </w:p>
              </w:tc>
              <w:tc>
                <w:tcPr>
                  <w:tcW w:w="357" w:type="pct"/>
                  <w:vAlign w:val="center"/>
                </w:tcPr>
                <w:p w14:paraId="5A4482BA">
                  <w:pPr>
                    <w:widowControl/>
                    <w:jc w:val="center"/>
                    <w:rPr>
                      <w:b/>
                      <w:bCs/>
                      <w:sz w:val="18"/>
                      <w:szCs w:val="18"/>
                    </w:rPr>
                  </w:pPr>
                  <w:r>
                    <w:rPr>
                      <w:b/>
                      <w:bCs/>
                      <w:sz w:val="18"/>
                      <w:szCs w:val="18"/>
                    </w:rPr>
                    <w:t>锑</w:t>
                  </w:r>
                </w:p>
              </w:tc>
            </w:tr>
            <w:tr w14:paraId="78EC9F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6" w:type="pct"/>
                  <w:vMerge w:val="restart"/>
                  <w:tcBorders>
                    <w:right w:val="single" w:color="auto" w:sz="4" w:space="0"/>
                  </w:tcBorders>
                  <w:vAlign w:val="center"/>
                </w:tcPr>
                <w:p w14:paraId="773E6803">
                  <w:pPr>
                    <w:widowControl/>
                    <w:jc w:val="center"/>
                    <w:rPr>
                      <w:rFonts w:eastAsiaTheme="minorEastAsia"/>
                      <w:kern w:val="0"/>
                      <w:sz w:val="18"/>
                      <w:szCs w:val="18"/>
                    </w:rPr>
                  </w:pPr>
                  <w:r>
                    <w:rPr>
                      <w:kern w:val="0"/>
                      <w:sz w:val="18"/>
                      <w:szCs w:val="18"/>
                    </w:rPr>
                    <w:t>清水池</w:t>
                  </w:r>
                </w:p>
              </w:tc>
              <w:tc>
                <w:tcPr>
                  <w:tcW w:w="404" w:type="pct"/>
                  <w:vMerge w:val="restart"/>
                  <w:tcBorders>
                    <w:left w:val="single" w:color="auto" w:sz="4" w:space="0"/>
                    <w:right w:val="single" w:color="auto" w:sz="4" w:space="0"/>
                  </w:tcBorders>
                  <w:vAlign w:val="center"/>
                </w:tcPr>
                <w:p w14:paraId="3029227E">
                  <w:pPr>
                    <w:widowControl/>
                    <w:jc w:val="center"/>
                    <w:rPr>
                      <w:rFonts w:eastAsia="等线"/>
                      <w:kern w:val="0"/>
                      <w:sz w:val="18"/>
                      <w:szCs w:val="18"/>
                    </w:rPr>
                  </w:pPr>
                  <w:r>
                    <w:rPr>
                      <w:rFonts w:eastAsia="等线"/>
                      <w:kern w:val="0"/>
                      <w:sz w:val="18"/>
                      <w:szCs w:val="18"/>
                    </w:rPr>
                    <w:t>2024.</w:t>
                  </w:r>
                </w:p>
                <w:p w14:paraId="351D08BA">
                  <w:pPr>
                    <w:widowControl/>
                    <w:jc w:val="center"/>
                    <w:rPr>
                      <w:rFonts w:eastAsiaTheme="minorEastAsia"/>
                      <w:kern w:val="0"/>
                      <w:sz w:val="18"/>
                      <w:szCs w:val="18"/>
                    </w:rPr>
                  </w:pPr>
                  <w:r>
                    <w:rPr>
                      <w:rFonts w:eastAsia="等线"/>
                      <w:kern w:val="0"/>
                      <w:sz w:val="18"/>
                      <w:szCs w:val="18"/>
                    </w:rPr>
                    <w:t>9.12</w:t>
                  </w:r>
                </w:p>
              </w:tc>
              <w:tc>
                <w:tcPr>
                  <w:tcW w:w="433" w:type="pct"/>
                  <w:tcBorders>
                    <w:top w:val="single" w:color="auto" w:sz="4" w:space="0"/>
                    <w:left w:val="single" w:color="auto" w:sz="4" w:space="0"/>
                    <w:bottom w:val="single" w:color="auto" w:sz="4" w:space="0"/>
                    <w:right w:val="single" w:color="auto" w:sz="4" w:space="0"/>
                  </w:tcBorders>
                  <w:vAlign w:val="center"/>
                </w:tcPr>
                <w:p w14:paraId="35E48FF4">
                  <w:pPr>
                    <w:widowControl/>
                    <w:jc w:val="center"/>
                    <w:rPr>
                      <w:rFonts w:eastAsiaTheme="minorEastAsia"/>
                      <w:sz w:val="18"/>
                      <w:szCs w:val="18"/>
                    </w:rPr>
                  </w:pPr>
                  <w:r>
                    <w:rPr>
                      <w:kern w:val="0"/>
                      <w:sz w:val="18"/>
                      <w:szCs w:val="18"/>
                    </w:rPr>
                    <w:t>第一次</w:t>
                  </w:r>
                </w:p>
              </w:tc>
              <w:tc>
                <w:tcPr>
                  <w:tcW w:w="321" w:type="pct"/>
                  <w:tcBorders>
                    <w:top w:val="single" w:color="auto" w:sz="4" w:space="0"/>
                    <w:left w:val="single" w:color="auto" w:sz="4" w:space="0"/>
                    <w:bottom w:val="single" w:color="auto" w:sz="4" w:space="0"/>
                    <w:right w:val="single" w:color="auto" w:sz="4" w:space="0"/>
                  </w:tcBorders>
                  <w:vAlign w:val="center"/>
                </w:tcPr>
                <w:p w14:paraId="1C7348F4">
                  <w:pPr>
                    <w:widowControl/>
                    <w:jc w:val="center"/>
                    <w:rPr>
                      <w:rFonts w:eastAsiaTheme="minorEastAsia"/>
                      <w:sz w:val="18"/>
                      <w:szCs w:val="18"/>
                    </w:rPr>
                  </w:pPr>
                  <w:r>
                    <w:rPr>
                      <w:rFonts w:eastAsia="等线"/>
                      <w:sz w:val="18"/>
                      <w:szCs w:val="18"/>
                    </w:rPr>
                    <w:t>7.1</w:t>
                  </w:r>
                </w:p>
              </w:tc>
              <w:tc>
                <w:tcPr>
                  <w:tcW w:w="425" w:type="pct"/>
                  <w:tcBorders>
                    <w:top w:val="single" w:color="auto" w:sz="4" w:space="0"/>
                    <w:left w:val="single" w:color="auto" w:sz="4" w:space="0"/>
                    <w:bottom w:val="single" w:color="auto" w:sz="4" w:space="0"/>
                    <w:right w:val="single" w:color="auto" w:sz="4" w:space="0"/>
                  </w:tcBorders>
                  <w:vAlign w:val="center"/>
                </w:tcPr>
                <w:p w14:paraId="0DC26CCB">
                  <w:pPr>
                    <w:widowControl/>
                    <w:jc w:val="center"/>
                    <w:rPr>
                      <w:rFonts w:eastAsiaTheme="minorEastAsia"/>
                      <w:sz w:val="18"/>
                      <w:szCs w:val="18"/>
                    </w:rPr>
                  </w:pPr>
                  <w:r>
                    <w:rPr>
                      <w:rFonts w:eastAsia="等线"/>
                      <w:sz w:val="18"/>
                      <w:szCs w:val="18"/>
                    </w:rPr>
                    <w:t>11</w:t>
                  </w:r>
                </w:p>
              </w:tc>
              <w:tc>
                <w:tcPr>
                  <w:tcW w:w="430" w:type="pct"/>
                  <w:tcBorders>
                    <w:top w:val="single" w:color="auto" w:sz="4" w:space="0"/>
                    <w:left w:val="single" w:color="auto" w:sz="4" w:space="0"/>
                    <w:bottom w:val="single" w:color="auto" w:sz="4" w:space="0"/>
                    <w:right w:val="single" w:color="auto" w:sz="4" w:space="0"/>
                  </w:tcBorders>
                  <w:vAlign w:val="center"/>
                </w:tcPr>
                <w:p w14:paraId="76D46B67">
                  <w:pPr>
                    <w:widowControl/>
                    <w:jc w:val="center"/>
                    <w:rPr>
                      <w:rFonts w:eastAsiaTheme="minorEastAsia"/>
                      <w:sz w:val="18"/>
                      <w:szCs w:val="18"/>
                    </w:rPr>
                  </w:pPr>
                  <w:r>
                    <w:rPr>
                      <w:rFonts w:eastAsia="等线"/>
                      <w:sz w:val="18"/>
                      <w:szCs w:val="18"/>
                    </w:rPr>
                    <w:t>6</w:t>
                  </w:r>
                </w:p>
              </w:tc>
              <w:tc>
                <w:tcPr>
                  <w:tcW w:w="369" w:type="pct"/>
                  <w:tcBorders>
                    <w:top w:val="single" w:color="auto" w:sz="4" w:space="0"/>
                    <w:left w:val="single" w:color="auto" w:sz="4" w:space="0"/>
                    <w:bottom w:val="single" w:color="auto" w:sz="4" w:space="0"/>
                    <w:right w:val="single" w:color="auto" w:sz="4" w:space="0"/>
                  </w:tcBorders>
                  <w:vAlign w:val="center"/>
                </w:tcPr>
                <w:p w14:paraId="4E294F72">
                  <w:pPr>
                    <w:widowControl/>
                    <w:jc w:val="center"/>
                    <w:rPr>
                      <w:rFonts w:eastAsiaTheme="minorEastAsia"/>
                      <w:sz w:val="18"/>
                      <w:szCs w:val="18"/>
                    </w:rPr>
                  </w:pPr>
                  <w:r>
                    <w:rPr>
                      <w:rFonts w:eastAsia="等线"/>
                      <w:sz w:val="18"/>
                      <w:szCs w:val="18"/>
                    </w:rPr>
                    <w:t>0.23</w:t>
                  </w:r>
                </w:p>
              </w:tc>
              <w:tc>
                <w:tcPr>
                  <w:tcW w:w="347" w:type="pct"/>
                  <w:tcBorders>
                    <w:top w:val="single" w:color="auto" w:sz="4" w:space="0"/>
                    <w:left w:val="single" w:color="auto" w:sz="4" w:space="0"/>
                    <w:bottom w:val="single" w:color="auto" w:sz="4" w:space="0"/>
                    <w:right w:val="single" w:color="auto" w:sz="4" w:space="0"/>
                  </w:tcBorders>
                  <w:vAlign w:val="center"/>
                </w:tcPr>
                <w:p w14:paraId="21D99A2A">
                  <w:pPr>
                    <w:widowControl/>
                    <w:jc w:val="center"/>
                    <w:rPr>
                      <w:rFonts w:eastAsiaTheme="minorEastAsia"/>
                      <w:sz w:val="18"/>
                      <w:szCs w:val="18"/>
                    </w:rPr>
                  </w:pPr>
                  <w:r>
                    <w:rPr>
                      <w:rFonts w:eastAsia="等线"/>
                      <w:sz w:val="18"/>
                      <w:szCs w:val="18"/>
                    </w:rPr>
                    <w:t>0.1</w:t>
                  </w:r>
                </w:p>
              </w:tc>
              <w:tc>
                <w:tcPr>
                  <w:tcW w:w="356" w:type="pct"/>
                  <w:tcBorders>
                    <w:top w:val="single" w:color="auto" w:sz="4" w:space="0"/>
                    <w:left w:val="single" w:color="auto" w:sz="4" w:space="0"/>
                    <w:bottom w:val="single" w:color="auto" w:sz="4" w:space="0"/>
                    <w:right w:val="single" w:color="auto" w:sz="4" w:space="0"/>
                  </w:tcBorders>
                  <w:vAlign w:val="center"/>
                </w:tcPr>
                <w:p w14:paraId="33FBF741">
                  <w:pPr>
                    <w:widowControl/>
                    <w:jc w:val="center"/>
                    <w:rPr>
                      <w:rFonts w:eastAsiaTheme="minorEastAsia"/>
                      <w:sz w:val="18"/>
                      <w:szCs w:val="18"/>
                    </w:rPr>
                  </w:pPr>
                  <w:r>
                    <w:rPr>
                      <w:rFonts w:eastAsiaTheme="minorEastAsia"/>
                      <w:sz w:val="18"/>
                      <w:szCs w:val="18"/>
                    </w:rPr>
                    <w:t>/</w:t>
                  </w:r>
                </w:p>
              </w:tc>
              <w:tc>
                <w:tcPr>
                  <w:tcW w:w="433" w:type="pct"/>
                  <w:tcBorders>
                    <w:top w:val="single" w:color="auto" w:sz="4" w:space="0"/>
                    <w:left w:val="single" w:color="auto" w:sz="4" w:space="0"/>
                    <w:bottom w:val="single" w:color="auto" w:sz="4" w:space="0"/>
                    <w:right w:val="single" w:color="auto" w:sz="4" w:space="0"/>
                  </w:tcBorders>
                  <w:vAlign w:val="center"/>
                </w:tcPr>
                <w:p w14:paraId="644942B7">
                  <w:pPr>
                    <w:widowControl/>
                    <w:jc w:val="center"/>
                    <w:rPr>
                      <w:rFonts w:eastAsiaTheme="minorEastAsia"/>
                      <w:sz w:val="18"/>
                      <w:szCs w:val="18"/>
                    </w:rPr>
                  </w:pPr>
                  <w:r>
                    <w:rPr>
                      <w:rFonts w:eastAsia="等线"/>
                      <w:sz w:val="18"/>
                      <w:szCs w:val="18"/>
                    </w:rPr>
                    <w:t>0.25</w:t>
                  </w:r>
                </w:p>
              </w:tc>
              <w:tc>
                <w:tcPr>
                  <w:tcW w:w="374" w:type="pct"/>
                  <w:tcBorders>
                    <w:top w:val="single" w:color="auto" w:sz="4" w:space="0"/>
                    <w:left w:val="single" w:color="auto" w:sz="4" w:space="0"/>
                    <w:bottom w:val="single" w:color="auto" w:sz="4" w:space="0"/>
                    <w:right w:val="single" w:color="auto" w:sz="4" w:space="0"/>
                  </w:tcBorders>
                  <w:vAlign w:val="center"/>
                </w:tcPr>
                <w:p w14:paraId="699158F8">
                  <w:pPr>
                    <w:widowControl/>
                    <w:jc w:val="center"/>
                    <w:rPr>
                      <w:rFonts w:eastAsiaTheme="minorEastAsia"/>
                      <w:sz w:val="18"/>
                      <w:szCs w:val="18"/>
                    </w:rPr>
                  </w:pPr>
                  <w:r>
                    <w:rPr>
                      <w:rFonts w:eastAsia="等线"/>
                      <w:sz w:val="18"/>
                      <w:szCs w:val="18"/>
                    </w:rPr>
                    <w:t>49</w:t>
                  </w:r>
                </w:p>
              </w:tc>
              <w:tc>
                <w:tcPr>
                  <w:tcW w:w="395" w:type="pct"/>
                  <w:tcBorders>
                    <w:top w:val="single" w:color="auto" w:sz="4" w:space="0"/>
                    <w:left w:val="single" w:color="auto" w:sz="4" w:space="0"/>
                    <w:bottom w:val="single" w:color="auto" w:sz="4" w:space="0"/>
                  </w:tcBorders>
                  <w:vAlign w:val="center"/>
                </w:tcPr>
                <w:p w14:paraId="080F10EB">
                  <w:pPr>
                    <w:widowControl/>
                    <w:jc w:val="center"/>
                    <w:rPr>
                      <w:rFonts w:eastAsiaTheme="minorEastAsia"/>
                      <w:sz w:val="18"/>
                      <w:szCs w:val="18"/>
                    </w:rPr>
                  </w:pPr>
                  <w:r>
                    <w:rPr>
                      <w:rFonts w:eastAsiaTheme="minorEastAsia"/>
                      <w:sz w:val="18"/>
                      <w:szCs w:val="18"/>
                    </w:rPr>
                    <w:t>/</w:t>
                  </w:r>
                </w:p>
              </w:tc>
              <w:tc>
                <w:tcPr>
                  <w:tcW w:w="357" w:type="pct"/>
                  <w:tcBorders>
                    <w:top w:val="single" w:color="auto" w:sz="4" w:space="0"/>
                    <w:left w:val="single" w:color="auto" w:sz="4" w:space="0"/>
                    <w:bottom w:val="single" w:color="auto" w:sz="4" w:space="0"/>
                  </w:tcBorders>
                  <w:vAlign w:val="center"/>
                </w:tcPr>
                <w:p w14:paraId="4508AD49">
                  <w:pPr>
                    <w:widowControl/>
                    <w:jc w:val="center"/>
                    <w:rPr>
                      <w:rFonts w:eastAsiaTheme="minorEastAsia"/>
                      <w:sz w:val="18"/>
                      <w:szCs w:val="18"/>
                    </w:rPr>
                  </w:pPr>
                  <w:r>
                    <w:rPr>
                      <w:rFonts w:eastAsiaTheme="minorEastAsia"/>
                      <w:sz w:val="18"/>
                      <w:szCs w:val="18"/>
                    </w:rPr>
                    <w:t>/</w:t>
                  </w:r>
                </w:p>
              </w:tc>
            </w:tr>
            <w:tr w14:paraId="4A76D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6" w:type="pct"/>
                  <w:vMerge w:val="continue"/>
                  <w:tcBorders>
                    <w:right w:val="single" w:color="auto" w:sz="4" w:space="0"/>
                  </w:tcBorders>
                  <w:vAlign w:val="center"/>
                </w:tcPr>
                <w:p w14:paraId="28BF980B">
                  <w:pPr>
                    <w:widowControl/>
                    <w:jc w:val="center"/>
                    <w:rPr>
                      <w:rFonts w:eastAsiaTheme="minorEastAsia"/>
                      <w:kern w:val="0"/>
                      <w:sz w:val="18"/>
                      <w:szCs w:val="18"/>
                    </w:rPr>
                  </w:pPr>
                </w:p>
              </w:tc>
              <w:tc>
                <w:tcPr>
                  <w:tcW w:w="404" w:type="pct"/>
                  <w:vMerge w:val="continue"/>
                  <w:tcBorders>
                    <w:left w:val="single" w:color="auto" w:sz="4" w:space="0"/>
                    <w:right w:val="single" w:color="auto" w:sz="4" w:space="0"/>
                  </w:tcBorders>
                  <w:vAlign w:val="center"/>
                </w:tcPr>
                <w:p w14:paraId="5938B523">
                  <w:pPr>
                    <w:widowControl/>
                    <w:jc w:val="center"/>
                    <w:rPr>
                      <w:rFonts w:eastAsiaTheme="minorEastAsia"/>
                      <w:kern w:val="0"/>
                      <w:sz w:val="18"/>
                      <w:szCs w:val="18"/>
                    </w:rPr>
                  </w:pPr>
                </w:p>
              </w:tc>
              <w:tc>
                <w:tcPr>
                  <w:tcW w:w="433" w:type="pct"/>
                  <w:tcBorders>
                    <w:top w:val="single" w:color="auto" w:sz="4" w:space="0"/>
                    <w:left w:val="single" w:color="auto" w:sz="4" w:space="0"/>
                    <w:bottom w:val="single" w:color="auto" w:sz="4" w:space="0"/>
                    <w:right w:val="single" w:color="auto" w:sz="4" w:space="0"/>
                  </w:tcBorders>
                  <w:vAlign w:val="center"/>
                </w:tcPr>
                <w:p w14:paraId="6F89E311">
                  <w:pPr>
                    <w:widowControl/>
                    <w:jc w:val="center"/>
                    <w:rPr>
                      <w:rFonts w:eastAsiaTheme="minorEastAsia"/>
                      <w:sz w:val="18"/>
                      <w:szCs w:val="18"/>
                    </w:rPr>
                  </w:pPr>
                  <w:r>
                    <w:rPr>
                      <w:kern w:val="0"/>
                      <w:sz w:val="18"/>
                      <w:szCs w:val="18"/>
                    </w:rPr>
                    <w:t>第二次</w:t>
                  </w:r>
                </w:p>
              </w:tc>
              <w:tc>
                <w:tcPr>
                  <w:tcW w:w="321" w:type="pct"/>
                  <w:tcBorders>
                    <w:top w:val="single" w:color="auto" w:sz="4" w:space="0"/>
                    <w:left w:val="single" w:color="auto" w:sz="4" w:space="0"/>
                    <w:bottom w:val="single" w:color="auto" w:sz="4" w:space="0"/>
                    <w:right w:val="single" w:color="auto" w:sz="4" w:space="0"/>
                  </w:tcBorders>
                  <w:vAlign w:val="center"/>
                </w:tcPr>
                <w:p w14:paraId="17D8FDD6">
                  <w:pPr>
                    <w:widowControl/>
                    <w:jc w:val="center"/>
                    <w:rPr>
                      <w:rFonts w:eastAsiaTheme="minorEastAsia"/>
                      <w:sz w:val="18"/>
                      <w:szCs w:val="18"/>
                    </w:rPr>
                  </w:pPr>
                  <w:r>
                    <w:rPr>
                      <w:rFonts w:eastAsia="等线"/>
                      <w:sz w:val="18"/>
                      <w:szCs w:val="18"/>
                    </w:rPr>
                    <w:t>7.4</w:t>
                  </w:r>
                </w:p>
              </w:tc>
              <w:tc>
                <w:tcPr>
                  <w:tcW w:w="425" w:type="pct"/>
                  <w:tcBorders>
                    <w:top w:val="single" w:color="auto" w:sz="4" w:space="0"/>
                    <w:left w:val="single" w:color="auto" w:sz="4" w:space="0"/>
                    <w:bottom w:val="single" w:color="auto" w:sz="4" w:space="0"/>
                    <w:right w:val="single" w:color="auto" w:sz="4" w:space="0"/>
                  </w:tcBorders>
                  <w:vAlign w:val="center"/>
                </w:tcPr>
                <w:p w14:paraId="7A8EBB8D">
                  <w:pPr>
                    <w:widowControl/>
                    <w:jc w:val="center"/>
                    <w:rPr>
                      <w:rFonts w:eastAsiaTheme="minorEastAsia"/>
                      <w:sz w:val="18"/>
                      <w:szCs w:val="18"/>
                    </w:rPr>
                  </w:pPr>
                  <w:r>
                    <w:rPr>
                      <w:rFonts w:eastAsia="等线"/>
                      <w:sz w:val="18"/>
                      <w:szCs w:val="18"/>
                    </w:rPr>
                    <w:t>15</w:t>
                  </w:r>
                </w:p>
              </w:tc>
              <w:tc>
                <w:tcPr>
                  <w:tcW w:w="430" w:type="pct"/>
                  <w:tcBorders>
                    <w:top w:val="single" w:color="auto" w:sz="4" w:space="0"/>
                    <w:left w:val="single" w:color="auto" w:sz="4" w:space="0"/>
                    <w:bottom w:val="single" w:color="auto" w:sz="4" w:space="0"/>
                    <w:right w:val="single" w:color="auto" w:sz="4" w:space="0"/>
                  </w:tcBorders>
                  <w:vAlign w:val="center"/>
                </w:tcPr>
                <w:p w14:paraId="50BE14FF">
                  <w:pPr>
                    <w:widowControl/>
                    <w:jc w:val="center"/>
                    <w:rPr>
                      <w:rFonts w:eastAsiaTheme="minorEastAsia"/>
                      <w:sz w:val="18"/>
                      <w:szCs w:val="18"/>
                    </w:rPr>
                  </w:pPr>
                  <w:r>
                    <w:rPr>
                      <w:rFonts w:eastAsia="等线"/>
                      <w:sz w:val="18"/>
                      <w:szCs w:val="18"/>
                    </w:rPr>
                    <w:t>6</w:t>
                  </w:r>
                </w:p>
              </w:tc>
              <w:tc>
                <w:tcPr>
                  <w:tcW w:w="369" w:type="pct"/>
                  <w:tcBorders>
                    <w:top w:val="single" w:color="auto" w:sz="4" w:space="0"/>
                    <w:left w:val="single" w:color="auto" w:sz="4" w:space="0"/>
                    <w:bottom w:val="single" w:color="auto" w:sz="4" w:space="0"/>
                    <w:right w:val="single" w:color="auto" w:sz="4" w:space="0"/>
                  </w:tcBorders>
                  <w:vAlign w:val="center"/>
                </w:tcPr>
                <w:p w14:paraId="27384F62">
                  <w:pPr>
                    <w:widowControl/>
                    <w:jc w:val="center"/>
                    <w:rPr>
                      <w:rFonts w:eastAsiaTheme="minorEastAsia"/>
                      <w:sz w:val="18"/>
                      <w:szCs w:val="18"/>
                    </w:rPr>
                  </w:pPr>
                  <w:r>
                    <w:rPr>
                      <w:rFonts w:eastAsia="等线"/>
                      <w:sz w:val="18"/>
                      <w:szCs w:val="18"/>
                    </w:rPr>
                    <w:t>0.25</w:t>
                  </w:r>
                </w:p>
              </w:tc>
              <w:tc>
                <w:tcPr>
                  <w:tcW w:w="347" w:type="pct"/>
                  <w:tcBorders>
                    <w:top w:val="single" w:color="auto" w:sz="4" w:space="0"/>
                    <w:left w:val="single" w:color="auto" w:sz="4" w:space="0"/>
                    <w:bottom w:val="single" w:color="auto" w:sz="4" w:space="0"/>
                    <w:right w:val="single" w:color="auto" w:sz="4" w:space="0"/>
                  </w:tcBorders>
                  <w:vAlign w:val="center"/>
                </w:tcPr>
                <w:p w14:paraId="364A26CA">
                  <w:pPr>
                    <w:widowControl/>
                    <w:jc w:val="center"/>
                    <w:rPr>
                      <w:rFonts w:eastAsiaTheme="minorEastAsia"/>
                      <w:sz w:val="18"/>
                      <w:szCs w:val="18"/>
                    </w:rPr>
                  </w:pPr>
                  <w:r>
                    <w:rPr>
                      <w:rFonts w:eastAsia="等线"/>
                      <w:sz w:val="18"/>
                      <w:szCs w:val="18"/>
                    </w:rPr>
                    <w:t>0.11</w:t>
                  </w:r>
                </w:p>
              </w:tc>
              <w:tc>
                <w:tcPr>
                  <w:tcW w:w="356" w:type="pct"/>
                  <w:tcBorders>
                    <w:top w:val="single" w:color="auto" w:sz="4" w:space="0"/>
                    <w:left w:val="single" w:color="auto" w:sz="4" w:space="0"/>
                    <w:bottom w:val="single" w:color="auto" w:sz="4" w:space="0"/>
                    <w:right w:val="single" w:color="auto" w:sz="4" w:space="0"/>
                  </w:tcBorders>
                  <w:vAlign w:val="center"/>
                </w:tcPr>
                <w:p w14:paraId="55BED219">
                  <w:pPr>
                    <w:widowControl/>
                    <w:jc w:val="center"/>
                    <w:rPr>
                      <w:rFonts w:eastAsiaTheme="minorEastAsia"/>
                      <w:sz w:val="18"/>
                      <w:szCs w:val="18"/>
                    </w:rPr>
                  </w:pPr>
                  <w:r>
                    <w:rPr>
                      <w:rFonts w:eastAsiaTheme="minorEastAsia"/>
                      <w:sz w:val="18"/>
                      <w:szCs w:val="18"/>
                    </w:rPr>
                    <w:t>/</w:t>
                  </w:r>
                </w:p>
              </w:tc>
              <w:tc>
                <w:tcPr>
                  <w:tcW w:w="433" w:type="pct"/>
                  <w:tcBorders>
                    <w:top w:val="single" w:color="auto" w:sz="4" w:space="0"/>
                    <w:left w:val="single" w:color="auto" w:sz="4" w:space="0"/>
                    <w:bottom w:val="single" w:color="auto" w:sz="4" w:space="0"/>
                    <w:right w:val="single" w:color="auto" w:sz="4" w:space="0"/>
                  </w:tcBorders>
                  <w:vAlign w:val="center"/>
                </w:tcPr>
                <w:p w14:paraId="148EE433">
                  <w:pPr>
                    <w:widowControl/>
                    <w:jc w:val="center"/>
                    <w:rPr>
                      <w:rFonts w:eastAsiaTheme="minorEastAsia"/>
                      <w:sz w:val="18"/>
                      <w:szCs w:val="18"/>
                    </w:rPr>
                  </w:pPr>
                  <w:r>
                    <w:rPr>
                      <w:rFonts w:eastAsia="等线"/>
                      <w:sz w:val="18"/>
                      <w:szCs w:val="18"/>
                    </w:rPr>
                    <w:t>0.22</w:t>
                  </w:r>
                </w:p>
              </w:tc>
              <w:tc>
                <w:tcPr>
                  <w:tcW w:w="374" w:type="pct"/>
                  <w:tcBorders>
                    <w:top w:val="single" w:color="auto" w:sz="4" w:space="0"/>
                    <w:left w:val="single" w:color="auto" w:sz="4" w:space="0"/>
                    <w:bottom w:val="single" w:color="auto" w:sz="4" w:space="0"/>
                    <w:right w:val="single" w:color="auto" w:sz="4" w:space="0"/>
                  </w:tcBorders>
                  <w:vAlign w:val="center"/>
                </w:tcPr>
                <w:p w14:paraId="48D52735">
                  <w:pPr>
                    <w:widowControl/>
                    <w:jc w:val="center"/>
                    <w:rPr>
                      <w:rFonts w:eastAsiaTheme="minorEastAsia"/>
                      <w:sz w:val="18"/>
                      <w:szCs w:val="18"/>
                    </w:rPr>
                  </w:pPr>
                  <w:r>
                    <w:rPr>
                      <w:rFonts w:eastAsia="等线"/>
                      <w:sz w:val="18"/>
                      <w:szCs w:val="18"/>
                    </w:rPr>
                    <w:t>46</w:t>
                  </w:r>
                </w:p>
              </w:tc>
              <w:tc>
                <w:tcPr>
                  <w:tcW w:w="395" w:type="pct"/>
                  <w:tcBorders>
                    <w:top w:val="single" w:color="auto" w:sz="4" w:space="0"/>
                    <w:left w:val="single" w:color="auto" w:sz="4" w:space="0"/>
                    <w:bottom w:val="single" w:color="auto" w:sz="4" w:space="0"/>
                  </w:tcBorders>
                  <w:vAlign w:val="center"/>
                </w:tcPr>
                <w:p w14:paraId="344DFC50">
                  <w:pPr>
                    <w:widowControl/>
                    <w:jc w:val="center"/>
                    <w:rPr>
                      <w:rFonts w:eastAsiaTheme="minorEastAsia"/>
                      <w:sz w:val="18"/>
                      <w:szCs w:val="18"/>
                    </w:rPr>
                  </w:pPr>
                  <w:r>
                    <w:rPr>
                      <w:rFonts w:eastAsiaTheme="minorEastAsia"/>
                      <w:sz w:val="18"/>
                      <w:szCs w:val="18"/>
                    </w:rPr>
                    <w:t>/</w:t>
                  </w:r>
                </w:p>
              </w:tc>
              <w:tc>
                <w:tcPr>
                  <w:tcW w:w="357" w:type="pct"/>
                  <w:tcBorders>
                    <w:top w:val="single" w:color="auto" w:sz="4" w:space="0"/>
                    <w:left w:val="single" w:color="auto" w:sz="4" w:space="0"/>
                    <w:bottom w:val="single" w:color="auto" w:sz="4" w:space="0"/>
                  </w:tcBorders>
                  <w:vAlign w:val="center"/>
                </w:tcPr>
                <w:p w14:paraId="2ED55DA8">
                  <w:pPr>
                    <w:widowControl/>
                    <w:jc w:val="center"/>
                    <w:rPr>
                      <w:rFonts w:eastAsiaTheme="minorEastAsia"/>
                      <w:sz w:val="18"/>
                      <w:szCs w:val="18"/>
                    </w:rPr>
                  </w:pPr>
                  <w:r>
                    <w:rPr>
                      <w:rFonts w:eastAsiaTheme="minorEastAsia"/>
                      <w:sz w:val="18"/>
                      <w:szCs w:val="18"/>
                    </w:rPr>
                    <w:t>/</w:t>
                  </w:r>
                </w:p>
              </w:tc>
            </w:tr>
            <w:tr w14:paraId="61B1A2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0" w:hRule="atLeast"/>
              </w:trPr>
              <w:tc>
                <w:tcPr>
                  <w:tcW w:w="356" w:type="pct"/>
                  <w:vMerge w:val="continue"/>
                  <w:tcBorders>
                    <w:right w:val="single" w:color="auto" w:sz="4" w:space="0"/>
                  </w:tcBorders>
                  <w:vAlign w:val="center"/>
                </w:tcPr>
                <w:p w14:paraId="4B7BCAE6">
                  <w:pPr>
                    <w:widowControl/>
                    <w:jc w:val="center"/>
                    <w:rPr>
                      <w:rFonts w:eastAsiaTheme="minorEastAsia"/>
                      <w:kern w:val="0"/>
                      <w:sz w:val="18"/>
                      <w:szCs w:val="18"/>
                    </w:rPr>
                  </w:pPr>
                </w:p>
              </w:tc>
              <w:tc>
                <w:tcPr>
                  <w:tcW w:w="404" w:type="pct"/>
                  <w:vMerge w:val="continue"/>
                  <w:tcBorders>
                    <w:left w:val="single" w:color="auto" w:sz="4" w:space="0"/>
                    <w:right w:val="single" w:color="auto" w:sz="4" w:space="0"/>
                  </w:tcBorders>
                  <w:vAlign w:val="center"/>
                </w:tcPr>
                <w:p w14:paraId="6723B3EB">
                  <w:pPr>
                    <w:widowControl/>
                    <w:jc w:val="center"/>
                    <w:rPr>
                      <w:rFonts w:eastAsiaTheme="minorEastAsia"/>
                      <w:kern w:val="0"/>
                      <w:sz w:val="18"/>
                      <w:szCs w:val="18"/>
                    </w:rPr>
                  </w:pPr>
                </w:p>
              </w:tc>
              <w:tc>
                <w:tcPr>
                  <w:tcW w:w="433" w:type="pct"/>
                  <w:tcBorders>
                    <w:top w:val="single" w:color="auto" w:sz="4" w:space="0"/>
                    <w:left w:val="single" w:color="auto" w:sz="4" w:space="0"/>
                    <w:bottom w:val="single" w:color="auto" w:sz="4" w:space="0"/>
                    <w:right w:val="single" w:color="auto" w:sz="4" w:space="0"/>
                  </w:tcBorders>
                  <w:vAlign w:val="center"/>
                </w:tcPr>
                <w:p w14:paraId="5FBA1A75">
                  <w:pPr>
                    <w:widowControl/>
                    <w:jc w:val="center"/>
                    <w:rPr>
                      <w:kern w:val="0"/>
                      <w:sz w:val="18"/>
                      <w:szCs w:val="18"/>
                    </w:rPr>
                  </w:pPr>
                  <w:r>
                    <w:rPr>
                      <w:kern w:val="0"/>
                      <w:sz w:val="18"/>
                      <w:szCs w:val="18"/>
                    </w:rPr>
                    <w:t>第三次</w:t>
                  </w:r>
                </w:p>
              </w:tc>
              <w:tc>
                <w:tcPr>
                  <w:tcW w:w="321" w:type="pct"/>
                  <w:tcBorders>
                    <w:top w:val="single" w:color="auto" w:sz="4" w:space="0"/>
                    <w:left w:val="single" w:color="auto" w:sz="4" w:space="0"/>
                    <w:bottom w:val="single" w:color="auto" w:sz="4" w:space="0"/>
                    <w:right w:val="single" w:color="auto" w:sz="4" w:space="0"/>
                  </w:tcBorders>
                  <w:vAlign w:val="center"/>
                </w:tcPr>
                <w:p w14:paraId="0195DD6A">
                  <w:pPr>
                    <w:widowControl/>
                    <w:jc w:val="center"/>
                    <w:rPr>
                      <w:rFonts w:eastAsia="等线"/>
                      <w:sz w:val="18"/>
                      <w:szCs w:val="18"/>
                    </w:rPr>
                  </w:pPr>
                  <w:r>
                    <w:rPr>
                      <w:rFonts w:eastAsia="等线"/>
                      <w:sz w:val="18"/>
                      <w:szCs w:val="18"/>
                    </w:rPr>
                    <w:t>7.4</w:t>
                  </w:r>
                </w:p>
              </w:tc>
              <w:tc>
                <w:tcPr>
                  <w:tcW w:w="425" w:type="pct"/>
                  <w:tcBorders>
                    <w:top w:val="single" w:color="auto" w:sz="4" w:space="0"/>
                    <w:left w:val="single" w:color="auto" w:sz="4" w:space="0"/>
                    <w:bottom w:val="single" w:color="auto" w:sz="4" w:space="0"/>
                    <w:right w:val="single" w:color="auto" w:sz="4" w:space="0"/>
                  </w:tcBorders>
                  <w:vAlign w:val="center"/>
                </w:tcPr>
                <w:p w14:paraId="6D5BD5FD">
                  <w:pPr>
                    <w:widowControl/>
                    <w:jc w:val="center"/>
                    <w:rPr>
                      <w:rFonts w:eastAsia="等线"/>
                      <w:sz w:val="18"/>
                      <w:szCs w:val="18"/>
                    </w:rPr>
                  </w:pPr>
                  <w:r>
                    <w:rPr>
                      <w:rFonts w:eastAsia="等线"/>
                      <w:sz w:val="18"/>
                      <w:szCs w:val="18"/>
                    </w:rPr>
                    <w:t>14</w:t>
                  </w:r>
                </w:p>
              </w:tc>
              <w:tc>
                <w:tcPr>
                  <w:tcW w:w="430" w:type="pct"/>
                  <w:tcBorders>
                    <w:top w:val="single" w:color="auto" w:sz="4" w:space="0"/>
                    <w:left w:val="single" w:color="auto" w:sz="4" w:space="0"/>
                    <w:bottom w:val="single" w:color="auto" w:sz="4" w:space="0"/>
                    <w:right w:val="single" w:color="auto" w:sz="4" w:space="0"/>
                  </w:tcBorders>
                  <w:vAlign w:val="center"/>
                </w:tcPr>
                <w:p w14:paraId="772D4ABC">
                  <w:pPr>
                    <w:widowControl/>
                    <w:jc w:val="center"/>
                    <w:rPr>
                      <w:rFonts w:eastAsia="等线"/>
                      <w:sz w:val="18"/>
                      <w:szCs w:val="18"/>
                    </w:rPr>
                  </w:pPr>
                  <w:r>
                    <w:rPr>
                      <w:rFonts w:eastAsia="等线"/>
                      <w:sz w:val="18"/>
                      <w:szCs w:val="18"/>
                    </w:rPr>
                    <w:t>7</w:t>
                  </w:r>
                </w:p>
              </w:tc>
              <w:tc>
                <w:tcPr>
                  <w:tcW w:w="369" w:type="pct"/>
                  <w:tcBorders>
                    <w:top w:val="single" w:color="auto" w:sz="4" w:space="0"/>
                    <w:left w:val="single" w:color="auto" w:sz="4" w:space="0"/>
                    <w:bottom w:val="single" w:color="auto" w:sz="4" w:space="0"/>
                    <w:right w:val="single" w:color="auto" w:sz="4" w:space="0"/>
                  </w:tcBorders>
                  <w:vAlign w:val="center"/>
                </w:tcPr>
                <w:p w14:paraId="1F991565">
                  <w:pPr>
                    <w:widowControl/>
                    <w:jc w:val="center"/>
                    <w:rPr>
                      <w:rFonts w:eastAsia="等线"/>
                      <w:sz w:val="18"/>
                      <w:szCs w:val="18"/>
                    </w:rPr>
                  </w:pPr>
                  <w:r>
                    <w:rPr>
                      <w:rFonts w:eastAsia="等线"/>
                      <w:sz w:val="18"/>
                      <w:szCs w:val="18"/>
                    </w:rPr>
                    <w:t>0.20</w:t>
                  </w:r>
                </w:p>
              </w:tc>
              <w:tc>
                <w:tcPr>
                  <w:tcW w:w="347" w:type="pct"/>
                  <w:tcBorders>
                    <w:top w:val="single" w:color="auto" w:sz="4" w:space="0"/>
                    <w:left w:val="single" w:color="auto" w:sz="4" w:space="0"/>
                    <w:bottom w:val="single" w:color="auto" w:sz="4" w:space="0"/>
                    <w:right w:val="single" w:color="auto" w:sz="4" w:space="0"/>
                  </w:tcBorders>
                  <w:vAlign w:val="center"/>
                </w:tcPr>
                <w:p w14:paraId="4ED68A59">
                  <w:pPr>
                    <w:widowControl/>
                    <w:jc w:val="center"/>
                    <w:rPr>
                      <w:rFonts w:eastAsia="等线"/>
                      <w:sz w:val="18"/>
                      <w:szCs w:val="18"/>
                    </w:rPr>
                  </w:pPr>
                  <w:r>
                    <w:rPr>
                      <w:rFonts w:eastAsia="等线"/>
                      <w:sz w:val="18"/>
                      <w:szCs w:val="18"/>
                    </w:rPr>
                    <w:t>0.1</w:t>
                  </w:r>
                </w:p>
              </w:tc>
              <w:tc>
                <w:tcPr>
                  <w:tcW w:w="356" w:type="pct"/>
                  <w:tcBorders>
                    <w:top w:val="single" w:color="auto" w:sz="4" w:space="0"/>
                    <w:left w:val="single" w:color="auto" w:sz="4" w:space="0"/>
                    <w:bottom w:val="single" w:color="auto" w:sz="4" w:space="0"/>
                    <w:right w:val="single" w:color="auto" w:sz="4" w:space="0"/>
                  </w:tcBorders>
                  <w:vAlign w:val="center"/>
                </w:tcPr>
                <w:p w14:paraId="17865D30">
                  <w:pPr>
                    <w:widowControl/>
                    <w:jc w:val="center"/>
                    <w:rPr>
                      <w:rFonts w:eastAsiaTheme="minorEastAsia"/>
                      <w:sz w:val="18"/>
                      <w:szCs w:val="18"/>
                    </w:rPr>
                  </w:pPr>
                  <w:r>
                    <w:rPr>
                      <w:rFonts w:eastAsiaTheme="minorEastAsia"/>
                      <w:sz w:val="18"/>
                      <w:szCs w:val="18"/>
                    </w:rPr>
                    <w:t>/</w:t>
                  </w:r>
                </w:p>
              </w:tc>
              <w:tc>
                <w:tcPr>
                  <w:tcW w:w="433" w:type="pct"/>
                  <w:tcBorders>
                    <w:top w:val="single" w:color="auto" w:sz="4" w:space="0"/>
                    <w:left w:val="single" w:color="auto" w:sz="4" w:space="0"/>
                    <w:bottom w:val="single" w:color="auto" w:sz="4" w:space="0"/>
                    <w:right w:val="single" w:color="auto" w:sz="4" w:space="0"/>
                  </w:tcBorders>
                  <w:vAlign w:val="center"/>
                </w:tcPr>
                <w:p w14:paraId="18B1C0A6">
                  <w:pPr>
                    <w:widowControl/>
                    <w:jc w:val="center"/>
                    <w:rPr>
                      <w:rFonts w:eastAsia="等线"/>
                      <w:sz w:val="18"/>
                      <w:szCs w:val="18"/>
                    </w:rPr>
                  </w:pPr>
                  <w:r>
                    <w:rPr>
                      <w:rFonts w:eastAsia="等线"/>
                      <w:sz w:val="18"/>
                      <w:szCs w:val="18"/>
                    </w:rPr>
                    <w:t>0.29</w:t>
                  </w:r>
                </w:p>
              </w:tc>
              <w:tc>
                <w:tcPr>
                  <w:tcW w:w="374" w:type="pct"/>
                  <w:tcBorders>
                    <w:top w:val="single" w:color="auto" w:sz="4" w:space="0"/>
                    <w:left w:val="single" w:color="auto" w:sz="4" w:space="0"/>
                    <w:bottom w:val="single" w:color="auto" w:sz="4" w:space="0"/>
                    <w:right w:val="single" w:color="auto" w:sz="4" w:space="0"/>
                  </w:tcBorders>
                  <w:vAlign w:val="center"/>
                </w:tcPr>
                <w:p w14:paraId="76385B58">
                  <w:pPr>
                    <w:widowControl/>
                    <w:jc w:val="center"/>
                    <w:rPr>
                      <w:rFonts w:eastAsia="等线"/>
                      <w:sz w:val="18"/>
                      <w:szCs w:val="18"/>
                    </w:rPr>
                  </w:pPr>
                  <w:r>
                    <w:rPr>
                      <w:rFonts w:eastAsia="等线"/>
                      <w:sz w:val="18"/>
                      <w:szCs w:val="18"/>
                    </w:rPr>
                    <w:t>48</w:t>
                  </w:r>
                </w:p>
              </w:tc>
              <w:tc>
                <w:tcPr>
                  <w:tcW w:w="395" w:type="pct"/>
                  <w:tcBorders>
                    <w:top w:val="single" w:color="auto" w:sz="4" w:space="0"/>
                    <w:left w:val="single" w:color="auto" w:sz="4" w:space="0"/>
                    <w:bottom w:val="single" w:color="auto" w:sz="4" w:space="0"/>
                  </w:tcBorders>
                  <w:vAlign w:val="center"/>
                </w:tcPr>
                <w:p w14:paraId="6B154444">
                  <w:pPr>
                    <w:widowControl/>
                    <w:jc w:val="center"/>
                    <w:rPr>
                      <w:rFonts w:eastAsiaTheme="minorEastAsia"/>
                      <w:sz w:val="18"/>
                      <w:szCs w:val="18"/>
                    </w:rPr>
                  </w:pPr>
                  <w:r>
                    <w:rPr>
                      <w:rFonts w:eastAsiaTheme="minorEastAsia"/>
                      <w:sz w:val="18"/>
                      <w:szCs w:val="18"/>
                    </w:rPr>
                    <w:t>/</w:t>
                  </w:r>
                </w:p>
              </w:tc>
              <w:tc>
                <w:tcPr>
                  <w:tcW w:w="357" w:type="pct"/>
                  <w:tcBorders>
                    <w:top w:val="single" w:color="auto" w:sz="4" w:space="0"/>
                    <w:left w:val="single" w:color="auto" w:sz="4" w:space="0"/>
                    <w:bottom w:val="single" w:color="auto" w:sz="4" w:space="0"/>
                  </w:tcBorders>
                  <w:vAlign w:val="center"/>
                </w:tcPr>
                <w:p w14:paraId="29E8C3F0">
                  <w:pPr>
                    <w:widowControl/>
                    <w:jc w:val="center"/>
                    <w:rPr>
                      <w:rFonts w:eastAsiaTheme="minorEastAsia"/>
                      <w:sz w:val="18"/>
                      <w:szCs w:val="18"/>
                    </w:rPr>
                  </w:pPr>
                  <w:r>
                    <w:rPr>
                      <w:rFonts w:eastAsiaTheme="minorEastAsia"/>
                      <w:sz w:val="18"/>
                      <w:szCs w:val="18"/>
                    </w:rPr>
                    <w:t>/</w:t>
                  </w:r>
                </w:p>
              </w:tc>
            </w:tr>
            <w:tr w14:paraId="31E960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6" w:type="pct"/>
                  <w:vMerge w:val="continue"/>
                  <w:tcBorders>
                    <w:right w:val="single" w:color="auto" w:sz="4" w:space="0"/>
                  </w:tcBorders>
                  <w:vAlign w:val="center"/>
                </w:tcPr>
                <w:p w14:paraId="76C46F02">
                  <w:pPr>
                    <w:widowControl/>
                    <w:jc w:val="center"/>
                    <w:rPr>
                      <w:rFonts w:eastAsiaTheme="minorEastAsia"/>
                      <w:kern w:val="0"/>
                      <w:sz w:val="18"/>
                      <w:szCs w:val="18"/>
                    </w:rPr>
                  </w:pPr>
                </w:p>
              </w:tc>
              <w:tc>
                <w:tcPr>
                  <w:tcW w:w="404" w:type="pct"/>
                  <w:vMerge w:val="continue"/>
                  <w:tcBorders>
                    <w:left w:val="single" w:color="auto" w:sz="4" w:space="0"/>
                    <w:right w:val="single" w:color="auto" w:sz="4" w:space="0"/>
                  </w:tcBorders>
                  <w:vAlign w:val="center"/>
                </w:tcPr>
                <w:p w14:paraId="68E384CD">
                  <w:pPr>
                    <w:widowControl/>
                    <w:jc w:val="center"/>
                    <w:rPr>
                      <w:rFonts w:eastAsiaTheme="minorEastAsia"/>
                      <w:kern w:val="0"/>
                      <w:sz w:val="18"/>
                      <w:szCs w:val="18"/>
                    </w:rPr>
                  </w:pPr>
                </w:p>
              </w:tc>
              <w:tc>
                <w:tcPr>
                  <w:tcW w:w="433" w:type="pct"/>
                  <w:tcBorders>
                    <w:top w:val="single" w:color="auto" w:sz="4" w:space="0"/>
                    <w:left w:val="single" w:color="auto" w:sz="4" w:space="0"/>
                    <w:bottom w:val="single" w:color="auto" w:sz="4" w:space="0"/>
                    <w:right w:val="single" w:color="auto" w:sz="4" w:space="0"/>
                  </w:tcBorders>
                  <w:vAlign w:val="center"/>
                </w:tcPr>
                <w:p w14:paraId="7B6AAE05">
                  <w:pPr>
                    <w:widowControl/>
                    <w:jc w:val="center"/>
                    <w:rPr>
                      <w:kern w:val="0"/>
                      <w:sz w:val="18"/>
                      <w:szCs w:val="18"/>
                    </w:rPr>
                  </w:pPr>
                  <w:r>
                    <w:rPr>
                      <w:kern w:val="0"/>
                      <w:sz w:val="18"/>
                      <w:szCs w:val="18"/>
                    </w:rPr>
                    <w:t>第四次</w:t>
                  </w:r>
                </w:p>
              </w:tc>
              <w:tc>
                <w:tcPr>
                  <w:tcW w:w="321" w:type="pct"/>
                  <w:tcBorders>
                    <w:top w:val="single" w:color="auto" w:sz="4" w:space="0"/>
                    <w:left w:val="single" w:color="auto" w:sz="4" w:space="0"/>
                    <w:bottom w:val="single" w:color="auto" w:sz="4" w:space="0"/>
                    <w:right w:val="single" w:color="auto" w:sz="4" w:space="0"/>
                  </w:tcBorders>
                  <w:vAlign w:val="center"/>
                </w:tcPr>
                <w:p w14:paraId="46A2F831">
                  <w:pPr>
                    <w:widowControl/>
                    <w:jc w:val="center"/>
                    <w:rPr>
                      <w:rFonts w:eastAsia="等线"/>
                      <w:sz w:val="18"/>
                      <w:szCs w:val="18"/>
                    </w:rPr>
                  </w:pPr>
                  <w:r>
                    <w:rPr>
                      <w:rFonts w:eastAsia="等线"/>
                      <w:sz w:val="18"/>
                      <w:szCs w:val="18"/>
                    </w:rPr>
                    <w:t>7.4</w:t>
                  </w:r>
                </w:p>
              </w:tc>
              <w:tc>
                <w:tcPr>
                  <w:tcW w:w="425" w:type="pct"/>
                  <w:tcBorders>
                    <w:top w:val="single" w:color="auto" w:sz="4" w:space="0"/>
                    <w:left w:val="single" w:color="auto" w:sz="4" w:space="0"/>
                    <w:bottom w:val="single" w:color="auto" w:sz="4" w:space="0"/>
                    <w:right w:val="single" w:color="auto" w:sz="4" w:space="0"/>
                  </w:tcBorders>
                  <w:vAlign w:val="center"/>
                </w:tcPr>
                <w:p w14:paraId="75184BBC">
                  <w:pPr>
                    <w:widowControl/>
                    <w:jc w:val="center"/>
                    <w:rPr>
                      <w:rFonts w:eastAsia="等线"/>
                      <w:sz w:val="18"/>
                      <w:szCs w:val="18"/>
                    </w:rPr>
                  </w:pPr>
                  <w:r>
                    <w:rPr>
                      <w:rFonts w:eastAsia="等线"/>
                      <w:sz w:val="18"/>
                      <w:szCs w:val="18"/>
                    </w:rPr>
                    <w:t>12</w:t>
                  </w:r>
                </w:p>
              </w:tc>
              <w:tc>
                <w:tcPr>
                  <w:tcW w:w="430" w:type="pct"/>
                  <w:tcBorders>
                    <w:top w:val="single" w:color="auto" w:sz="4" w:space="0"/>
                    <w:left w:val="single" w:color="auto" w:sz="4" w:space="0"/>
                    <w:bottom w:val="single" w:color="auto" w:sz="4" w:space="0"/>
                    <w:right w:val="single" w:color="auto" w:sz="4" w:space="0"/>
                  </w:tcBorders>
                  <w:vAlign w:val="center"/>
                </w:tcPr>
                <w:p w14:paraId="401E66A1">
                  <w:pPr>
                    <w:widowControl/>
                    <w:jc w:val="center"/>
                    <w:rPr>
                      <w:rFonts w:eastAsia="等线"/>
                      <w:sz w:val="18"/>
                      <w:szCs w:val="18"/>
                    </w:rPr>
                  </w:pPr>
                  <w:r>
                    <w:rPr>
                      <w:rFonts w:eastAsia="等线"/>
                      <w:sz w:val="18"/>
                      <w:szCs w:val="18"/>
                    </w:rPr>
                    <w:t>6</w:t>
                  </w:r>
                </w:p>
              </w:tc>
              <w:tc>
                <w:tcPr>
                  <w:tcW w:w="369" w:type="pct"/>
                  <w:tcBorders>
                    <w:top w:val="single" w:color="auto" w:sz="4" w:space="0"/>
                    <w:left w:val="single" w:color="auto" w:sz="4" w:space="0"/>
                    <w:bottom w:val="single" w:color="auto" w:sz="4" w:space="0"/>
                    <w:right w:val="single" w:color="auto" w:sz="4" w:space="0"/>
                  </w:tcBorders>
                  <w:vAlign w:val="center"/>
                </w:tcPr>
                <w:p w14:paraId="695407BA">
                  <w:pPr>
                    <w:widowControl/>
                    <w:jc w:val="center"/>
                    <w:rPr>
                      <w:rFonts w:eastAsia="等线"/>
                      <w:sz w:val="18"/>
                      <w:szCs w:val="18"/>
                    </w:rPr>
                  </w:pPr>
                  <w:r>
                    <w:rPr>
                      <w:rFonts w:eastAsia="等线"/>
                      <w:sz w:val="18"/>
                      <w:szCs w:val="18"/>
                    </w:rPr>
                    <w:t>0.18</w:t>
                  </w:r>
                </w:p>
              </w:tc>
              <w:tc>
                <w:tcPr>
                  <w:tcW w:w="347" w:type="pct"/>
                  <w:tcBorders>
                    <w:top w:val="single" w:color="auto" w:sz="4" w:space="0"/>
                    <w:left w:val="single" w:color="auto" w:sz="4" w:space="0"/>
                    <w:bottom w:val="single" w:color="auto" w:sz="4" w:space="0"/>
                    <w:right w:val="single" w:color="auto" w:sz="4" w:space="0"/>
                  </w:tcBorders>
                  <w:vAlign w:val="center"/>
                </w:tcPr>
                <w:p w14:paraId="57B95139">
                  <w:pPr>
                    <w:widowControl/>
                    <w:jc w:val="center"/>
                    <w:rPr>
                      <w:rFonts w:eastAsia="等线"/>
                      <w:sz w:val="18"/>
                      <w:szCs w:val="18"/>
                    </w:rPr>
                  </w:pPr>
                  <w:r>
                    <w:rPr>
                      <w:rFonts w:eastAsia="等线"/>
                      <w:sz w:val="18"/>
                      <w:szCs w:val="18"/>
                    </w:rPr>
                    <w:t>0.13</w:t>
                  </w:r>
                </w:p>
              </w:tc>
              <w:tc>
                <w:tcPr>
                  <w:tcW w:w="356" w:type="pct"/>
                  <w:tcBorders>
                    <w:top w:val="single" w:color="auto" w:sz="4" w:space="0"/>
                    <w:left w:val="single" w:color="auto" w:sz="4" w:space="0"/>
                    <w:bottom w:val="single" w:color="auto" w:sz="4" w:space="0"/>
                    <w:right w:val="single" w:color="auto" w:sz="4" w:space="0"/>
                  </w:tcBorders>
                  <w:vAlign w:val="center"/>
                </w:tcPr>
                <w:p w14:paraId="7B6DCBB3">
                  <w:pPr>
                    <w:widowControl/>
                    <w:jc w:val="center"/>
                    <w:rPr>
                      <w:rFonts w:eastAsiaTheme="minorEastAsia"/>
                      <w:sz w:val="18"/>
                      <w:szCs w:val="18"/>
                    </w:rPr>
                  </w:pPr>
                  <w:r>
                    <w:rPr>
                      <w:rFonts w:eastAsiaTheme="minorEastAsia"/>
                      <w:sz w:val="18"/>
                      <w:szCs w:val="18"/>
                    </w:rPr>
                    <w:t>/</w:t>
                  </w:r>
                </w:p>
              </w:tc>
              <w:tc>
                <w:tcPr>
                  <w:tcW w:w="433" w:type="pct"/>
                  <w:tcBorders>
                    <w:top w:val="single" w:color="auto" w:sz="4" w:space="0"/>
                    <w:left w:val="single" w:color="auto" w:sz="4" w:space="0"/>
                    <w:bottom w:val="single" w:color="auto" w:sz="4" w:space="0"/>
                    <w:right w:val="single" w:color="auto" w:sz="4" w:space="0"/>
                  </w:tcBorders>
                  <w:vAlign w:val="center"/>
                </w:tcPr>
                <w:p w14:paraId="3E2C839E">
                  <w:pPr>
                    <w:widowControl/>
                    <w:jc w:val="center"/>
                    <w:rPr>
                      <w:rFonts w:eastAsia="等线"/>
                      <w:sz w:val="18"/>
                      <w:szCs w:val="18"/>
                    </w:rPr>
                  </w:pPr>
                  <w:r>
                    <w:rPr>
                      <w:rFonts w:eastAsia="等线"/>
                      <w:sz w:val="18"/>
                      <w:szCs w:val="18"/>
                    </w:rPr>
                    <w:t>0.23</w:t>
                  </w:r>
                </w:p>
              </w:tc>
              <w:tc>
                <w:tcPr>
                  <w:tcW w:w="374" w:type="pct"/>
                  <w:tcBorders>
                    <w:top w:val="single" w:color="auto" w:sz="4" w:space="0"/>
                    <w:left w:val="single" w:color="auto" w:sz="4" w:space="0"/>
                    <w:bottom w:val="single" w:color="auto" w:sz="4" w:space="0"/>
                    <w:right w:val="single" w:color="auto" w:sz="4" w:space="0"/>
                  </w:tcBorders>
                  <w:vAlign w:val="center"/>
                </w:tcPr>
                <w:p w14:paraId="4CC22C53">
                  <w:pPr>
                    <w:widowControl/>
                    <w:jc w:val="center"/>
                    <w:rPr>
                      <w:rFonts w:eastAsia="等线"/>
                      <w:sz w:val="18"/>
                      <w:szCs w:val="18"/>
                    </w:rPr>
                  </w:pPr>
                  <w:r>
                    <w:rPr>
                      <w:rFonts w:eastAsia="等线"/>
                      <w:sz w:val="18"/>
                      <w:szCs w:val="18"/>
                    </w:rPr>
                    <w:t>49</w:t>
                  </w:r>
                </w:p>
              </w:tc>
              <w:tc>
                <w:tcPr>
                  <w:tcW w:w="395" w:type="pct"/>
                  <w:tcBorders>
                    <w:top w:val="single" w:color="auto" w:sz="4" w:space="0"/>
                    <w:left w:val="single" w:color="auto" w:sz="4" w:space="0"/>
                    <w:bottom w:val="single" w:color="auto" w:sz="4" w:space="0"/>
                  </w:tcBorders>
                  <w:vAlign w:val="center"/>
                </w:tcPr>
                <w:p w14:paraId="502B4385">
                  <w:pPr>
                    <w:widowControl/>
                    <w:jc w:val="center"/>
                    <w:rPr>
                      <w:rFonts w:eastAsiaTheme="minorEastAsia"/>
                      <w:sz w:val="18"/>
                      <w:szCs w:val="18"/>
                    </w:rPr>
                  </w:pPr>
                  <w:r>
                    <w:rPr>
                      <w:rFonts w:eastAsiaTheme="minorEastAsia"/>
                      <w:sz w:val="18"/>
                      <w:szCs w:val="18"/>
                    </w:rPr>
                    <w:t>/</w:t>
                  </w:r>
                </w:p>
              </w:tc>
              <w:tc>
                <w:tcPr>
                  <w:tcW w:w="357" w:type="pct"/>
                  <w:tcBorders>
                    <w:top w:val="single" w:color="auto" w:sz="4" w:space="0"/>
                    <w:left w:val="single" w:color="auto" w:sz="4" w:space="0"/>
                    <w:bottom w:val="single" w:color="auto" w:sz="4" w:space="0"/>
                  </w:tcBorders>
                  <w:vAlign w:val="center"/>
                </w:tcPr>
                <w:p w14:paraId="26CA1737">
                  <w:pPr>
                    <w:widowControl/>
                    <w:jc w:val="center"/>
                    <w:rPr>
                      <w:rFonts w:eastAsiaTheme="minorEastAsia"/>
                      <w:sz w:val="18"/>
                      <w:szCs w:val="18"/>
                    </w:rPr>
                  </w:pPr>
                  <w:r>
                    <w:rPr>
                      <w:rFonts w:eastAsiaTheme="minorEastAsia"/>
                      <w:sz w:val="18"/>
                      <w:szCs w:val="18"/>
                    </w:rPr>
                    <w:t>/</w:t>
                  </w:r>
                </w:p>
              </w:tc>
            </w:tr>
            <w:tr w14:paraId="687665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6" w:type="pct"/>
                  <w:vMerge w:val="continue"/>
                  <w:tcBorders>
                    <w:right w:val="single" w:color="auto" w:sz="4" w:space="0"/>
                  </w:tcBorders>
                  <w:vAlign w:val="center"/>
                </w:tcPr>
                <w:p w14:paraId="6137B2DE">
                  <w:pPr>
                    <w:widowControl/>
                    <w:jc w:val="center"/>
                    <w:rPr>
                      <w:rFonts w:eastAsiaTheme="minorEastAsia"/>
                      <w:kern w:val="0"/>
                      <w:sz w:val="18"/>
                      <w:szCs w:val="18"/>
                    </w:rPr>
                  </w:pPr>
                </w:p>
              </w:tc>
              <w:tc>
                <w:tcPr>
                  <w:tcW w:w="404" w:type="pct"/>
                  <w:vMerge w:val="continue"/>
                  <w:tcBorders>
                    <w:left w:val="single" w:color="auto" w:sz="4" w:space="0"/>
                    <w:right w:val="single" w:color="auto" w:sz="4" w:space="0"/>
                  </w:tcBorders>
                  <w:vAlign w:val="center"/>
                </w:tcPr>
                <w:p w14:paraId="30D5E1E4">
                  <w:pPr>
                    <w:widowControl/>
                    <w:jc w:val="center"/>
                    <w:rPr>
                      <w:rFonts w:eastAsia="等线"/>
                      <w:kern w:val="0"/>
                      <w:sz w:val="18"/>
                      <w:szCs w:val="18"/>
                    </w:rPr>
                  </w:pPr>
                </w:p>
              </w:tc>
              <w:tc>
                <w:tcPr>
                  <w:tcW w:w="433" w:type="pct"/>
                  <w:tcBorders>
                    <w:top w:val="single" w:color="auto" w:sz="4" w:space="0"/>
                    <w:left w:val="single" w:color="auto" w:sz="4" w:space="0"/>
                    <w:bottom w:val="single" w:color="auto" w:sz="4" w:space="0"/>
                    <w:right w:val="single" w:color="auto" w:sz="4" w:space="0"/>
                  </w:tcBorders>
                  <w:vAlign w:val="center"/>
                </w:tcPr>
                <w:p w14:paraId="1847A93E">
                  <w:pPr>
                    <w:widowControl/>
                    <w:jc w:val="center"/>
                    <w:rPr>
                      <w:kern w:val="0"/>
                      <w:sz w:val="18"/>
                      <w:szCs w:val="18"/>
                    </w:rPr>
                  </w:pPr>
                  <w:r>
                    <w:rPr>
                      <w:kern w:val="0"/>
                      <w:sz w:val="18"/>
                      <w:szCs w:val="18"/>
                    </w:rPr>
                    <w:t>平均值</w:t>
                  </w:r>
                </w:p>
              </w:tc>
              <w:tc>
                <w:tcPr>
                  <w:tcW w:w="321" w:type="pct"/>
                  <w:tcBorders>
                    <w:top w:val="single" w:color="auto" w:sz="4" w:space="0"/>
                    <w:left w:val="single" w:color="auto" w:sz="4" w:space="0"/>
                    <w:bottom w:val="single" w:color="auto" w:sz="4" w:space="0"/>
                    <w:right w:val="single" w:color="auto" w:sz="4" w:space="0"/>
                  </w:tcBorders>
                  <w:vAlign w:val="center"/>
                </w:tcPr>
                <w:p w14:paraId="103478F5">
                  <w:pPr>
                    <w:widowControl/>
                    <w:jc w:val="center"/>
                    <w:rPr>
                      <w:rFonts w:eastAsia="等线"/>
                      <w:sz w:val="18"/>
                      <w:szCs w:val="18"/>
                    </w:rPr>
                  </w:pPr>
                  <w:r>
                    <w:rPr>
                      <w:rFonts w:eastAsia="等线"/>
                      <w:sz w:val="18"/>
                      <w:szCs w:val="18"/>
                    </w:rPr>
                    <w:t>7.3</w:t>
                  </w:r>
                </w:p>
              </w:tc>
              <w:tc>
                <w:tcPr>
                  <w:tcW w:w="425" w:type="pct"/>
                  <w:tcBorders>
                    <w:top w:val="single" w:color="auto" w:sz="4" w:space="0"/>
                    <w:left w:val="single" w:color="auto" w:sz="4" w:space="0"/>
                    <w:bottom w:val="single" w:color="auto" w:sz="4" w:space="0"/>
                    <w:right w:val="single" w:color="auto" w:sz="4" w:space="0"/>
                  </w:tcBorders>
                  <w:vAlign w:val="center"/>
                </w:tcPr>
                <w:p w14:paraId="481102C7">
                  <w:pPr>
                    <w:widowControl/>
                    <w:jc w:val="center"/>
                    <w:rPr>
                      <w:rFonts w:eastAsia="等线"/>
                      <w:sz w:val="18"/>
                      <w:szCs w:val="18"/>
                    </w:rPr>
                  </w:pPr>
                  <w:r>
                    <w:rPr>
                      <w:rFonts w:eastAsia="等线"/>
                      <w:sz w:val="18"/>
                      <w:szCs w:val="18"/>
                    </w:rPr>
                    <w:t>13</w:t>
                  </w:r>
                </w:p>
              </w:tc>
              <w:tc>
                <w:tcPr>
                  <w:tcW w:w="430" w:type="pct"/>
                  <w:tcBorders>
                    <w:top w:val="single" w:color="auto" w:sz="4" w:space="0"/>
                    <w:left w:val="single" w:color="auto" w:sz="4" w:space="0"/>
                    <w:bottom w:val="single" w:color="auto" w:sz="4" w:space="0"/>
                    <w:right w:val="single" w:color="auto" w:sz="4" w:space="0"/>
                  </w:tcBorders>
                  <w:vAlign w:val="center"/>
                </w:tcPr>
                <w:p w14:paraId="4FA479D6">
                  <w:pPr>
                    <w:widowControl/>
                    <w:jc w:val="center"/>
                    <w:rPr>
                      <w:rFonts w:eastAsia="等线"/>
                      <w:sz w:val="18"/>
                      <w:szCs w:val="18"/>
                    </w:rPr>
                  </w:pPr>
                  <w:r>
                    <w:rPr>
                      <w:rFonts w:eastAsia="等线"/>
                      <w:sz w:val="18"/>
                      <w:szCs w:val="18"/>
                    </w:rPr>
                    <w:t>6.25</w:t>
                  </w:r>
                </w:p>
              </w:tc>
              <w:tc>
                <w:tcPr>
                  <w:tcW w:w="369" w:type="pct"/>
                  <w:tcBorders>
                    <w:top w:val="single" w:color="auto" w:sz="4" w:space="0"/>
                    <w:left w:val="single" w:color="auto" w:sz="4" w:space="0"/>
                    <w:bottom w:val="single" w:color="auto" w:sz="4" w:space="0"/>
                    <w:right w:val="single" w:color="auto" w:sz="4" w:space="0"/>
                  </w:tcBorders>
                  <w:vAlign w:val="center"/>
                </w:tcPr>
                <w:p w14:paraId="73E2F602">
                  <w:pPr>
                    <w:widowControl/>
                    <w:jc w:val="center"/>
                    <w:rPr>
                      <w:rFonts w:eastAsia="等线"/>
                      <w:sz w:val="18"/>
                      <w:szCs w:val="18"/>
                    </w:rPr>
                  </w:pPr>
                  <w:r>
                    <w:rPr>
                      <w:rFonts w:eastAsia="等线"/>
                      <w:sz w:val="18"/>
                      <w:szCs w:val="18"/>
                    </w:rPr>
                    <w:t>0.22</w:t>
                  </w:r>
                </w:p>
              </w:tc>
              <w:tc>
                <w:tcPr>
                  <w:tcW w:w="347" w:type="pct"/>
                  <w:tcBorders>
                    <w:top w:val="single" w:color="auto" w:sz="4" w:space="0"/>
                    <w:left w:val="single" w:color="auto" w:sz="4" w:space="0"/>
                    <w:bottom w:val="single" w:color="auto" w:sz="4" w:space="0"/>
                    <w:right w:val="single" w:color="auto" w:sz="4" w:space="0"/>
                  </w:tcBorders>
                  <w:vAlign w:val="center"/>
                </w:tcPr>
                <w:p w14:paraId="6504A0D0">
                  <w:pPr>
                    <w:widowControl/>
                    <w:jc w:val="center"/>
                    <w:rPr>
                      <w:rFonts w:eastAsia="等线"/>
                      <w:sz w:val="18"/>
                      <w:szCs w:val="18"/>
                    </w:rPr>
                  </w:pPr>
                  <w:r>
                    <w:rPr>
                      <w:rFonts w:eastAsia="等线"/>
                      <w:sz w:val="18"/>
                      <w:szCs w:val="18"/>
                    </w:rPr>
                    <w:t>0.11</w:t>
                  </w:r>
                </w:p>
              </w:tc>
              <w:tc>
                <w:tcPr>
                  <w:tcW w:w="356" w:type="pct"/>
                  <w:tcBorders>
                    <w:top w:val="single" w:color="auto" w:sz="4" w:space="0"/>
                    <w:left w:val="single" w:color="auto" w:sz="4" w:space="0"/>
                    <w:bottom w:val="single" w:color="auto" w:sz="4" w:space="0"/>
                    <w:right w:val="single" w:color="auto" w:sz="4" w:space="0"/>
                  </w:tcBorders>
                  <w:vAlign w:val="center"/>
                </w:tcPr>
                <w:p w14:paraId="7D9A2F97">
                  <w:pPr>
                    <w:widowControl/>
                    <w:jc w:val="center"/>
                    <w:rPr>
                      <w:rFonts w:eastAsiaTheme="minorEastAsia"/>
                      <w:sz w:val="18"/>
                      <w:szCs w:val="18"/>
                    </w:rPr>
                  </w:pPr>
                  <w:r>
                    <w:rPr>
                      <w:rFonts w:eastAsiaTheme="minorEastAsia"/>
                      <w:sz w:val="18"/>
                      <w:szCs w:val="18"/>
                    </w:rPr>
                    <w:t>/</w:t>
                  </w:r>
                </w:p>
              </w:tc>
              <w:tc>
                <w:tcPr>
                  <w:tcW w:w="433" w:type="pct"/>
                  <w:tcBorders>
                    <w:top w:val="single" w:color="auto" w:sz="4" w:space="0"/>
                    <w:left w:val="single" w:color="auto" w:sz="4" w:space="0"/>
                    <w:bottom w:val="single" w:color="auto" w:sz="4" w:space="0"/>
                    <w:right w:val="single" w:color="auto" w:sz="4" w:space="0"/>
                  </w:tcBorders>
                  <w:vAlign w:val="center"/>
                </w:tcPr>
                <w:p w14:paraId="1F20A081">
                  <w:pPr>
                    <w:widowControl/>
                    <w:jc w:val="center"/>
                    <w:rPr>
                      <w:rFonts w:eastAsia="等线"/>
                      <w:sz w:val="18"/>
                      <w:szCs w:val="18"/>
                    </w:rPr>
                  </w:pPr>
                  <w:r>
                    <w:rPr>
                      <w:rFonts w:eastAsia="等线"/>
                      <w:sz w:val="18"/>
                      <w:szCs w:val="18"/>
                    </w:rPr>
                    <w:t>0.25</w:t>
                  </w:r>
                </w:p>
              </w:tc>
              <w:tc>
                <w:tcPr>
                  <w:tcW w:w="374" w:type="pct"/>
                  <w:tcBorders>
                    <w:top w:val="single" w:color="auto" w:sz="4" w:space="0"/>
                    <w:left w:val="single" w:color="auto" w:sz="4" w:space="0"/>
                    <w:bottom w:val="single" w:color="auto" w:sz="4" w:space="0"/>
                    <w:right w:val="single" w:color="auto" w:sz="4" w:space="0"/>
                  </w:tcBorders>
                  <w:vAlign w:val="center"/>
                </w:tcPr>
                <w:p w14:paraId="41BA3706">
                  <w:pPr>
                    <w:widowControl/>
                    <w:jc w:val="center"/>
                    <w:rPr>
                      <w:rFonts w:eastAsia="等线"/>
                      <w:sz w:val="18"/>
                      <w:szCs w:val="18"/>
                    </w:rPr>
                  </w:pPr>
                  <w:r>
                    <w:rPr>
                      <w:rFonts w:eastAsia="等线"/>
                      <w:sz w:val="18"/>
                      <w:szCs w:val="18"/>
                    </w:rPr>
                    <w:t>48</w:t>
                  </w:r>
                </w:p>
              </w:tc>
              <w:tc>
                <w:tcPr>
                  <w:tcW w:w="395" w:type="pct"/>
                  <w:tcBorders>
                    <w:top w:val="single" w:color="auto" w:sz="4" w:space="0"/>
                    <w:left w:val="single" w:color="auto" w:sz="4" w:space="0"/>
                    <w:bottom w:val="single" w:color="auto" w:sz="4" w:space="0"/>
                  </w:tcBorders>
                  <w:vAlign w:val="center"/>
                </w:tcPr>
                <w:p w14:paraId="1FDDC9EF">
                  <w:pPr>
                    <w:widowControl/>
                    <w:jc w:val="center"/>
                    <w:rPr>
                      <w:rFonts w:eastAsiaTheme="minorEastAsia"/>
                      <w:sz w:val="18"/>
                      <w:szCs w:val="18"/>
                    </w:rPr>
                  </w:pPr>
                  <w:r>
                    <w:rPr>
                      <w:rFonts w:eastAsiaTheme="minorEastAsia"/>
                      <w:sz w:val="18"/>
                      <w:szCs w:val="18"/>
                    </w:rPr>
                    <w:t>/</w:t>
                  </w:r>
                </w:p>
              </w:tc>
              <w:tc>
                <w:tcPr>
                  <w:tcW w:w="357" w:type="pct"/>
                  <w:tcBorders>
                    <w:top w:val="single" w:color="auto" w:sz="4" w:space="0"/>
                    <w:left w:val="single" w:color="auto" w:sz="4" w:space="0"/>
                    <w:bottom w:val="single" w:color="auto" w:sz="4" w:space="0"/>
                  </w:tcBorders>
                  <w:vAlign w:val="center"/>
                </w:tcPr>
                <w:p w14:paraId="1A9886C1">
                  <w:pPr>
                    <w:widowControl/>
                    <w:jc w:val="center"/>
                    <w:rPr>
                      <w:rFonts w:eastAsiaTheme="minorEastAsia"/>
                      <w:sz w:val="18"/>
                      <w:szCs w:val="18"/>
                    </w:rPr>
                  </w:pPr>
                  <w:r>
                    <w:rPr>
                      <w:rFonts w:eastAsiaTheme="minorEastAsia"/>
                      <w:sz w:val="18"/>
                      <w:szCs w:val="18"/>
                    </w:rPr>
                    <w:t>/</w:t>
                  </w:r>
                </w:p>
              </w:tc>
            </w:tr>
            <w:tr w14:paraId="32EEA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6" w:type="pct"/>
                  <w:vMerge w:val="continue"/>
                  <w:tcBorders>
                    <w:right w:val="single" w:color="auto" w:sz="4" w:space="0"/>
                  </w:tcBorders>
                  <w:vAlign w:val="center"/>
                </w:tcPr>
                <w:p w14:paraId="210F230D">
                  <w:pPr>
                    <w:widowControl/>
                    <w:jc w:val="center"/>
                    <w:rPr>
                      <w:rFonts w:eastAsiaTheme="minorEastAsia"/>
                      <w:kern w:val="0"/>
                      <w:sz w:val="18"/>
                      <w:szCs w:val="18"/>
                    </w:rPr>
                  </w:pPr>
                </w:p>
              </w:tc>
              <w:tc>
                <w:tcPr>
                  <w:tcW w:w="404" w:type="pct"/>
                  <w:vMerge w:val="restart"/>
                  <w:tcBorders>
                    <w:top w:val="single" w:color="auto" w:sz="4" w:space="0"/>
                    <w:left w:val="single" w:color="auto" w:sz="4" w:space="0"/>
                    <w:right w:val="single" w:color="auto" w:sz="4" w:space="0"/>
                  </w:tcBorders>
                  <w:vAlign w:val="center"/>
                </w:tcPr>
                <w:p w14:paraId="5CC06B35">
                  <w:pPr>
                    <w:widowControl/>
                    <w:jc w:val="center"/>
                    <w:rPr>
                      <w:rFonts w:eastAsia="等线"/>
                      <w:kern w:val="0"/>
                      <w:sz w:val="18"/>
                      <w:szCs w:val="18"/>
                    </w:rPr>
                  </w:pPr>
                  <w:r>
                    <w:rPr>
                      <w:rFonts w:eastAsia="等线"/>
                      <w:kern w:val="0"/>
                      <w:sz w:val="18"/>
                      <w:szCs w:val="18"/>
                    </w:rPr>
                    <w:t>2024.</w:t>
                  </w:r>
                </w:p>
                <w:p w14:paraId="5CDDC704">
                  <w:pPr>
                    <w:widowControl/>
                    <w:jc w:val="center"/>
                    <w:rPr>
                      <w:rFonts w:eastAsiaTheme="minorEastAsia"/>
                      <w:kern w:val="0"/>
                      <w:sz w:val="18"/>
                      <w:szCs w:val="18"/>
                    </w:rPr>
                  </w:pPr>
                  <w:r>
                    <w:rPr>
                      <w:rFonts w:eastAsia="等线"/>
                      <w:kern w:val="0"/>
                      <w:sz w:val="18"/>
                      <w:szCs w:val="18"/>
                    </w:rPr>
                    <w:t>9.13</w:t>
                  </w:r>
                </w:p>
              </w:tc>
              <w:tc>
                <w:tcPr>
                  <w:tcW w:w="433" w:type="pct"/>
                  <w:tcBorders>
                    <w:top w:val="single" w:color="auto" w:sz="4" w:space="0"/>
                    <w:left w:val="single" w:color="auto" w:sz="4" w:space="0"/>
                    <w:bottom w:val="single" w:color="auto" w:sz="4" w:space="0"/>
                    <w:right w:val="single" w:color="auto" w:sz="4" w:space="0"/>
                  </w:tcBorders>
                  <w:vAlign w:val="center"/>
                </w:tcPr>
                <w:p w14:paraId="4328BA79">
                  <w:pPr>
                    <w:widowControl/>
                    <w:jc w:val="center"/>
                    <w:rPr>
                      <w:kern w:val="0"/>
                      <w:sz w:val="18"/>
                      <w:szCs w:val="18"/>
                    </w:rPr>
                  </w:pPr>
                  <w:r>
                    <w:rPr>
                      <w:kern w:val="0"/>
                      <w:sz w:val="18"/>
                      <w:szCs w:val="18"/>
                    </w:rPr>
                    <w:t>第一次</w:t>
                  </w:r>
                </w:p>
              </w:tc>
              <w:tc>
                <w:tcPr>
                  <w:tcW w:w="321" w:type="pct"/>
                  <w:tcBorders>
                    <w:top w:val="single" w:color="auto" w:sz="4" w:space="0"/>
                    <w:left w:val="single" w:color="auto" w:sz="4" w:space="0"/>
                    <w:bottom w:val="single" w:color="auto" w:sz="4" w:space="0"/>
                    <w:right w:val="single" w:color="auto" w:sz="4" w:space="0"/>
                  </w:tcBorders>
                  <w:vAlign w:val="center"/>
                </w:tcPr>
                <w:p w14:paraId="0C867B84">
                  <w:pPr>
                    <w:widowControl/>
                    <w:jc w:val="center"/>
                    <w:rPr>
                      <w:rFonts w:eastAsia="等线"/>
                      <w:sz w:val="18"/>
                      <w:szCs w:val="18"/>
                    </w:rPr>
                  </w:pPr>
                  <w:r>
                    <w:rPr>
                      <w:rFonts w:eastAsia="等线"/>
                      <w:sz w:val="18"/>
                      <w:szCs w:val="18"/>
                    </w:rPr>
                    <w:t>7</w:t>
                  </w:r>
                </w:p>
              </w:tc>
              <w:tc>
                <w:tcPr>
                  <w:tcW w:w="425" w:type="pct"/>
                  <w:tcBorders>
                    <w:top w:val="single" w:color="auto" w:sz="4" w:space="0"/>
                    <w:left w:val="single" w:color="auto" w:sz="4" w:space="0"/>
                    <w:bottom w:val="single" w:color="auto" w:sz="4" w:space="0"/>
                    <w:right w:val="single" w:color="auto" w:sz="4" w:space="0"/>
                  </w:tcBorders>
                  <w:vAlign w:val="center"/>
                </w:tcPr>
                <w:p w14:paraId="1E3D3C57">
                  <w:pPr>
                    <w:widowControl/>
                    <w:jc w:val="center"/>
                    <w:rPr>
                      <w:rFonts w:eastAsia="等线"/>
                      <w:sz w:val="18"/>
                      <w:szCs w:val="18"/>
                    </w:rPr>
                  </w:pPr>
                  <w:r>
                    <w:rPr>
                      <w:rFonts w:eastAsia="等线"/>
                      <w:sz w:val="18"/>
                      <w:szCs w:val="18"/>
                    </w:rPr>
                    <w:t>12</w:t>
                  </w:r>
                </w:p>
              </w:tc>
              <w:tc>
                <w:tcPr>
                  <w:tcW w:w="430" w:type="pct"/>
                  <w:tcBorders>
                    <w:top w:val="single" w:color="auto" w:sz="4" w:space="0"/>
                    <w:left w:val="single" w:color="auto" w:sz="4" w:space="0"/>
                    <w:bottom w:val="single" w:color="auto" w:sz="4" w:space="0"/>
                    <w:right w:val="single" w:color="auto" w:sz="4" w:space="0"/>
                  </w:tcBorders>
                  <w:vAlign w:val="center"/>
                </w:tcPr>
                <w:p w14:paraId="2E4090BA">
                  <w:pPr>
                    <w:widowControl/>
                    <w:jc w:val="center"/>
                    <w:rPr>
                      <w:rFonts w:eastAsia="等线"/>
                      <w:sz w:val="18"/>
                      <w:szCs w:val="18"/>
                    </w:rPr>
                  </w:pPr>
                  <w:r>
                    <w:rPr>
                      <w:rFonts w:eastAsia="等线"/>
                      <w:sz w:val="18"/>
                      <w:szCs w:val="18"/>
                    </w:rPr>
                    <w:t>6</w:t>
                  </w:r>
                </w:p>
              </w:tc>
              <w:tc>
                <w:tcPr>
                  <w:tcW w:w="369" w:type="pct"/>
                  <w:tcBorders>
                    <w:top w:val="single" w:color="auto" w:sz="4" w:space="0"/>
                    <w:left w:val="single" w:color="auto" w:sz="4" w:space="0"/>
                    <w:bottom w:val="single" w:color="auto" w:sz="4" w:space="0"/>
                    <w:right w:val="single" w:color="auto" w:sz="4" w:space="0"/>
                  </w:tcBorders>
                  <w:vAlign w:val="center"/>
                </w:tcPr>
                <w:p w14:paraId="7DFCEF1B">
                  <w:pPr>
                    <w:widowControl/>
                    <w:jc w:val="center"/>
                    <w:rPr>
                      <w:rFonts w:eastAsia="等线"/>
                      <w:sz w:val="18"/>
                      <w:szCs w:val="18"/>
                    </w:rPr>
                  </w:pPr>
                  <w:r>
                    <w:rPr>
                      <w:rFonts w:eastAsia="等线"/>
                      <w:sz w:val="18"/>
                      <w:szCs w:val="18"/>
                    </w:rPr>
                    <w:t>0.18</w:t>
                  </w:r>
                </w:p>
              </w:tc>
              <w:tc>
                <w:tcPr>
                  <w:tcW w:w="347" w:type="pct"/>
                  <w:tcBorders>
                    <w:top w:val="single" w:color="auto" w:sz="4" w:space="0"/>
                    <w:left w:val="single" w:color="auto" w:sz="4" w:space="0"/>
                    <w:bottom w:val="single" w:color="auto" w:sz="4" w:space="0"/>
                    <w:right w:val="single" w:color="auto" w:sz="4" w:space="0"/>
                  </w:tcBorders>
                  <w:vAlign w:val="center"/>
                </w:tcPr>
                <w:p w14:paraId="6B6DE035">
                  <w:pPr>
                    <w:widowControl/>
                    <w:jc w:val="center"/>
                    <w:rPr>
                      <w:rFonts w:eastAsia="等线"/>
                      <w:sz w:val="18"/>
                      <w:szCs w:val="18"/>
                    </w:rPr>
                  </w:pPr>
                  <w:r>
                    <w:rPr>
                      <w:rFonts w:eastAsia="等线"/>
                      <w:sz w:val="18"/>
                      <w:szCs w:val="18"/>
                    </w:rPr>
                    <w:t>0.08</w:t>
                  </w:r>
                </w:p>
              </w:tc>
              <w:tc>
                <w:tcPr>
                  <w:tcW w:w="356" w:type="pct"/>
                  <w:tcBorders>
                    <w:top w:val="single" w:color="auto" w:sz="4" w:space="0"/>
                    <w:left w:val="single" w:color="auto" w:sz="4" w:space="0"/>
                    <w:bottom w:val="single" w:color="auto" w:sz="4" w:space="0"/>
                    <w:right w:val="single" w:color="auto" w:sz="4" w:space="0"/>
                  </w:tcBorders>
                  <w:vAlign w:val="center"/>
                </w:tcPr>
                <w:p w14:paraId="713F45C4">
                  <w:pPr>
                    <w:widowControl/>
                    <w:jc w:val="center"/>
                    <w:rPr>
                      <w:rFonts w:eastAsiaTheme="minorEastAsia"/>
                      <w:sz w:val="18"/>
                      <w:szCs w:val="18"/>
                    </w:rPr>
                  </w:pPr>
                  <w:r>
                    <w:rPr>
                      <w:rFonts w:eastAsiaTheme="minorEastAsia"/>
                      <w:sz w:val="18"/>
                      <w:szCs w:val="18"/>
                    </w:rPr>
                    <w:t>/</w:t>
                  </w:r>
                </w:p>
              </w:tc>
              <w:tc>
                <w:tcPr>
                  <w:tcW w:w="433" w:type="pct"/>
                  <w:tcBorders>
                    <w:top w:val="single" w:color="auto" w:sz="4" w:space="0"/>
                    <w:left w:val="single" w:color="auto" w:sz="4" w:space="0"/>
                    <w:bottom w:val="single" w:color="auto" w:sz="4" w:space="0"/>
                    <w:right w:val="single" w:color="auto" w:sz="4" w:space="0"/>
                  </w:tcBorders>
                  <w:vAlign w:val="center"/>
                </w:tcPr>
                <w:p w14:paraId="23645B6D">
                  <w:pPr>
                    <w:widowControl/>
                    <w:jc w:val="center"/>
                    <w:rPr>
                      <w:rFonts w:eastAsia="等线"/>
                      <w:sz w:val="18"/>
                      <w:szCs w:val="18"/>
                    </w:rPr>
                  </w:pPr>
                  <w:r>
                    <w:rPr>
                      <w:rFonts w:eastAsia="等线"/>
                      <w:sz w:val="18"/>
                      <w:szCs w:val="18"/>
                    </w:rPr>
                    <w:t>0.25</w:t>
                  </w:r>
                </w:p>
              </w:tc>
              <w:tc>
                <w:tcPr>
                  <w:tcW w:w="374" w:type="pct"/>
                  <w:tcBorders>
                    <w:top w:val="single" w:color="auto" w:sz="4" w:space="0"/>
                    <w:left w:val="single" w:color="auto" w:sz="4" w:space="0"/>
                    <w:bottom w:val="single" w:color="auto" w:sz="4" w:space="0"/>
                    <w:right w:val="single" w:color="auto" w:sz="4" w:space="0"/>
                  </w:tcBorders>
                  <w:vAlign w:val="center"/>
                </w:tcPr>
                <w:p w14:paraId="5C143BBD">
                  <w:pPr>
                    <w:widowControl/>
                    <w:jc w:val="center"/>
                    <w:rPr>
                      <w:rFonts w:eastAsia="等线"/>
                      <w:sz w:val="18"/>
                      <w:szCs w:val="18"/>
                    </w:rPr>
                  </w:pPr>
                  <w:r>
                    <w:rPr>
                      <w:rFonts w:eastAsia="等线"/>
                      <w:sz w:val="18"/>
                      <w:szCs w:val="18"/>
                    </w:rPr>
                    <w:t>45</w:t>
                  </w:r>
                </w:p>
              </w:tc>
              <w:tc>
                <w:tcPr>
                  <w:tcW w:w="395" w:type="pct"/>
                  <w:tcBorders>
                    <w:top w:val="single" w:color="auto" w:sz="4" w:space="0"/>
                    <w:left w:val="single" w:color="auto" w:sz="4" w:space="0"/>
                    <w:bottom w:val="single" w:color="auto" w:sz="4" w:space="0"/>
                  </w:tcBorders>
                  <w:vAlign w:val="center"/>
                </w:tcPr>
                <w:p w14:paraId="0F44A505">
                  <w:pPr>
                    <w:widowControl/>
                    <w:jc w:val="center"/>
                    <w:rPr>
                      <w:rFonts w:eastAsiaTheme="minorEastAsia"/>
                      <w:sz w:val="18"/>
                      <w:szCs w:val="18"/>
                    </w:rPr>
                  </w:pPr>
                  <w:r>
                    <w:rPr>
                      <w:rFonts w:eastAsiaTheme="minorEastAsia"/>
                      <w:sz w:val="18"/>
                      <w:szCs w:val="18"/>
                    </w:rPr>
                    <w:t>/</w:t>
                  </w:r>
                </w:p>
              </w:tc>
              <w:tc>
                <w:tcPr>
                  <w:tcW w:w="357" w:type="pct"/>
                  <w:tcBorders>
                    <w:top w:val="single" w:color="auto" w:sz="4" w:space="0"/>
                    <w:left w:val="single" w:color="auto" w:sz="4" w:space="0"/>
                    <w:bottom w:val="single" w:color="auto" w:sz="4" w:space="0"/>
                  </w:tcBorders>
                  <w:vAlign w:val="center"/>
                </w:tcPr>
                <w:p w14:paraId="577B5EBF">
                  <w:pPr>
                    <w:widowControl/>
                    <w:jc w:val="center"/>
                    <w:rPr>
                      <w:rFonts w:eastAsiaTheme="minorEastAsia"/>
                      <w:sz w:val="18"/>
                      <w:szCs w:val="18"/>
                    </w:rPr>
                  </w:pPr>
                  <w:r>
                    <w:rPr>
                      <w:rFonts w:eastAsiaTheme="minorEastAsia"/>
                      <w:sz w:val="18"/>
                      <w:szCs w:val="18"/>
                    </w:rPr>
                    <w:t>/</w:t>
                  </w:r>
                </w:p>
              </w:tc>
            </w:tr>
            <w:tr w14:paraId="7F6112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6" w:type="pct"/>
                  <w:vMerge w:val="continue"/>
                  <w:tcBorders>
                    <w:right w:val="single" w:color="auto" w:sz="4" w:space="0"/>
                  </w:tcBorders>
                  <w:vAlign w:val="center"/>
                </w:tcPr>
                <w:p w14:paraId="095C0EDB">
                  <w:pPr>
                    <w:widowControl/>
                    <w:jc w:val="center"/>
                    <w:rPr>
                      <w:rFonts w:eastAsiaTheme="minorEastAsia"/>
                      <w:kern w:val="0"/>
                      <w:sz w:val="18"/>
                      <w:szCs w:val="18"/>
                    </w:rPr>
                  </w:pPr>
                </w:p>
              </w:tc>
              <w:tc>
                <w:tcPr>
                  <w:tcW w:w="404" w:type="pct"/>
                  <w:vMerge w:val="continue"/>
                  <w:tcBorders>
                    <w:left w:val="single" w:color="auto" w:sz="4" w:space="0"/>
                    <w:right w:val="single" w:color="auto" w:sz="4" w:space="0"/>
                  </w:tcBorders>
                  <w:vAlign w:val="center"/>
                </w:tcPr>
                <w:p w14:paraId="2BB29A10">
                  <w:pPr>
                    <w:widowControl/>
                    <w:jc w:val="center"/>
                    <w:rPr>
                      <w:rFonts w:eastAsia="等线"/>
                      <w:kern w:val="0"/>
                      <w:sz w:val="18"/>
                      <w:szCs w:val="18"/>
                    </w:rPr>
                  </w:pPr>
                </w:p>
              </w:tc>
              <w:tc>
                <w:tcPr>
                  <w:tcW w:w="433" w:type="pct"/>
                  <w:tcBorders>
                    <w:top w:val="single" w:color="auto" w:sz="4" w:space="0"/>
                    <w:left w:val="single" w:color="auto" w:sz="4" w:space="0"/>
                    <w:bottom w:val="single" w:color="auto" w:sz="4" w:space="0"/>
                    <w:right w:val="single" w:color="auto" w:sz="4" w:space="0"/>
                  </w:tcBorders>
                  <w:vAlign w:val="center"/>
                </w:tcPr>
                <w:p w14:paraId="7DCD1B9F">
                  <w:pPr>
                    <w:widowControl/>
                    <w:jc w:val="center"/>
                    <w:rPr>
                      <w:kern w:val="0"/>
                      <w:sz w:val="18"/>
                      <w:szCs w:val="18"/>
                    </w:rPr>
                  </w:pPr>
                  <w:r>
                    <w:rPr>
                      <w:kern w:val="0"/>
                      <w:sz w:val="18"/>
                      <w:szCs w:val="18"/>
                    </w:rPr>
                    <w:t>第二次</w:t>
                  </w:r>
                </w:p>
              </w:tc>
              <w:tc>
                <w:tcPr>
                  <w:tcW w:w="321" w:type="pct"/>
                  <w:tcBorders>
                    <w:top w:val="single" w:color="auto" w:sz="4" w:space="0"/>
                    <w:left w:val="single" w:color="auto" w:sz="4" w:space="0"/>
                    <w:bottom w:val="single" w:color="auto" w:sz="4" w:space="0"/>
                    <w:right w:val="single" w:color="auto" w:sz="4" w:space="0"/>
                  </w:tcBorders>
                  <w:vAlign w:val="center"/>
                </w:tcPr>
                <w:p w14:paraId="40A98B5D">
                  <w:pPr>
                    <w:widowControl/>
                    <w:jc w:val="center"/>
                    <w:rPr>
                      <w:rFonts w:eastAsia="等线"/>
                      <w:sz w:val="18"/>
                      <w:szCs w:val="18"/>
                    </w:rPr>
                  </w:pPr>
                  <w:r>
                    <w:rPr>
                      <w:rFonts w:eastAsia="等线"/>
                      <w:sz w:val="18"/>
                      <w:szCs w:val="18"/>
                    </w:rPr>
                    <w:t>7.1</w:t>
                  </w:r>
                </w:p>
              </w:tc>
              <w:tc>
                <w:tcPr>
                  <w:tcW w:w="425" w:type="pct"/>
                  <w:tcBorders>
                    <w:top w:val="single" w:color="auto" w:sz="4" w:space="0"/>
                    <w:left w:val="single" w:color="auto" w:sz="4" w:space="0"/>
                    <w:bottom w:val="single" w:color="auto" w:sz="4" w:space="0"/>
                    <w:right w:val="single" w:color="auto" w:sz="4" w:space="0"/>
                  </w:tcBorders>
                  <w:vAlign w:val="center"/>
                </w:tcPr>
                <w:p w14:paraId="43543824">
                  <w:pPr>
                    <w:widowControl/>
                    <w:jc w:val="center"/>
                    <w:rPr>
                      <w:rFonts w:eastAsia="等线"/>
                      <w:sz w:val="18"/>
                      <w:szCs w:val="18"/>
                    </w:rPr>
                  </w:pPr>
                  <w:r>
                    <w:rPr>
                      <w:rFonts w:eastAsia="等线"/>
                      <w:sz w:val="18"/>
                      <w:szCs w:val="18"/>
                    </w:rPr>
                    <w:t>10</w:t>
                  </w:r>
                </w:p>
              </w:tc>
              <w:tc>
                <w:tcPr>
                  <w:tcW w:w="430" w:type="pct"/>
                  <w:tcBorders>
                    <w:top w:val="single" w:color="auto" w:sz="4" w:space="0"/>
                    <w:left w:val="single" w:color="auto" w:sz="4" w:space="0"/>
                    <w:bottom w:val="single" w:color="auto" w:sz="4" w:space="0"/>
                    <w:right w:val="single" w:color="auto" w:sz="4" w:space="0"/>
                  </w:tcBorders>
                  <w:vAlign w:val="center"/>
                </w:tcPr>
                <w:p w14:paraId="10FA9040">
                  <w:pPr>
                    <w:widowControl/>
                    <w:jc w:val="center"/>
                    <w:rPr>
                      <w:rFonts w:eastAsia="等线"/>
                      <w:sz w:val="18"/>
                      <w:szCs w:val="18"/>
                    </w:rPr>
                  </w:pPr>
                  <w:r>
                    <w:rPr>
                      <w:rFonts w:eastAsia="等线"/>
                      <w:sz w:val="18"/>
                      <w:szCs w:val="18"/>
                    </w:rPr>
                    <w:t>7</w:t>
                  </w:r>
                </w:p>
              </w:tc>
              <w:tc>
                <w:tcPr>
                  <w:tcW w:w="369" w:type="pct"/>
                  <w:tcBorders>
                    <w:top w:val="single" w:color="auto" w:sz="4" w:space="0"/>
                    <w:left w:val="single" w:color="auto" w:sz="4" w:space="0"/>
                    <w:bottom w:val="single" w:color="auto" w:sz="4" w:space="0"/>
                    <w:right w:val="single" w:color="auto" w:sz="4" w:space="0"/>
                  </w:tcBorders>
                  <w:vAlign w:val="center"/>
                </w:tcPr>
                <w:p w14:paraId="777CB28D">
                  <w:pPr>
                    <w:widowControl/>
                    <w:jc w:val="center"/>
                    <w:rPr>
                      <w:rFonts w:eastAsia="等线"/>
                      <w:sz w:val="18"/>
                      <w:szCs w:val="18"/>
                    </w:rPr>
                  </w:pPr>
                  <w:r>
                    <w:rPr>
                      <w:rFonts w:eastAsia="等线"/>
                      <w:sz w:val="18"/>
                      <w:szCs w:val="18"/>
                    </w:rPr>
                    <w:t>0.21</w:t>
                  </w:r>
                </w:p>
              </w:tc>
              <w:tc>
                <w:tcPr>
                  <w:tcW w:w="347" w:type="pct"/>
                  <w:tcBorders>
                    <w:top w:val="single" w:color="auto" w:sz="4" w:space="0"/>
                    <w:left w:val="single" w:color="auto" w:sz="4" w:space="0"/>
                    <w:bottom w:val="single" w:color="auto" w:sz="4" w:space="0"/>
                    <w:right w:val="single" w:color="auto" w:sz="4" w:space="0"/>
                  </w:tcBorders>
                  <w:vAlign w:val="center"/>
                </w:tcPr>
                <w:p w14:paraId="05DABA1F">
                  <w:pPr>
                    <w:widowControl/>
                    <w:jc w:val="center"/>
                    <w:rPr>
                      <w:rFonts w:eastAsia="等线"/>
                      <w:sz w:val="18"/>
                      <w:szCs w:val="18"/>
                    </w:rPr>
                  </w:pPr>
                  <w:r>
                    <w:rPr>
                      <w:rFonts w:eastAsia="等线"/>
                      <w:sz w:val="18"/>
                      <w:szCs w:val="18"/>
                    </w:rPr>
                    <w:t>0.11</w:t>
                  </w:r>
                </w:p>
              </w:tc>
              <w:tc>
                <w:tcPr>
                  <w:tcW w:w="356" w:type="pct"/>
                  <w:tcBorders>
                    <w:top w:val="single" w:color="auto" w:sz="4" w:space="0"/>
                    <w:left w:val="single" w:color="auto" w:sz="4" w:space="0"/>
                    <w:bottom w:val="single" w:color="auto" w:sz="4" w:space="0"/>
                    <w:right w:val="single" w:color="auto" w:sz="4" w:space="0"/>
                  </w:tcBorders>
                  <w:vAlign w:val="center"/>
                </w:tcPr>
                <w:p w14:paraId="3322E425">
                  <w:pPr>
                    <w:widowControl/>
                    <w:jc w:val="center"/>
                    <w:rPr>
                      <w:rFonts w:eastAsiaTheme="minorEastAsia"/>
                      <w:sz w:val="18"/>
                      <w:szCs w:val="18"/>
                    </w:rPr>
                  </w:pPr>
                  <w:r>
                    <w:rPr>
                      <w:rFonts w:eastAsiaTheme="minorEastAsia"/>
                      <w:sz w:val="18"/>
                      <w:szCs w:val="18"/>
                    </w:rPr>
                    <w:t>/</w:t>
                  </w:r>
                </w:p>
              </w:tc>
              <w:tc>
                <w:tcPr>
                  <w:tcW w:w="433" w:type="pct"/>
                  <w:tcBorders>
                    <w:top w:val="single" w:color="auto" w:sz="4" w:space="0"/>
                    <w:left w:val="single" w:color="auto" w:sz="4" w:space="0"/>
                    <w:bottom w:val="single" w:color="auto" w:sz="4" w:space="0"/>
                    <w:right w:val="single" w:color="auto" w:sz="4" w:space="0"/>
                  </w:tcBorders>
                  <w:vAlign w:val="center"/>
                </w:tcPr>
                <w:p w14:paraId="5C9731B6">
                  <w:pPr>
                    <w:widowControl/>
                    <w:jc w:val="center"/>
                    <w:rPr>
                      <w:rFonts w:eastAsia="等线"/>
                      <w:sz w:val="18"/>
                      <w:szCs w:val="18"/>
                    </w:rPr>
                  </w:pPr>
                  <w:r>
                    <w:rPr>
                      <w:rFonts w:eastAsia="等线"/>
                      <w:sz w:val="18"/>
                      <w:szCs w:val="18"/>
                    </w:rPr>
                    <w:t>0.20</w:t>
                  </w:r>
                </w:p>
              </w:tc>
              <w:tc>
                <w:tcPr>
                  <w:tcW w:w="374" w:type="pct"/>
                  <w:tcBorders>
                    <w:top w:val="single" w:color="auto" w:sz="4" w:space="0"/>
                    <w:left w:val="single" w:color="auto" w:sz="4" w:space="0"/>
                    <w:bottom w:val="single" w:color="auto" w:sz="4" w:space="0"/>
                    <w:right w:val="single" w:color="auto" w:sz="4" w:space="0"/>
                  </w:tcBorders>
                  <w:vAlign w:val="center"/>
                </w:tcPr>
                <w:p w14:paraId="2F5AFDE4">
                  <w:pPr>
                    <w:widowControl/>
                    <w:jc w:val="center"/>
                    <w:rPr>
                      <w:rFonts w:eastAsia="等线"/>
                      <w:sz w:val="18"/>
                      <w:szCs w:val="18"/>
                    </w:rPr>
                  </w:pPr>
                  <w:r>
                    <w:rPr>
                      <w:rFonts w:eastAsia="等线"/>
                      <w:sz w:val="18"/>
                      <w:szCs w:val="18"/>
                    </w:rPr>
                    <w:t>44</w:t>
                  </w:r>
                </w:p>
              </w:tc>
              <w:tc>
                <w:tcPr>
                  <w:tcW w:w="395" w:type="pct"/>
                  <w:tcBorders>
                    <w:top w:val="single" w:color="auto" w:sz="4" w:space="0"/>
                    <w:left w:val="single" w:color="auto" w:sz="4" w:space="0"/>
                    <w:bottom w:val="single" w:color="auto" w:sz="4" w:space="0"/>
                  </w:tcBorders>
                  <w:vAlign w:val="center"/>
                </w:tcPr>
                <w:p w14:paraId="50CAE773">
                  <w:pPr>
                    <w:widowControl/>
                    <w:jc w:val="center"/>
                    <w:rPr>
                      <w:rFonts w:eastAsiaTheme="minorEastAsia"/>
                      <w:sz w:val="18"/>
                      <w:szCs w:val="18"/>
                    </w:rPr>
                  </w:pPr>
                  <w:r>
                    <w:rPr>
                      <w:rFonts w:eastAsiaTheme="minorEastAsia"/>
                      <w:sz w:val="18"/>
                      <w:szCs w:val="18"/>
                    </w:rPr>
                    <w:t>/</w:t>
                  </w:r>
                </w:p>
              </w:tc>
              <w:tc>
                <w:tcPr>
                  <w:tcW w:w="357" w:type="pct"/>
                  <w:tcBorders>
                    <w:top w:val="single" w:color="auto" w:sz="4" w:space="0"/>
                    <w:left w:val="single" w:color="auto" w:sz="4" w:space="0"/>
                    <w:bottom w:val="single" w:color="auto" w:sz="4" w:space="0"/>
                  </w:tcBorders>
                  <w:vAlign w:val="center"/>
                </w:tcPr>
                <w:p w14:paraId="131DF588">
                  <w:pPr>
                    <w:widowControl/>
                    <w:jc w:val="center"/>
                    <w:rPr>
                      <w:rFonts w:eastAsiaTheme="minorEastAsia"/>
                      <w:sz w:val="18"/>
                      <w:szCs w:val="18"/>
                    </w:rPr>
                  </w:pPr>
                  <w:r>
                    <w:rPr>
                      <w:rFonts w:eastAsiaTheme="minorEastAsia"/>
                      <w:sz w:val="18"/>
                      <w:szCs w:val="18"/>
                    </w:rPr>
                    <w:t>/</w:t>
                  </w:r>
                </w:p>
              </w:tc>
            </w:tr>
            <w:tr w14:paraId="446AC4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0" w:hRule="atLeast"/>
              </w:trPr>
              <w:tc>
                <w:tcPr>
                  <w:tcW w:w="356" w:type="pct"/>
                  <w:vMerge w:val="continue"/>
                  <w:tcBorders>
                    <w:right w:val="single" w:color="auto" w:sz="4" w:space="0"/>
                  </w:tcBorders>
                  <w:vAlign w:val="center"/>
                </w:tcPr>
                <w:p w14:paraId="4A04771C">
                  <w:pPr>
                    <w:widowControl/>
                    <w:jc w:val="center"/>
                    <w:rPr>
                      <w:rFonts w:eastAsiaTheme="minorEastAsia"/>
                      <w:kern w:val="0"/>
                      <w:sz w:val="18"/>
                      <w:szCs w:val="18"/>
                    </w:rPr>
                  </w:pPr>
                </w:p>
              </w:tc>
              <w:tc>
                <w:tcPr>
                  <w:tcW w:w="404" w:type="pct"/>
                  <w:vMerge w:val="continue"/>
                  <w:tcBorders>
                    <w:left w:val="single" w:color="auto" w:sz="4" w:space="0"/>
                    <w:right w:val="single" w:color="auto" w:sz="4" w:space="0"/>
                  </w:tcBorders>
                  <w:vAlign w:val="center"/>
                </w:tcPr>
                <w:p w14:paraId="285A50C1">
                  <w:pPr>
                    <w:widowControl/>
                    <w:jc w:val="center"/>
                    <w:rPr>
                      <w:rFonts w:eastAsia="等线"/>
                      <w:kern w:val="0"/>
                      <w:sz w:val="18"/>
                      <w:szCs w:val="18"/>
                    </w:rPr>
                  </w:pPr>
                </w:p>
              </w:tc>
              <w:tc>
                <w:tcPr>
                  <w:tcW w:w="433" w:type="pct"/>
                  <w:tcBorders>
                    <w:top w:val="single" w:color="auto" w:sz="4" w:space="0"/>
                    <w:left w:val="single" w:color="auto" w:sz="4" w:space="0"/>
                    <w:bottom w:val="single" w:color="auto" w:sz="4" w:space="0"/>
                    <w:right w:val="single" w:color="auto" w:sz="4" w:space="0"/>
                  </w:tcBorders>
                  <w:vAlign w:val="center"/>
                </w:tcPr>
                <w:p w14:paraId="2BD8BEF3">
                  <w:pPr>
                    <w:widowControl/>
                    <w:jc w:val="center"/>
                    <w:rPr>
                      <w:kern w:val="0"/>
                      <w:sz w:val="18"/>
                      <w:szCs w:val="18"/>
                    </w:rPr>
                  </w:pPr>
                  <w:r>
                    <w:rPr>
                      <w:kern w:val="0"/>
                      <w:sz w:val="18"/>
                      <w:szCs w:val="18"/>
                    </w:rPr>
                    <w:t>第三次</w:t>
                  </w:r>
                </w:p>
              </w:tc>
              <w:tc>
                <w:tcPr>
                  <w:tcW w:w="321" w:type="pct"/>
                  <w:tcBorders>
                    <w:top w:val="single" w:color="auto" w:sz="4" w:space="0"/>
                    <w:left w:val="single" w:color="auto" w:sz="4" w:space="0"/>
                    <w:bottom w:val="single" w:color="auto" w:sz="4" w:space="0"/>
                    <w:right w:val="single" w:color="auto" w:sz="4" w:space="0"/>
                  </w:tcBorders>
                  <w:vAlign w:val="center"/>
                </w:tcPr>
                <w:p w14:paraId="35224B04">
                  <w:pPr>
                    <w:widowControl/>
                    <w:jc w:val="center"/>
                    <w:rPr>
                      <w:rFonts w:eastAsia="等线"/>
                      <w:sz w:val="18"/>
                      <w:szCs w:val="18"/>
                    </w:rPr>
                  </w:pPr>
                  <w:r>
                    <w:rPr>
                      <w:rFonts w:eastAsia="等线"/>
                      <w:sz w:val="18"/>
                      <w:szCs w:val="18"/>
                    </w:rPr>
                    <w:t>7.1</w:t>
                  </w:r>
                </w:p>
              </w:tc>
              <w:tc>
                <w:tcPr>
                  <w:tcW w:w="425" w:type="pct"/>
                  <w:tcBorders>
                    <w:top w:val="single" w:color="auto" w:sz="4" w:space="0"/>
                    <w:left w:val="single" w:color="auto" w:sz="4" w:space="0"/>
                    <w:bottom w:val="single" w:color="auto" w:sz="4" w:space="0"/>
                    <w:right w:val="single" w:color="auto" w:sz="4" w:space="0"/>
                  </w:tcBorders>
                  <w:vAlign w:val="center"/>
                </w:tcPr>
                <w:p w14:paraId="7FA4B104">
                  <w:pPr>
                    <w:widowControl/>
                    <w:jc w:val="center"/>
                    <w:rPr>
                      <w:rFonts w:eastAsia="等线"/>
                      <w:sz w:val="18"/>
                      <w:szCs w:val="18"/>
                    </w:rPr>
                  </w:pPr>
                  <w:r>
                    <w:rPr>
                      <w:rFonts w:eastAsia="等线"/>
                      <w:sz w:val="18"/>
                      <w:szCs w:val="18"/>
                    </w:rPr>
                    <w:t>14</w:t>
                  </w:r>
                </w:p>
              </w:tc>
              <w:tc>
                <w:tcPr>
                  <w:tcW w:w="430" w:type="pct"/>
                  <w:tcBorders>
                    <w:top w:val="single" w:color="auto" w:sz="4" w:space="0"/>
                    <w:left w:val="single" w:color="auto" w:sz="4" w:space="0"/>
                    <w:bottom w:val="single" w:color="auto" w:sz="4" w:space="0"/>
                    <w:right w:val="single" w:color="auto" w:sz="4" w:space="0"/>
                  </w:tcBorders>
                  <w:vAlign w:val="center"/>
                </w:tcPr>
                <w:p w14:paraId="6C27DB1D">
                  <w:pPr>
                    <w:widowControl/>
                    <w:jc w:val="center"/>
                    <w:rPr>
                      <w:rFonts w:eastAsia="等线"/>
                      <w:sz w:val="18"/>
                      <w:szCs w:val="18"/>
                    </w:rPr>
                  </w:pPr>
                  <w:r>
                    <w:rPr>
                      <w:rFonts w:eastAsia="等线"/>
                      <w:sz w:val="18"/>
                      <w:szCs w:val="18"/>
                    </w:rPr>
                    <w:t>8</w:t>
                  </w:r>
                </w:p>
              </w:tc>
              <w:tc>
                <w:tcPr>
                  <w:tcW w:w="369" w:type="pct"/>
                  <w:tcBorders>
                    <w:top w:val="single" w:color="auto" w:sz="4" w:space="0"/>
                    <w:left w:val="single" w:color="auto" w:sz="4" w:space="0"/>
                    <w:bottom w:val="single" w:color="auto" w:sz="4" w:space="0"/>
                    <w:right w:val="single" w:color="auto" w:sz="4" w:space="0"/>
                  </w:tcBorders>
                  <w:vAlign w:val="center"/>
                </w:tcPr>
                <w:p w14:paraId="500DE0B2">
                  <w:pPr>
                    <w:widowControl/>
                    <w:jc w:val="center"/>
                    <w:rPr>
                      <w:rFonts w:eastAsia="等线"/>
                      <w:sz w:val="18"/>
                      <w:szCs w:val="18"/>
                    </w:rPr>
                  </w:pPr>
                  <w:r>
                    <w:rPr>
                      <w:rFonts w:eastAsia="等线"/>
                      <w:sz w:val="18"/>
                      <w:szCs w:val="18"/>
                    </w:rPr>
                    <w:t>0.15</w:t>
                  </w:r>
                </w:p>
              </w:tc>
              <w:tc>
                <w:tcPr>
                  <w:tcW w:w="347" w:type="pct"/>
                  <w:tcBorders>
                    <w:top w:val="single" w:color="auto" w:sz="4" w:space="0"/>
                    <w:left w:val="single" w:color="auto" w:sz="4" w:space="0"/>
                    <w:bottom w:val="single" w:color="auto" w:sz="4" w:space="0"/>
                    <w:right w:val="single" w:color="auto" w:sz="4" w:space="0"/>
                  </w:tcBorders>
                  <w:vAlign w:val="center"/>
                </w:tcPr>
                <w:p w14:paraId="3F71DB90">
                  <w:pPr>
                    <w:widowControl/>
                    <w:jc w:val="center"/>
                    <w:rPr>
                      <w:rFonts w:eastAsia="等线"/>
                      <w:sz w:val="18"/>
                      <w:szCs w:val="18"/>
                    </w:rPr>
                  </w:pPr>
                  <w:r>
                    <w:rPr>
                      <w:rFonts w:eastAsia="等线"/>
                      <w:sz w:val="18"/>
                      <w:szCs w:val="18"/>
                    </w:rPr>
                    <w:t>0.11</w:t>
                  </w:r>
                </w:p>
              </w:tc>
              <w:tc>
                <w:tcPr>
                  <w:tcW w:w="356" w:type="pct"/>
                  <w:tcBorders>
                    <w:top w:val="single" w:color="auto" w:sz="4" w:space="0"/>
                    <w:left w:val="single" w:color="auto" w:sz="4" w:space="0"/>
                    <w:bottom w:val="single" w:color="auto" w:sz="4" w:space="0"/>
                    <w:right w:val="single" w:color="auto" w:sz="4" w:space="0"/>
                  </w:tcBorders>
                  <w:vAlign w:val="center"/>
                </w:tcPr>
                <w:p w14:paraId="0E01076C">
                  <w:pPr>
                    <w:widowControl/>
                    <w:jc w:val="center"/>
                    <w:rPr>
                      <w:rFonts w:eastAsiaTheme="minorEastAsia"/>
                      <w:sz w:val="18"/>
                      <w:szCs w:val="18"/>
                    </w:rPr>
                  </w:pPr>
                  <w:r>
                    <w:rPr>
                      <w:rFonts w:eastAsiaTheme="minorEastAsia"/>
                      <w:sz w:val="18"/>
                      <w:szCs w:val="18"/>
                    </w:rPr>
                    <w:t>/</w:t>
                  </w:r>
                </w:p>
              </w:tc>
              <w:tc>
                <w:tcPr>
                  <w:tcW w:w="433" w:type="pct"/>
                  <w:tcBorders>
                    <w:top w:val="single" w:color="auto" w:sz="4" w:space="0"/>
                    <w:left w:val="single" w:color="auto" w:sz="4" w:space="0"/>
                    <w:bottom w:val="single" w:color="auto" w:sz="4" w:space="0"/>
                    <w:right w:val="single" w:color="auto" w:sz="4" w:space="0"/>
                  </w:tcBorders>
                  <w:vAlign w:val="center"/>
                </w:tcPr>
                <w:p w14:paraId="5886611F">
                  <w:pPr>
                    <w:widowControl/>
                    <w:jc w:val="center"/>
                    <w:rPr>
                      <w:rFonts w:eastAsia="等线"/>
                      <w:sz w:val="18"/>
                      <w:szCs w:val="18"/>
                    </w:rPr>
                  </w:pPr>
                  <w:r>
                    <w:rPr>
                      <w:rFonts w:eastAsia="等线"/>
                      <w:sz w:val="18"/>
                      <w:szCs w:val="18"/>
                    </w:rPr>
                    <w:t>0.22</w:t>
                  </w:r>
                </w:p>
              </w:tc>
              <w:tc>
                <w:tcPr>
                  <w:tcW w:w="374" w:type="pct"/>
                  <w:tcBorders>
                    <w:top w:val="single" w:color="auto" w:sz="4" w:space="0"/>
                    <w:left w:val="single" w:color="auto" w:sz="4" w:space="0"/>
                    <w:bottom w:val="single" w:color="auto" w:sz="4" w:space="0"/>
                    <w:right w:val="single" w:color="auto" w:sz="4" w:space="0"/>
                  </w:tcBorders>
                  <w:vAlign w:val="center"/>
                </w:tcPr>
                <w:p w14:paraId="3648C684">
                  <w:pPr>
                    <w:widowControl/>
                    <w:jc w:val="center"/>
                    <w:rPr>
                      <w:rFonts w:eastAsia="等线"/>
                      <w:sz w:val="18"/>
                      <w:szCs w:val="18"/>
                    </w:rPr>
                  </w:pPr>
                  <w:r>
                    <w:rPr>
                      <w:rFonts w:eastAsia="等线"/>
                      <w:sz w:val="18"/>
                      <w:szCs w:val="18"/>
                    </w:rPr>
                    <w:t>43</w:t>
                  </w:r>
                </w:p>
              </w:tc>
              <w:tc>
                <w:tcPr>
                  <w:tcW w:w="395" w:type="pct"/>
                  <w:tcBorders>
                    <w:top w:val="single" w:color="auto" w:sz="4" w:space="0"/>
                    <w:left w:val="single" w:color="auto" w:sz="4" w:space="0"/>
                    <w:bottom w:val="single" w:color="auto" w:sz="4" w:space="0"/>
                  </w:tcBorders>
                  <w:vAlign w:val="center"/>
                </w:tcPr>
                <w:p w14:paraId="20F49125">
                  <w:pPr>
                    <w:widowControl/>
                    <w:jc w:val="center"/>
                    <w:rPr>
                      <w:rFonts w:eastAsiaTheme="minorEastAsia"/>
                      <w:sz w:val="18"/>
                      <w:szCs w:val="18"/>
                    </w:rPr>
                  </w:pPr>
                  <w:r>
                    <w:rPr>
                      <w:rFonts w:eastAsiaTheme="minorEastAsia"/>
                      <w:sz w:val="18"/>
                      <w:szCs w:val="18"/>
                    </w:rPr>
                    <w:t>/</w:t>
                  </w:r>
                </w:p>
              </w:tc>
              <w:tc>
                <w:tcPr>
                  <w:tcW w:w="357" w:type="pct"/>
                  <w:tcBorders>
                    <w:top w:val="single" w:color="auto" w:sz="4" w:space="0"/>
                    <w:left w:val="single" w:color="auto" w:sz="4" w:space="0"/>
                    <w:bottom w:val="single" w:color="auto" w:sz="4" w:space="0"/>
                  </w:tcBorders>
                  <w:vAlign w:val="center"/>
                </w:tcPr>
                <w:p w14:paraId="6170EE17">
                  <w:pPr>
                    <w:widowControl/>
                    <w:jc w:val="center"/>
                    <w:rPr>
                      <w:rFonts w:eastAsiaTheme="minorEastAsia"/>
                      <w:sz w:val="18"/>
                      <w:szCs w:val="18"/>
                    </w:rPr>
                  </w:pPr>
                  <w:r>
                    <w:rPr>
                      <w:rFonts w:eastAsiaTheme="minorEastAsia"/>
                      <w:sz w:val="18"/>
                      <w:szCs w:val="18"/>
                    </w:rPr>
                    <w:t>/</w:t>
                  </w:r>
                </w:p>
              </w:tc>
            </w:tr>
            <w:tr w14:paraId="635171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6" w:type="pct"/>
                  <w:vMerge w:val="continue"/>
                  <w:tcBorders>
                    <w:right w:val="single" w:color="auto" w:sz="4" w:space="0"/>
                  </w:tcBorders>
                  <w:vAlign w:val="center"/>
                </w:tcPr>
                <w:p w14:paraId="4EF94637">
                  <w:pPr>
                    <w:widowControl/>
                    <w:jc w:val="center"/>
                    <w:rPr>
                      <w:rFonts w:eastAsiaTheme="minorEastAsia"/>
                      <w:kern w:val="0"/>
                      <w:sz w:val="18"/>
                      <w:szCs w:val="18"/>
                    </w:rPr>
                  </w:pPr>
                </w:p>
              </w:tc>
              <w:tc>
                <w:tcPr>
                  <w:tcW w:w="404" w:type="pct"/>
                  <w:vMerge w:val="continue"/>
                  <w:tcBorders>
                    <w:left w:val="single" w:color="auto" w:sz="4" w:space="0"/>
                    <w:right w:val="single" w:color="auto" w:sz="4" w:space="0"/>
                  </w:tcBorders>
                  <w:vAlign w:val="center"/>
                </w:tcPr>
                <w:p w14:paraId="4C078512">
                  <w:pPr>
                    <w:widowControl/>
                    <w:jc w:val="center"/>
                    <w:rPr>
                      <w:rFonts w:eastAsia="等线"/>
                      <w:kern w:val="0"/>
                      <w:sz w:val="18"/>
                      <w:szCs w:val="18"/>
                    </w:rPr>
                  </w:pPr>
                </w:p>
              </w:tc>
              <w:tc>
                <w:tcPr>
                  <w:tcW w:w="433" w:type="pct"/>
                  <w:tcBorders>
                    <w:top w:val="single" w:color="auto" w:sz="4" w:space="0"/>
                    <w:left w:val="single" w:color="auto" w:sz="4" w:space="0"/>
                    <w:bottom w:val="single" w:color="auto" w:sz="4" w:space="0"/>
                    <w:right w:val="single" w:color="auto" w:sz="4" w:space="0"/>
                  </w:tcBorders>
                  <w:vAlign w:val="center"/>
                </w:tcPr>
                <w:p w14:paraId="5788DC41">
                  <w:pPr>
                    <w:widowControl/>
                    <w:jc w:val="center"/>
                    <w:rPr>
                      <w:kern w:val="0"/>
                      <w:sz w:val="18"/>
                      <w:szCs w:val="18"/>
                    </w:rPr>
                  </w:pPr>
                  <w:r>
                    <w:rPr>
                      <w:kern w:val="0"/>
                      <w:sz w:val="18"/>
                      <w:szCs w:val="18"/>
                    </w:rPr>
                    <w:t>第四次</w:t>
                  </w:r>
                </w:p>
              </w:tc>
              <w:tc>
                <w:tcPr>
                  <w:tcW w:w="321" w:type="pct"/>
                  <w:tcBorders>
                    <w:top w:val="single" w:color="auto" w:sz="4" w:space="0"/>
                    <w:left w:val="single" w:color="auto" w:sz="4" w:space="0"/>
                    <w:bottom w:val="single" w:color="auto" w:sz="4" w:space="0"/>
                    <w:right w:val="single" w:color="auto" w:sz="4" w:space="0"/>
                  </w:tcBorders>
                  <w:vAlign w:val="center"/>
                </w:tcPr>
                <w:p w14:paraId="387685DA">
                  <w:pPr>
                    <w:widowControl/>
                    <w:jc w:val="center"/>
                    <w:rPr>
                      <w:rFonts w:eastAsia="等线"/>
                      <w:sz w:val="18"/>
                      <w:szCs w:val="18"/>
                    </w:rPr>
                  </w:pPr>
                  <w:r>
                    <w:rPr>
                      <w:rFonts w:eastAsia="等线"/>
                      <w:sz w:val="18"/>
                      <w:szCs w:val="18"/>
                    </w:rPr>
                    <w:t>7.1</w:t>
                  </w:r>
                </w:p>
              </w:tc>
              <w:tc>
                <w:tcPr>
                  <w:tcW w:w="425" w:type="pct"/>
                  <w:tcBorders>
                    <w:top w:val="single" w:color="auto" w:sz="4" w:space="0"/>
                    <w:left w:val="single" w:color="auto" w:sz="4" w:space="0"/>
                    <w:bottom w:val="single" w:color="auto" w:sz="4" w:space="0"/>
                    <w:right w:val="single" w:color="auto" w:sz="4" w:space="0"/>
                  </w:tcBorders>
                  <w:vAlign w:val="center"/>
                </w:tcPr>
                <w:p w14:paraId="35F9C6AD">
                  <w:pPr>
                    <w:widowControl/>
                    <w:jc w:val="center"/>
                    <w:rPr>
                      <w:rFonts w:eastAsia="等线"/>
                      <w:sz w:val="18"/>
                      <w:szCs w:val="18"/>
                    </w:rPr>
                  </w:pPr>
                  <w:r>
                    <w:rPr>
                      <w:rFonts w:eastAsia="等线"/>
                      <w:sz w:val="18"/>
                      <w:szCs w:val="18"/>
                    </w:rPr>
                    <w:t>11</w:t>
                  </w:r>
                </w:p>
              </w:tc>
              <w:tc>
                <w:tcPr>
                  <w:tcW w:w="430" w:type="pct"/>
                  <w:tcBorders>
                    <w:top w:val="single" w:color="auto" w:sz="4" w:space="0"/>
                    <w:left w:val="single" w:color="auto" w:sz="4" w:space="0"/>
                    <w:bottom w:val="single" w:color="auto" w:sz="4" w:space="0"/>
                    <w:right w:val="single" w:color="auto" w:sz="4" w:space="0"/>
                  </w:tcBorders>
                  <w:vAlign w:val="center"/>
                </w:tcPr>
                <w:p w14:paraId="4A47A374">
                  <w:pPr>
                    <w:widowControl/>
                    <w:jc w:val="center"/>
                    <w:rPr>
                      <w:rFonts w:eastAsia="等线"/>
                      <w:sz w:val="18"/>
                      <w:szCs w:val="18"/>
                    </w:rPr>
                  </w:pPr>
                  <w:r>
                    <w:rPr>
                      <w:rFonts w:eastAsia="等线"/>
                      <w:sz w:val="18"/>
                      <w:szCs w:val="18"/>
                    </w:rPr>
                    <w:t>6</w:t>
                  </w:r>
                </w:p>
              </w:tc>
              <w:tc>
                <w:tcPr>
                  <w:tcW w:w="369" w:type="pct"/>
                  <w:tcBorders>
                    <w:top w:val="single" w:color="auto" w:sz="4" w:space="0"/>
                    <w:left w:val="single" w:color="auto" w:sz="4" w:space="0"/>
                    <w:bottom w:val="single" w:color="auto" w:sz="4" w:space="0"/>
                    <w:right w:val="single" w:color="auto" w:sz="4" w:space="0"/>
                  </w:tcBorders>
                  <w:vAlign w:val="center"/>
                </w:tcPr>
                <w:p w14:paraId="3956735B">
                  <w:pPr>
                    <w:widowControl/>
                    <w:jc w:val="center"/>
                    <w:rPr>
                      <w:rFonts w:eastAsia="等线"/>
                      <w:sz w:val="18"/>
                      <w:szCs w:val="18"/>
                    </w:rPr>
                  </w:pPr>
                  <w:r>
                    <w:rPr>
                      <w:rFonts w:eastAsia="等线"/>
                      <w:sz w:val="18"/>
                      <w:szCs w:val="18"/>
                    </w:rPr>
                    <w:t>0.17</w:t>
                  </w:r>
                </w:p>
              </w:tc>
              <w:tc>
                <w:tcPr>
                  <w:tcW w:w="347" w:type="pct"/>
                  <w:tcBorders>
                    <w:top w:val="single" w:color="auto" w:sz="4" w:space="0"/>
                    <w:left w:val="single" w:color="auto" w:sz="4" w:space="0"/>
                    <w:bottom w:val="single" w:color="auto" w:sz="4" w:space="0"/>
                    <w:right w:val="single" w:color="auto" w:sz="4" w:space="0"/>
                  </w:tcBorders>
                  <w:vAlign w:val="center"/>
                </w:tcPr>
                <w:p w14:paraId="44943835">
                  <w:pPr>
                    <w:widowControl/>
                    <w:jc w:val="center"/>
                    <w:rPr>
                      <w:rFonts w:eastAsia="等线"/>
                      <w:sz w:val="18"/>
                      <w:szCs w:val="18"/>
                    </w:rPr>
                  </w:pPr>
                  <w:r>
                    <w:rPr>
                      <w:rFonts w:eastAsia="等线"/>
                      <w:sz w:val="18"/>
                      <w:szCs w:val="18"/>
                    </w:rPr>
                    <w:t>0.1</w:t>
                  </w:r>
                </w:p>
              </w:tc>
              <w:tc>
                <w:tcPr>
                  <w:tcW w:w="356" w:type="pct"/>
                  <w:tcBorders>
                    <w:top w:val="single" w:color="auto" w:sz="4" w:space="0"/>
                    <w:left w:val="single" w:color="auto" w:sz="4" w:space="0"/>
                    <w:bottom w:val="single" w:color="auto" w:sz="4" w:space="0"/>
                    <w:right w:val="single" w:color="auto" w:sz="4" w:space="0"/>
                  </w:tcBorders>
                  <w:vAlign w:val="center"/>
                </w:tcPr>
                <w:p w14:paraId="053D3468">
                  <w:pPr>
                    <w:widowControl/>
                    <w:jc w:val="center"/>
                    <w:rPr>
                      <w:rFonts w:eastAsiaTheme="minorEastAsia"/>
                      <w:sz w:val="18"/>
                      <w:szCs w:val="18"/>
                    </w:rPr>
                  </w:pPr>
                  <w:r>
                    <w:rPr>
                      <w:rFonts w:eastAsiaTheme="minorEastAsia"/>
                      <w:sz w:val="18"/>
                      <w:szCs w:val="18"/>
                    </w:rPr>
                    <w:t>/</w:t>
                  </w:r>
                </w:p>
              </w:tc>
              <w:tc>
                <w:tcPr>
                  <w:tcW w:w="433" w:type="pct"/>
                  <w:tcBorders>
                    <w:top w:val="single" w:color="auto" w:sz="4" w:space="0"/>
                    <w:left w:val="single" w:color="auto" w:sz="4" w:space="0"/>
                    <w:bottom w:val="single" w:color="auto" w:sz="4" w:space="0"/>
                    <w:right w:val="single" w:color="auto" w:sz="4" w:space="0"/>
                  </w:tcBorders>
                  <w:vAlign w:val="center"/>
                </w:tcPr>
                <w:p w14:paraId="18102385">
                  <w:pPr>
                    <w:widowControl/>
                    <w:jc w:val="center"/>
                    <w:rPr>
                      <w:rFonts w:eastAsia="等线"/>
                      <w:sz w:val="18"/>
                      <w:szCs w:val="18"/>
                    </w:rPr>
                  </w:pPr>
                  <w:r>
                    <w:rPr>
                      <w:rFonts w:eastAsia="等线"/>
                      <w:sz w:val="18"/>
                      <w:szCs w:val="18"/>
                    </w:rPr>
                    <w:t>0.24</w:t>
                  </w:r>
                </w:p>
              </w:tc>
              <w:tc>
                <w:tcPr>
                  <w:tcW w:w="374" w:type="pct"/>
                  <w:tcBorders>
                    <w:top w:val="single" w:color="auto" w:sz="4" w:space="0"/>
                    <w:left w:val="single" w:color="auto" w:sz="4" w:space="0"/>
                    <w:bottom w:val="single" w:color="auto" w:sz="4" w:space="0"/>
                    <w:right w:val="single" w:color="auto" w:sz="4" w:space="0"/>
                  </w:tcBorders>
                  <w:vAlign w:val="center"/>
                </w:tcPr>
                <w:p w14:paraId="3E2F5F76">
                  <w:pPr>
                    <w:widowControl/>
                    <w:jc w:val="center"/>
                    <w:rPr>
                      <w:rFonts w:eastAsia="等线"/>
                      <w:sz w:val="18"/>
                      <w:szCs w:val="18"/>
                    </w:rPr>
                  </w:pPr>
                  <w:r>
                    <w:rPr>
                      <w:rFonts w:eastAsia="等线"/>
                      <w:sz w:val="18"/>
                      <w:szCs w:val="18"/>
                    </w:rPr>
                    <w:t>44</w:t>
                  </w:r>
                </w:p>
              </w:tc>
              <w:tc>
                <w:tcPr>
                  <w:tcW w:w="395" w:type="pct"/>
                  <w:tcBorders>
                    <w:top w:val="single" w:color="auto" w:sz="4" w:space="0"/>
                    <w:left w:val="single" w:color="auto" w:sz="4" w:space="0"/>
                    <w:bottom w:val="single" w:color="auto" w:sz="4" w:space="0"/>
                  </w:tcBorders>
                  <w:vAlign w:val="center"/>
                </w:tcPr>
                <w:p w14:paraId="3A6E09E9">
                  <w:pPr>
                    <w:widowControl/>
                    <w:jc w:val="center"/>
                    <w:rPr>
                      <w:rFonts w:eastAsiaTheme="minorEastAsia"/>
                      <w:sz w:val="18"/>
                      <w:szCs w:val="18"/>
                    </w:rPr>
                  </w:pPr>
                  <w:r>
                    <w:rPr>
                      <w:rFonts w:eastAsiaTheme="minorEastAsia"/>
                      <w:sz w:val="18"/>
                      <w:szCs w:val="18"/>
                    </w:rPr>
                    <w:t>/</w:t>
                  </w:r>
                </w:p>
              </w:tc>
              <w:tc>
                <w:tcPr>
                  <w:tcW w:w="357" w:type="pct"/>
                  <w:tcBorders>
                    <w:top w:val="single" w:color="auto" w:sz="4" w:space="0"/>
                    <w:left w:val="single" w:color="auto" w:sz="4" w:space="0"/>
                    <w:bottom w:val="single" w:color="auto" w:sz="4" w:space="0"/>
                  </w:tcBorders>
                  <w:vAlign w:val="center"/>
                </w:tcPr>
                <w:p w14:paraId="2A7EF388">
                  <w:pPr>
                    <w:widowControl/>
                    <w:jc w:val="center"/>
                    <w:rPr>
                      <w:rFonts w:eastAsiaTheme="minorEastAsia"/>
                      <w:sz w:val="18"/>
                      <w:szCs w:val="18"/>
                    </w:rPr>
                  </w:pPr>
                  <w:r>
                    <w:rPr>
                      <w:rFonts w:eastAsiaTheme="minorEastAsia"/>
                      <w:sz w:val="18"/>
                      <w:szCs w:val="18"/>
                    </w:rPr>
                    <w:t>/</w:t>
                  </w:r>
                </w:p>
              </w:tc>
            </w:tr>
            <w:tr w14:paraId="1D3F95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6" w:type="pct"/>
                  <w:vMerge w:val="continue"/>
                  <w:tcBorders>
                    <w:right w:val="single" w:color="auto" w:sz="4" w:space="0"/>
                  </w:tcBorders>
                  <w:vAlign w:val="center"/>
                </w:tcPr>
                <w:p w14:paraId="46805945">
                  <w:pPr>
                    <w:widowControl/>
                    <w:jc w:val="center"/>
                    <w:rPr>
                      <w:rFonts w:eastAsiaTheme="minorEastAsia"/>
                      <w:kern w:val="0"/>
                      <w:sz w:val="18"/>
                      <w:szCs w:val="18"/>
                    </w:rPr>
                  </w:pPr>
                </w:p>
              </w:tc>
              <w:tc>
                <w:tcPr>
                  <w:tcW w:w="404" w:type="pct"/>
                  <w:vMerge w:val="continue"/>
                  <w:tcBorders>
                    <w:left w:val="single" w:color="auto" w:sz="4" w:space="0"/>
                    <w:bottom w:val="single" w:color="auto" w:sz="4" w:space="0"/>
                    <w:right w:val="single" w:color="auto" w:sz="4" w:space="0"/>
                  </w:tcBorders>
                  <w:vAlign w:val="center"/>
                </w:tcPr>
                <w:p w14:paraId="44ED7F9D">
                  <w:pPr>
                    <w:widowControl/>
                    <w:jc w:val="center"/>
                    <w:rPr>
                      <w:rFonts w:eastAsia="等线"/>
                      <w:kern w:val="0"/>
                      <w:sz w:val="18"/>
                      <w:szCs w:val="18"/>
                    </w:rPr>
                  </w:pPr>
                </w:p>
              </w:tc>
              <w:tc>
                <w:tcPr>
                  <w:tcW w:w="433" w:type="pct"/>
                  <w:tcBorders>
                    <w:top w:val="single" w:color="auto" w:sz="4" w:space="0"/>
                    <w:left w:val="single" w:color="auto" w:sz="4" w:space="0"/>
                    <w:bottom w:val="single" w:color="auto" w:sz="4" w:space="0"/>
                    <w:right w:val="single" w:color="auto" w:sz="4" w:space="0"/>
                  </w:tcBorders>
                  <w:vAlign w:val="center"/>
                </w:tcPr>
                <w:p w14:paraId="664571D0">
                  <w:pPr>
                    <w:widowControl/>
                    <w:jc w:val="center"/>
                    <w:rPr>
                      <w:kern w:val="0"/>
                      <w:sz w:val="18"/>
                      <w:szCs w:val="18"/>
                    </w:rPr>
                  </w:pPr>
                  <w:r>
                    <w:rPr>
                      <w:kern w:val="0"/>
                      <w:sz w:val="18"/>
                      <w:szCs w:val="18"/>
                    </w:rPr>
                    <w:t>平均值</w:t>
                  </w:r>
                </w:p>
              </w:tc>
              <w:tc>
                <w:tcPr>
                  <w:tcW w:w="321" w:type="pct"/>
                  <w:tcBorders>
                    <w:top w:val="single" w:color="auto" w:sz="4" w:space="0"/>
                    <w:left w:val="single" w:color="auto" w:sz="4" w:space="0"/>
                    <w:bottom w:val="single" w:color="auto" w:sz="4" w:space="0"/>
                    <w:right w:val="single" w:color="auto" w:sz="4" w:space="0"/>
                  </w:tcBorders>
                  <w:vAlign w:val="center"/>
                </w:tcPr>
                <w:p w14:paraId="112C3938">
                  <w:pPr>
                    <w:widowControl/>
                    <w:jc w:val="center"/>
                    <w:rPr>
                      <w:rFonts w:eastAsia="等线"/>
                      <w:sz w:val="18"/>
                      <w:szCs w:val="18"/>
                    </w:rPr>
                  </w:pPr>
                  <w:r>
                    <w:rPr>
                      <w:rFonts w:eastAsia="等线"/>
                      <w:sz w:val="18"/>
                      <w:szCs w:val="18"/>
                    </w:rPr>
                    <w:t>7.1</w:t>
                  </w:r>
                </w:p>
              </w:tc>
              <w:tc>
                <w:tcPr>
                  <w:tcW w:w="425" w:type="pct"/>
                  <w:tcBorders>
                    <w:top w:val="single" w:color="auto" w:sz="4" w:space="0"/>
                    <w:left w:val="single" w:color="auto" w:sz="4" w:space="0"/>
                    <w:bottom w:val="single" w:color="auto" w:sz="4" w:space="0"/>
                    <w:right w:val="single" w:color="auto" w:sz="4" w:space="0"/>
                  </w:tcBorders>
                  <w:vAlign w:val="center"/>
                </w:tcPr>
                <w:p w14:paraId="689BC819">
                  <w:pPr>
                    <w:widowControl/>
                    <w:jc w:val="center"/>
                    <w:rPr>
                      <w:rFonts w:eastAsia="等线"/>
                      <w:sz w:val="18"/>
                      <w:szCs w:val="18"/>
                    </w:rPr>
                  </w:pPr>
                  <w:r>
                    <w:rPr>
                      <w:rFonts w:eastAsia="等线"/>
                      <w:sz w:val="18"/>
                      <w:szCs w:val="18"/>
                    </w:rPr>
                    <w:t>11.75</w:t>
                  </w:r>
                </w:p>
              </w:tc>
              <w:tc>
                <w:tcPr>
                  <w:tcW w:w="430" w:type="pct"/>
                  <w:tcBorders>
                    <w:top w:val="single" w:color="auto" w:sz="4" w:space="0"/>
                    <w:left w:val="single" w:color="auto" w:sz="4" w:space="0"/>
                    <w:bottom w:val="single" w:color="auto" w:sz="4" w:space="0"/>
                    <w:right w:val="single" w:color="auto" w:sz="4" w:space="0"/>
                  </w:tcBorders>
                  <w:vAlign w:val="center"/>
                </w:tcPr>
                <w:p w14:paraId="3B584E1C">
                  <w:pPr>
                    <w:widowControl/>
                    <w:jc w:val="center"/>
                    <w:rPr>
                      <w:rFonts w:eastAsia="等线"/>
                      <w:sz w:val="18"/>
                      <w:szCs w:val="18"/>
                    </w:rPr>
                  </w:pPr>
                  <w:r>
                    <w:rPr>
                      <w:rFonts w:eastAsia="等线"/>
                      <w:sz w:val="18"/>
                      <w:szCs w:val="18"/>
                    </w:rPr>
                    <w:t>6.75</w:t>
                  </w:r>
                </w:p>
              </w:tc>
              <w:tc>
                <w:tcPr>
                  <w:tcW w:w="369" w:type="pct"/>
                  <w:tcBorders>
                    <w:top w:val="single" w:color="auto" w:sz="4" w:space="0"/>
                    <w:left w:val="single" w:color="auto" w:sz="4" w:space="0"/>
                    <w:bottom w:val="single" w:color="auto" w:sz="4" w:space="0"/>
                    <w:right w:val="single" w:color="auto" w:sz="4" w:space="0"/>
                  </w:tcBorders>
                  <w:vAlign w:val="center"/>
                </w:tcPr>
                <w:p w14:paraId="45B958A5">
                  <w:pPr>
                    <w:widowControl/>
                    <w:jc w:val="center"/>
                    <w:rPr>
                      <w:rFonts w:eastAsia="等线"/>
                      <w:sz w:val="18"/>
                      <w:szCs w:val="18"/>
                    </w:rPr>
                  </w:pPr>
                  <w:r>
                    <w:rPr>
                      <w:rFonts w:eastAsia="等线"/>
                      <w:sz w:val="18"/>
                      <w:szCs w:val="18"/>
                    </w:rPr>
                    <w:t>0.18</w:t>
                  </w:r>
                </w:p>
              </w:tc>
              <w:tc>
                <w:tcPr>
                  <w:tcW w:w="347" w:type="pct"/>
                  <w:tcBorders>
                    <w:top w:val="single" w:color="auto" w:sz="4" w:space="0"/>
                    <w:left w:val="single" w:color="auto" w:sz="4" w:space="0"/>
                    <w:bottom w:val="single" w:color="auto" w:sz="4" w:space="0"/>
                    <w:right w:val="single" w:color="auto" w:sz="4" w:space="0"/>
                  </w:tcBorders>
                  <w:vAlign w:val="center"/>
                </w:tcPr>
                <w:p w14:paraId="728A8EED">
                  <w:pPr>
                    <w:widowControl/>
                    <w:jc w:val="center"/>
                    <w:rPr>
                      <w:rFonts w:eastAsia="等线"/>
                      <w:sz w:val="18"/>
                      <w:szCs w:val="18"/>
                    </w:rPr>
                  </w:pPr>
                  <w:r>
                    <w:rPr>
                      <w:rFonts w:eastAsia="等线"/>
                      <w:sz w:val="18"/>
                      <w:szCs w:val="18"/>
                    </w:rPr>
                    <w:t>0.1</w:t>
                  </w:r>
                </w:p>
              </w:tc>
              <w:tc>
                <w:tcPr>
                  <w:tcW w:w="356" w:type="pct"/>
                  <w:tcBorders>
                    <w:top w:val="single" w:color="auto" w:sz="4" w:space="0"/>
                    <w:left w:val="single" w:color="auto" w:sz="4" w:space="0"/>
                    <w:bottom w:val="single" w:color="auto" w:sz="4" w:space="0"/>
                    <w:right w:val="single" w:color="auto" w:sz="4" w:space="0"/>
                  </w:tcBorders>
                  <w:vAlign w:val="center"/>
                </w:tcPr>
                <w:p w14:paraId="489A03E5">
                  <w:pPr>
                    <w:widowControl/>
                    <w:jc w:val="center"/>
                    <w:rPr>
                      <w:rFonts w:eastAsiaTheme="minorEastAsia"/>
                      <w:sz w:val="18"/>
                      <w:szCs w:val="18"/>
                    </w:rPr>
                  </w:pPr>
                  <w:r>
                    <w:rPr>
                      <w:rFonts w:eastAsiaTheme="minorEastAsia"/>
                      <w:sz w:val="18"/>
                      <w:szCs w:val="18"/>
                    </w:rPr>
                    <w:t>/</w:t>
                  </w:r>
                </w:p>
              </w:tc>
              <w:tc>
                <w:tcPr>
                  <w:tcW w:w="433" w:type="pct"/>
                  <w:tcBorders>
                    <w:top w:val="single" w:color="auto" w:sz="4" w:space="0"/>
                    <w:left w:val="single" w:color="auto" w:sz="4" w:space="0"/>
                    <w:bottom w:val="single" w:color="auto" w:sz="4" w:space="0"/>
                    <w:right w:val="single" w:color="auto" w:sz="4" w:space="0"/>
                  </w:tcBorders>
                  <w:vAlign w:val="center"/>
                </w:tcPr>
                <w:p w14:paraId="57945450">
                  <w:pPr>
                    <w:widowControl/>
                    <w:jc w:val="center"/>
                    <w:rPr>
                      <w:rFonts w:eastAsia="等线"/>
                      <w:sz w:val="18"/>
                      <w:szCs w:val="18"/>
                    </w:rPr>
                  </w:pPr>
                  <w:r>
                    <w:rPr>
                      <w:rFonts w:eastAsia="等线"/>
                      <w:sz w:val="18"/>
                      <w:szCs w:val="18"/>
                    </w:rPr>
                    <w:t>0.23</w:t>
                  </w:r>
                </w:p>
              </w:tc>
              <w:tc>
                <w:tcPr>
                  <w:tcW w:w="374" w:type="pct"/>
                  <w:tcBorders>
                    <w:top w:val="single" w:color="auto" w:sz="4" w:space="0"/>
                    <w:left w:val="single" w:color="auto" w:sz="4" w:space="0"/>
                    <w:bottom w:val="single" w:color="auto" w:sz="4" w:space="0"/>
                    <w:right w:val="single" w:color="auto" w:sz="4" w:space="0"/>
                  </w:tcBorders>
                  <w:vAlign w:val="center"/>
                </w:tcPr>
                <w:p w14:paraId="70735F05">
                  <w:pPr>
                    <w:widowControl/>
                    <w:jc w:val="center"/>
                    <w:rPr>
                      <w:rFonts w:eastAsia="等线"/>
                      <w:sz w:val="18"/>
                      <w:szCs w:val="18"/>
                    </w:rPr>
                  </w:pPr>
                  <w:r>
                    <w:rPr>
                      <w:rFonts w:eastAsia="等线"/>
                      <w:sz w:val="18"/>
                      <w:szCs w:val="18"/>
                    </w:rPr>
                    <w:t>44</w:t>
                  </w:r>
                </w:p>
              </w:tc>
              <w:tc>
                <w:tcPr>
                  <w:tcW w:w="395" w:type="pct"/>
                  <w:tcBorders>
                    <w:top w:val="single" w:color="auto" w:sz="4" w:space="0"/>
                    <w:left w:val="single" w:color="auto" w:sz="4" w:space="0"/>
                    <w:bottom w:val="single" w:color="auto" w:sz="4" w:space="0"/>
                  </w:tcBorders>
                  <w:vAlign w:val="center"/>
                </w:tcPr>
                <w:p w14:paraId="15113A7B">
                  <w:pPr>
                    <w:widowControl/>
                    <w:jc w:val="center"/>
                    <w:rPr>
                      <w:rFonts w:eastAsiaTheme="minorEastAsia"/>
                      <w:sz w:val="18"/>
                      <w:szCs w:val="18"/>
                    </w:rPr>
                  </w:pPr>
                  <w:r>
                    <w:rPr>
                      <w:rFonts w:eastAsiaTheme="minorEastAsia"/>
                      <w:sz w:val="18"/>
                      <w:szCs w:val="18"/>
                    </w:rPr>
                    <w:t>/</w:t>
                  </w:r>
                </w:p>
              </w:tc>
              <w:tc>
                <w:tcPr>
                  <w:tcW w:w="357" w:type="pct"/>
                  <w:tcBorders>
                    <w:top w:val="single" w:color="auto" w:sz="4" w:space="0"/>
                    <w:left w:val="single" w:color="auto" w:sz="4" w:space="0"/>
                    <w:bottom w:val="single" w:color="auto" w:sz="4" w:space="0"/>
                  </w:tcBorders>
                  <w:vAlign w:val="center"/>
                </w:tcPr>
                <w:p w14:paraId="50FD374E">
                  <w:pPr>
                    <w:widowControl/>
                    <w:jc w:val="center"/>
                    <w:rPr>
                      <w:rFonts w:eastAsiaTheme="minorEastAsia"/>
                      <w:sz w:val="18"/>
                      <w:szCs w:val="18"/>
                    </w:rPr>
                  </w:pPr>
                  <w:r>
                    <w:rPr>
                      <w:rFonts w:eastAsiaTheme="minorEastAsia"/>
                      <w:sz w:val="18"/>
                      <w:szCs w:val="18"/>
                    </w:rPr>
                    <w:t>/</w:t>
                  </w:r>
                </w:p>
              </w:tc>
            </w:tr>
            <w:tr w14:paraId="695A90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6" w:type="pct"/>
                  <w:vMerge w:val="continue"/>
                  <w:tcBorders>
                    <w:right w:val="single" w:color="auto" w:sz="4" w:space="0"/>
                  </w:tcBorders>
                  <w:vAlign w:val="center"/>
                </w:tcPr>
                <w:p w14:paraId="2B49257A">
                  <w:pPr>
                    <w:widowControl/>
                    <w:jc w:val="center"/>
                    <w:rPr>
                      <w:rFonts w:eastAsiaTheme="minorEastAsia"/>
                      <w:kern w:val="0"/>
                      <w:sz w:val="18"/>
                      <w:szCs w:val="18"/>
                    </w:rPr>
                  </w:pPr>
                </w:p>
              </w:tc>
              <w:tc>
                <w:tcPr>
                  <w:tcW w:w="837" w:type="pct"/>
                  <w:gridSpan w:val="2"/>
                  <w:tcBorders>
                    <w:top w:val="single" w:color="auto" w:sz="4" w:space="0"/>
                    <w:left w:val="single" w:color="auto" w:sz="4" w:space="0"/>
                    <w:bottom w:val="single" w:color="auto" w:sz="4" w:space="0"/>
                    <w:right w:val="single" w:color="auto" w:sz="4" w:space="0"/>
                  </w:tcBorders>
                  <w:vAlign w:val="center"/>
                </w:tcPr>
                <w:p w14:paraId="302F70EB">
                  <w:pPr>
                    <w:widowControl/>
                    <w:jc w:val="center"/>
                    <w:rPr>
                      <w:kern w:val="0"/>
                      <w:sz w:val="18"/>
                      <w:szCs w:val="18"/>
                    </w:rPr>
                  </w:pPr>
                  <w:r>
                    <w:rPr>
                      <w:kern w:val="0"/>
                      <w:sz w:val="18"/>
                      <w:szCs w:val="18"/>
                    </w:rPr>
                    <w:t>执行标准</w:t>
                  </w:r>
                </w:p>
              </w:tc>
              <w:tc>
                <w:tcPr>
                  <w:tcW w:w="321" w:type="pct"/>
                  <w:tcBorders>
                    <w:top w:val="single" w:color="auto" w:sz="4" w:space="0"/>
                    <w:left w:val="single" w:color="auto" w:sz="4" w:space="0"/>
                    <w:bottom w:val="single" w:color="auto" w:sz="4" w:space="0"/>
                    <w:right w:val="single" w:color="auto" w:sz="4" w:space="0"/>
                  </w:tcBorders>
                  <w:vAlign w:val="center"/>
                </w:tcPr>
                <w:p w14:paraId="270BB8AC">
                  <w:pPr>
                    <w:widowControl/>
                    <w:jc w:val="center"/>
                    <w:rPr>
                      <w:rFonts w:eastAsia="等线"/>
                      <w:sz w:val="18"/>
                      <w:szCs w:val="18"/>
                    </w:rPr>
                  </w:pPr>
                  <w:r>
                    <w:rPr>
                      <w:rFonts w:eastAsia="等线"/>
                      <w:sz w:val="18"/>
                      <w:szCs w:val="18"/>
                    </w:rPr>
                    <w:t>6~9</w:t>
                  </w:r>
                </w:p>
              </w:tc>
              <w:tc>
                <w:tcPr>
                  <w:tcW w:w="425" w:type="pct"/>
                  <w:tcBorders>
                    <w:top w:val="single" w:color="auto" w:sz="4" w:space="0"/>
                    <w:left w:val="single" w:color="auto" w:sz="4" w:space="0"/>
                    <w:bottom w:val="single" w:color="auto" w:sz="4" w:space="0"/>
                    <w:right w:val="single" w:color="auto" w:sz="4" w:space="0"/>
                  </w:tcBorders>
                  <w:vAlign w:val="center"/>
                </w:tcPr>
                <w:p w14:paraId="07B85509">
                  <w:pPr>
                    <w:widowControl/>
                    <w:jc w:val="center"/>
                    <w:rPr>
                      <w:rFonts w:eastAsia="等线"/>
                      <w:sz w:val="18"/>
                      <w:szCs w:val="18"/>
                    </w:rPr>
                  </w:pPr>
                  <w:r>
                    <w:rPr>
                      <w:rFonts w:eastAsia="等线"/>
                      <w:sz w:val="18"/>
                      <w:szCs w:val="18"/>
                    </w:rPr>
                    <w:t>50</w:t>
                  </w:r>
                </w:p>
              </w:tc>
              <w:tc>
                <w:tcPr>
                  <w:tcW w:w="430" w:type="pct"/>
                  <w:tcBorders>
                    <w:top w:val="single" w:color="auto" w:sz="4" w:space="0"/>
                    <w:left w:val="single" w:color="auto" w:sz="4" w:space="0"/>
                    <w:bottom w:val="single" w:color="auto" w:sz="4" w:space="0"/>
                    <w:right w:val="single" w:color="auto" w:sz="4" w:space="0"/>
                  </w:tcBorders>
                  <w:vAlign w:val="center"/>
                </w:tcPr>
                <w:p w14:paraId="45A2F6BD">
                  <w:pPr>
                    <w:widowControl/>
                    <w:jc w:val="center"/>
                    <w:rPr>
                      <w:rFonts w:eastAsia="等线"/>
                      <w:sz w:val="18"/>
                      <w:szCs w:val="18"/>
                    </w:rPr>
                  </w:pPr>
                  <w:r>
                    <w:rPr>
                      <w:rFonts w:eastAsia="等线"/>
                      <w:sz w:val="18"/>
                      <w:szCs w:val="18"/>
                    </w:rPr>
                    <w:t>30</w:t>
                  </w:r>
                </w:p>
              </w:tc>
              <w:tc>
                <w:tcPr>
                  <w:tcW w:w="369" w:type="pct"/>
                  <w:tcBorders>
                    <w:top w:val="single" w:color="auto" w:sz="4" w:space="0"/>
                    <w:left w:val="single" w:color="auto" w:sz="4" w:space="0"/>
                    <w:bottom w:val="single" w:color="auto" w:sz="4" w:space="0"/>
                    <w:right w:val="single" w:color="auto" w:sz="4" w:space="0"/>
                  </w:tcBorders>
                  <w:vAlign w:val="center"/>
                </w:tcPr>
                <w:p w14:paraId="17E07A8B">
                  <w:pPr>
                    <w:widowControl/>
                    <w:jc w:val="center"/>
                    <w:rPr>
                      <w:rFonts w:eastAsia="等线"/>
                      <w:sz w:val="18"/>
                      <w:szCs w:val="18"/>
                    </w:rPr>
                  </w:pPr>
                  <w:r>
                    <w:rPr>
                      <w:rFonts w:eastAsia="等线"/>
                      <w:sz w:val="18"/>
                      <w:szCs w:val="18"/>
                    </w:rPr>
                    <w:t>5</w:t>
                  </w:r>
                </w:p>
              </w:tc>
              <w:tc>
                <w:tcPr>
                  <w:tcW w:w="347" w:type="pct"/>
                  <w:tcBorders>
                    <w:top w:val="single" w:color="auto" w:sz="4" w:space="0"/>
                    <w:left w:val="single" w:color="auto" w:sz="4" w:space="0"/>
                    <w:bottom w:val="single" w:color="auto" w:sz="4" w:space="0"/>
                    <w:right w:val="single" w:color="auto" w:sz="4" w:space="0"/>
                  </w:tcBorders>
                  <w:vAlign w:val="center"/>
                </w:tcPr>
                <w:p w14:paraId="19C9DDB9">
                  <w:pPr>
                    <w:widowControl/>
                    <w:jc w:val="center"/>
                    <w:rPr>
                      <w:rFonts w:eastAsia="等线"/>
                      <w:sz w:val="18"/>
                      <w:szCs w:val="18"/>
                    </w:rPr>
                  </w:pPr>
                  <w:r>
                    <w:rPr>
                      <w:rFonts w:eastAsia="等线"/>
                      <w:sz w:val="18"/>
                      <w:szCs w:val="18"/>
                    </w:rPr>
                    <w:t>0.5</w:t>
                  </w:r>
                </w:p>
              </w:tc>
              <w:tc>
                <w:tcPr>
                  <w:tcW w:w="356" w:type="pct"/>
                  <w:tcBorders>
                    <w:top w:val="single" w:color="auto" w:sz="4" w:space="0"/>
                    <w:left w:val="single" w:color="auto" w:sz="4" w:space="0"/>
                    <w:bottom w:val="single" w:color="auto" w:sz="4" w:space="0"/>
                    <w:right w:val="single" w:color="auto" w:sz="4" w:space="0"/>
                  </w:tcBorders>
                  <w:vAlign w:val="center"/>
                </w:tcPr>
                <w:p w14:paraId="704BB0A9">
                  <w:pPr>
                    <w:widowControl/>
                    <w:jc w:val="center"/>
                    <w:rPr>
                      <w:rFonts w:eastAsiaTheme="minorEastAsia"/>
                      <w:sz w:val="18"/>
                      <w:szCs w:val="18"/>
                    </w:rPr>
                  </w:pPr>
                  <w:r>
                    <w:rPr>
                      <w:rFonts w:eastAsiaTheme="minorEastAsia"/>
                      <w:sz w:val="18"/>
                      <w:szCs w:val="18"/>
                    </w:rPr>
                    <w:t>/</w:t>
                  </w:r>
                </w:p>
              </w:tc>
              <w:tc>
                <w:tcPr>
                  <w:tcW w:w="433" w:type="pct"/>
                  <w:tcBorders>
                    <w:top w:val="single" w:color="auto" w:sz="4" w:space="0"/>
                    <w:left w:val="single" w:color="auto" w:sz="4" w:space="0"/>
                    <w:bottom w:val="single" w:color="auto" w:sz="4" w:space="0"/>
                    <w:right w:val="single" w:color="auto" w:sz="4" w:space="0"/>
                  </w:tcBorders>
                  <w:vAlign w:val="center"/>
                </w:tcPr>
                <w:p w14:paraId="22C534EA">
                  <w:pPr>
                    <w:widowControl/>
                    <w:jc w:val="center"/>
                    <w:rPr>
                      <w:rFonts w:eastAsia="等线"/>
                      <w:sz w:val="18"/>
                      <w:szCs w:val="18"/>
                    </w:rPr>
                  </w:pPr>
                  <w:r>
                    <w:rPr>
                      <w:rFonts w:eastAsia="等线"/>
                      <w:sz w:val="18"/>
                      <w:szCs w:val="18"/>
                    </w:rPr>
                    <w:t>1.0</w:t>
                  </w:r>
                </w:p>
              </w:tc>
              <w:tc>
                <w:tcPr>
                  <w:tcW w:w="374" w:type="pct"/>
                  <w:tcBorders>
                    <w:top w:val="single" w:color="auto" w:sz="4" w:space="0"/>
                    <w:left w:val="single" w:color="auto" w:sz="4" w:space="0"/>
                    <w:bottom w:val="single" w:color="auto" w:sz="4" w:space="0"/>
                    <w:right w:val="single" w:color="auto" w:sz="4" w:space="0"/>
                  </w:tcBorders>
                  <w:vAlign w:val="center"/>
                </w:tcPr>
                <w:p w14:paraId="028BAFAE">
                  <w:pPr>
                    <w:widowControl/>
                    <w:jc w:val="center"/>
                    <w:rPr>
                      <w:rFonts w:eastAsia="等线"/>
                      <w:sz w:val="18"/>
                      <w:szCs w:val="18"/>
                    </w:rPr>
                  </w:pPr>
                  <w:r>
                    <w:rPr>
                      <w:rFonts w:eastAsia="等线"/>
                      <w:sz w:val="18"/>
                      <w:szCs w:val="18"/>
                    </w:rPr>
                    <w:t>1000</w:t>
                  </w:r>
                </w:p>
              </w:tc>
              <w:tc>
                <w:tcPr>
                  <w:tcW w:w="395" w:type="pct"/>
                  <w:tcBorders>
                    <w:top w:val="single" w:color="auto" w:sz="4" w:space="0"/>
                    <w:left w:val="single" w:color="auto" w:sz="4" w:space="0"/>
                    <w:bottom w:val="single" w:color="auto" w:sz="4" w:space="0"/>
                  </w:tcBorders>
                  <w:vAlign w:val="center"/>
                </w:tcPr>
                <w:p w14:paraId="43DF624E">
                  <w:pPr>
                    <w:widowControl/>
                    <w:jc w:val="center"/>
                    <w:rPr>
                      <w:rFonts w:eastAsiaTheme="minorEastAsia"/>
                      <w:sz w:val="18"/>
                      <w:szCs w:val="18"/>
                    </w:rPr>
                  </w:pPr>
                  <w:r>
                    <w:rPr>
                      <w:rFonts w:eastAsiaTheme="minorEastAsia"/>
                      <w:sz w:val="18"/>
                      <w:szCs w:val="18"/>
                    </w:rPr>
                    <w:t>/</w:t>
                  </w:r>
                </w:p>
              </w:tc>
              <w:tc>
                <w:tcPr>
                  <w:tcW w:w="357" w:type="pct"/>
                  <w:tcBorders>
                    <w:top w:val="single" w:color="auto" w:sz="4" w:space="0"/>
                    <w:left w:val="single" w:color="auto" w:sz="4" w:space="0"/>
                    <w:bottom w:val="single" w:color="auto" w:sz="4" w:space="0"/>
                  </w:tcBorders>
                  <w:vAlign w:val="center"/>
                </w:tcPr>
                <w:p w14:paraId="6BCB17BD">
                  <w:pPr>
                    <w:widowControl/>
                    <w:jc w:val="center"/>
                    <w:rPr>
                      <w:rFonts w:eastAsiaTheme="minorEastAsia"/>
                      <w:sz w:val="18"/>
                      <w:szCs w:val="18"/>
                    </w:rPr>
                  </w:pPr>
                  <w:r>
                    <w:rPr>
                      <w:rFonts w:eastAsiaTheme="minorEastAsia"/>
                      <w:sz w:val="18"/>
                      <w:szCs w:val="18"/>
                    </w:rPr>
                    <w:t>/</w:t>
                  </w:r>
                </w:p>
              </w:tc>
            </w:tr>
            <w:tr w14:paraId="4DA662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6" w:type="pct"/>
                  <w:vMerge w:val="restart"/>
                  <w:tcBorders>
                    <w:top w:val="single" w:color="auto" w:sz="4" w:space="0"/>
                    <w:right w:val="single" w:color="auto" w:sz="4" w:space="0"/>
                  </w:tcBorders>
                  <w:vAlign w:val="center"/>
                </w:tcPr>
                <w:p w14:paraId="5265FBBA">
                  <w:pPr>
                    <w:widowControl/>
                    <w:jc w:val="center"/>
                    <w:rPr>
                      <w:rFonts w:eastAsiaTheme="minorEastAsia"/>
                      <w:kern w:val="0"/>
                      <w:sz w:val="18"/>
                      <w:szCs w:val="18"/>
                    </w:rPr>
                  </w:pPr>
                  <w:r>
                    <w:rPr>
                      <w:kern w:val="0"/>
                      <w:sz w:val="18"/>
                      <w:szCs w:val="18"/>
                    </w:rPr>
                    <w:t>外排接管口</w:t>
                  </w:r>
                </w:p>
              </w:tc>
              <w:tc>
                <w:tcPr>
                  <w:tcW w:w="404" w:type="pct"/>
                  <w:vMerge w:val="restart"/>
                  <w:tcBorders>
                    <w:top w:val="single" w:color="auto" w:sz="4" w:space="0"/>
                    <w:left w:val="single" w:color="auto" w:sz="4" w:space="0"/>
                    <w:right w:val="single" w:color="auto" w:sz="4" w:space="0"/>
                  </w:tcBorders>
                  <w:vAlign w:val="center"/>
                </w:tcPr>
                <w:p w14:paraId="2D76F320">
                  <w:pPr>
                    <w:widowControl/>
                    <w:jc w:val="center"/>
                    <w:rPr>
                      <w:rFonts w:eastAsia="等线"/>
                      <w:kern w:val="0"/>
                      <w:sz w:val="18"/>
                      <w:szCs w:val="18"/>
                    </w:rPr>
                  </w:pPr>
                  <w:r>
                    <w:rPr>
                      <w:rFonts w:eastAsia="等线"/>
                      <w:kern w:val="0"/>
                      <w:sz w:val="18"/>
                      <w:szCs w:val="18"/>
                    </w:rPr>
                    <w:t>2024.</w:t>
                  </w:r>
                </w:p>
                <w:p w14:paraId="4759E353">
                  <w:pPr>
                    <w:widowControl/>
                    <w:jc w:val="center"/>
                    <w:rPr>
                      <w:rFonts w:eastAsia="等线"/>
                      <w:kern w:val="0"/>
                      <w:sz w:val="18"/>
                      <w:szCs w:val="18"/>
                    </w:rPr>
                  </w:pPr>
                  <w:r>
                    <w:rPr>
                      <w:rFonts w:eastAsia="等线"/>
                      <w:kern w:val="0"/>
                      <w:sz w:val="18"/>
                      <w:szCs w:val="18"/>
                    </w:rPr>
                    <w:t>9.12</w:t>
                  </w:r>
                </w:p>
              </w:tc>
              <w:tc>
                <w:tcPr>
                  <w:tcW w:w="433" w:type="pct"/>
                  <w:tcBorders>
                    <w:top w:val="single" w:color="auto" w:sz="4" w:space="0"/>
                    <w:left w:val="single" w:color="auto" w:sz="4" w:space="0"/>
                    <w:bottom w:val="single" w:color="auto" w:sz="4" w:space="0"/>
                    <w:right w:val="single" w:color="auto" w:sz="4" w:space="0"/>
                  </w:tcBorders>
                  <w:vAlign w:val="center"/>
                </w:tcPr>
                <w:p w14:paraId="5E72B2AE">
                  <w:pPr>
                    <w:widowControl/>
                    <w:jc w:val="center"/>
                    <w:rPr>
                      <w:kern w:val="0"/>
                      <w:sz w:val="18"/>
                      <w:szCs w:val="18"/>
                    </w:rPr>
                  </w:pPr>
                  <w:r>
                    <w:rPr>
                      <w:kern w:val="0"/>
                      <w:sz w:val="18"/>
                      <w:szCs w:val="18"/>
                    </w:rPr>
                    <w:t>第一次</w:t>
                  </w:r>
                </w:p>
              </w:tc>
              <w:tc>
                <w:tcPr>
                  <w:tcW w:w="321" w:type="pct"/>
                  <w:tcBorders>
                    <w:top w:val="single" w:color="auto" w:sz="4" w:space="0"/>
                    <w:left w:val="single" w:color="auto" w:sz="4" w:space="0"/>
                    <w:bottom w:val="single" w:color="auto" w:sz="4" w:space="0"/>
                    <w:right w:val="single" w:color="auto" w:sz="4" w:space="0"/>
                  </w:tcBorders>
                  <w:vAlign w:val="center"/>
                </w:tcPr>
                <w:p w14:paraId="713D9AA5">
                  <w:pPr>
                    <w:widowControl/>
                    <w:jc w:val="center"/>
                    <w:rPr>
                      <w:rFonts w:eastAsia="等线"/>
                      <w:sz w:val="18"/>
                      <w:szCs w:val="18"/>
                    </w:rPr>
                  </w:pPr>
                  <w:r>
                    <w:rPr>
                      <w:rFonts w:eastAsia="等线"/>
                      <w:sz w:val="18"/>
                      <w:szCs w:val="18"/>
                    </w:rPr>
                    <w:t>7.2</w:t>
                  </w:r>
                </w:p>
              </w:tc>
              <w:tc>
                <w:tcPr>
                  <w:tcW w:w="425" w:type="pct"/>
                  <w:tcBorders>
                    <w:top w:val="single" w:color="auto" w:sz="4" w:space="0"/>
                    <w:left w:val="single" w:color="auto" w:sz="4" w:space="0"/>
                    <w:bottom w:val="single" w:color="auto" w:sz="4" w:space="0"/>
                    <w:right w:val="single" w:color="auto" w:sz="4" w:space="0"/>
                  </w:tcBorders>
                  <w:vAlign w:val="center"/>
                </w:tcPr>
                <w:p w14:paraId="6362992F">
                  <w:pPr>
                    <w:widowControl/>
                    <w:jc w:val="center"/>
                    <w:rPr>
                      <w:rFonts w:eastAsia="等线"/>
                      <w:sz w:val="18"/>
                      <w:szCs w:val="18"/>
                    </w:rPr>
                  </w:pPr>
                  <w:r>
                    <w:rPr>
                      <w:rFonts w:eastAsia="等线"/>
                      <w:sz w:val="18"/>
                      <w:szCs w:val="18"/>
                    </w:rPr>
                    <w:t>10</w:t>
                  </w:r>
                </w:p>
              </w:tc>
              <w:tc>
                <w:tcPr>
                  <w:tcW w:w="430" w:type="pct"/>
                  <w:tcBorders>
                    <w:top w:val="single" w:color="auto" w:sz="4" w:space="0"/>
                    <w:left w:val="single" w:color="auto" w:sz="4" w:space="0"/>
                    <w:bottom w:val="single" w:color="auto" w:sz="4" w:space="0"/>
                    <w:right w:val="single" w:color="auto" w:sz="4" w:space="0"/>
                  </w:tcBorders>
                  <w:vAlign w:val="center"/>
                </w:tcPr>
                <w:p w14:paraId="589B99FB">
                  <w:pPr>
                    <w:widowControl/>
                    <w:jc w:val="center"/>
                    <w:rPr>
                      <w:rFonts w:eastAsia="等线"/>
                      <w:sz w:val="18"/>
                      <w:szCs w:val="18"/>
                    </w:rPr>
                  </w:pPr>
                  <w:r>
                    <w:rPr>
                      <w:rFonts w:eastAsia="等线"/>
                      <w:sz w:val="18"/>
                      <w:szCs w:val="18"/>
                    </w:rPr>
                    <w:t>7</w:t>
                  </w:r>
                </w:p>
              </w:tc>
              <w:tc>
                <w:tcPr>
                  <w:tcW w:w="369" w:type="pct"/>
                  <w:tcBorders>
                    <w:top w:val="single" w:color="auto" w:sz="4" w:space="0"/>
                    <w:left w:val="single" w:color="auto" w:sz="4" w:space="0"/>
                    <w:bottom w:val="single" w:color="auto" w:sz="4" w:space="0"/>
                    <w:right w:val="single" w:color="auto" w:sz="4" w:space="0"/>
                  </w:tcBorders>
                  <w:vAlign w:val="center"/>
                </w:tcPr>
                <w:p w14:paraId="646F2054">
                  <w:pPr>
                    <w:widowControl/>
                    <w:jc w:val="center"/>
                    <w:rPr>
                      <w:rFonts w:eastAsia="等线"/>
                      <w:sz w:val="18"/>
                      <w:szCs w:val="18"/>
                    </w:rPr>
                  </w:pPr>
                  <w:r>
                    <w:rPr>
                      <w:rFonts w:eastAsia="等线"/>
                      <w:sz w:val="18"/>
                      <w:szCs w:val="18"/>
                    </w:rPr>
                    <w:t>0.17</w:t>
                  </w:r>
                </w:p>
              </w:tc>
              <w:tc>
                <w:tcPr>
                  <w:tcW w:w="347" w:type="pct"/>
                  <w:tcBorders>
                    <w:top w:val="single" w:color="auto" w:sz="4" w:space="0"/>
                    <w:left w:val="single" w:color="auto" w:sz="4" w:space="0"/>
                    <w:bottom w:val="single" w:color="auto" w:sz="4" w:space="0"/>
                    <w:right w:val="single" w:color="auto" w:sz="4" w:space="0"/>
                  </w:tcBorders>
                  <w:vAlign w:val="center"/>
                </w:tcPr>
                <w:p w14:paraId="163810CF">
                  <w:pPr>
                    <w:widowControl/>
                    <w:jc w:val="center"/>
                    <w:rPr>
                      <w:rFonts w:eastAsia="等线"/>
                      <w:sz w:val="18"/>
                      <w:szCs w:val="18"/>
                    </w:rPr>
                  </w:pPr>
                  <w:r>
                    <w:rPr>
                      <w:rFonts w:eastAsia="等线"/>
                      <w:sz w:val="18"/>
                      <w:szCs w:val="18"/>
                    </w:rPr>
                    <w:t>0.12</w:t>
                  </w:r>
                </w:p>
              </w:tc>
              <w:tc>
                <w:tcPr>
                  <w:tcW w:w="356" w:type="pct"/>
                  <w:tcBorders>
                    <w:top w:val="single" w:color="auto" w:sz="4" w:space="0"/>
                    <w:left w:val="single" w:color="auto" w:sz="4" w:space="0"/>
                    <w:bottom w:val="single" w:color="auto" w:sz="4" w:space="0"/>
                    <w:right w:val="single" w:color="auto" w:sz="4" w:space="0"/>
                  </w:tcBorders>
                  <w:vAlign w:val="center"/>
                </w:tcPr>
                <w:p w14:paraId="7FE983F3">
                  <w:pPr>
                    <w:widowControl/>
                    <w:jc w:val="center"/>
                    <w:rPr>
                      <w:rFonts w:eastAsiaTheme="minorEastAsia"/>
                      <w:sz w:val="18"/>
                      <w:szCs w:val="18"/>
                    </w:rPr>
                  </w:pPr>
                  <w:r>
                    <w:rPr>
                      <w:rFonts w:eastAsia="等线"/>
                      <w:sz w:val="18"/>
                      <w:szCs w:val="18"/>
                    </w:rPr>
                    <w:t>0.49</w:t>
                  </w:r>
                </w:p>
              </w:tc>
              <w:tc>
                <w:tcPr>
                  <w:tcW w:w="433" w:type="pct"/>
                  <w:tcBorders>
                    <w:top w:val="single" w:color="auto" w:sz="4" w:space="0"/>
                    <w:left w:val="single" w:color="auto" w:sz="4" w:space="0"/>
                    <w:bottom w:val="single" w:color="auto" w:sz="4" w:space="0"/>
                    <w:right w:val="single" w:color="auto" w:sz="4" w:space="0"/>
                  </w:tcBorders>
                  <w:vAlign w:val="center"/>
                </w:tcPr>
                <w:p w14:paraId="3C780EAB">
                  <w:pPr>
                    <w:widowControl/>
                    <w:jc w:val="center"/>
                    <w:rPr>
                      <w:rFonts w:eastAsia="等线"/>
                      <w:sz w:val="18"/>
                      <w:szCs w:val="18"/>
                    </w:rPr>
                  </w:pPr>
                  <w:r>
                    <w:rPr>
                      <w:rFonts w:eastAsia="等线"/>
                      <w:sz w:val="18"/>
                      <w:szCs w:val="18"/>
                    </w:rPr>
                    <w:t>0.18</w:t>
                  </w:r>
                </w:p>
              </w:tc>
              <w:tc>
                <w:tcPr>
                  <w:tcW w:w="374" w:type="pct"/>
                  <w:tcBorders>
                    <w:top w:val="single" w:color="auto" w:sz="4" w:space="0"/>
                    <w:left w:val="single" w:color="auto" w:sz="4" w:space="0"/>
                    <w:bottom w:val="single" w:color="auto" w:sz="4" w:space="0"/>
                    <w:right w:val="single" w:color="auto" w:sz="4" w:space="0"/>
                  </w:tcBorders>
                  <w:vAlign w:val="center"/>
                </w:tcPr>
                <w:p w14:paraId="64D786AB">
                  <w:pPr>
                    <w:widowControl/>
                    <w:jc w:val="center"/>
                    <w:rPr>
                      <w:rFonts w:eastAsia="等线"/>
                      <w:sz w:val="18"/>
                      <w:szCs w:val="18"/>
                    </w:rPr>
                  </w:pPr>
                  <w:r>
                    <w:rPr>
                      <w:rFonts w:eastAsiaTheme="minorEastAsia"/>
                      <w:sz w:val="18"/>
                      <w:szCs w:val="18"/>
                    </w:rPr>
                    <w:t>/</w:t>
                  </w:r>
                </w:p>
              </w:tc>
              <w:tc>
                <w:tcPr>
                  <w:tcW w:w="395" w:type="pct"/>
                  <w:tcBorders>
                    <w:top w:val="single" w:color="auto" w:sz="4" w:space="0"/>
                    <w:left w:val="single" w:color="auto" w:sz="4" w:space="0"/>
                    <w:bottom w:val="single" w:color="auto" w:sz="4" w:space="0"/>
                  </w:tcBorders>
                  <w:vAlign w:val="center"/>
                </w:tcPr>
                <w:p w14:paraId="3B563213">
                  <w:pPr>
                    <w:widowControl/>
                    <w:jc w:val="center"/>
                    <w:rPr>
                      <w:rFonts w:eastAsiaTheme="minorEastAsia"/>
                      <w:sz w:val="18"/>
                      <w:szCs w:val="18"/>
                    </w:rPr>
                  </w:pPr>
                  <w:r>
                    <w:rPr>
                      <w:rFonts w:eastAsia="等线"/>
                      <w:sz w:val="18"/>
                      <w:szCs w:val="18"/>
                    </w:rPr>
                    <w:t>2</w:t>
                  </w:r>
                </w:p>
              </w:tc>
              <w:tc>
                <w:tcPr>
                  <w:tcW w:w="357" w:type="pct"/>
                  <w:tcBorders>
                    <w:top w:val="single" w:color="auto" w:sz="4" w:space="0"/>
                    <w:left w:val="single" w:color="auto" w:sz="4" w:space="0"/>
                    <w:bottom w:val="single" w:color="auto" w:sz="4" w:space="0"/>
                  </w:tcBorders>
                  <w:vAlign w:val="center"/>
                </w:tcPr>
                <w:p w14:paraId="74CBE894">
                  <w:pPr>
                    <w:widowControl/>
                    <w:jc w:val="center"/>
                    <w:rPr>
                      <w:rFonts w:eastAsia="等线"/>
                      <w:sz w:val="18"/>
                      <w:szCs w:val="18"/>
                    </w:rPr>
                  </w:pPr>
                  <w:r>
                    <w:rPr>
                      <w:rFonts w:eastAsia="等线"/>
                      <w:sz w:val="18"/>
                      <w:szCs w:val="18"/>
                    </w:rPr>
                    <w:t>0.002</w:t>
                  </w:r>
                </w:p>
              </w:tc>
            </w:tr>
            <w:tr w14:paraId="1E7BCC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6" w:type="pct"/>
                  <w:vMerge w:val="continue"/>
                  <w:tcBorders>
                    <w:right w:val="single" w:color="auto" w:sz="4" w:space="0"/>
                  </w:tcBorders>
                  <w:vAlign w:val="center"/>
                </w:tcPr>
                <w:p w14:paraId="03147EC8">
                  <w:pPr>
                    <w:widowControl/>
                    <w:jc w:val="center"/>
                    <w:rPr>
                      <w:kern w:val="0"/>
                      <w:sz w:val="18"/>
                      <w:szCs w:val="18"/>
                    </w:rPr>
                  </w:pPr>
                </w:p>
              </w:tc>
              <w:tc>
                <w:tcPr>
                  <w:tcW w:w="404" w:type="pct"/>
                  <w:vMerge w:val="continue"/>
                  <w:tcBorders>
                    <w:left w:val="single" w:color="auto" w:sz="4" w:space="0"/>
                    <w:right w:val="single" w:color="auto" w:sz="4" w:space="0"/>
                  </w:tcBorders>
                  <w:vAlign w:val="center"/>
                </w:tcPr>
                <w:p w14:paraId="44507B59">
                  <w:pPr>
                    <w:widowControl/>
                    <w:jc w:val="center"/>
                    <w:rPr>
                      <w:rFonts w:eastAsia="等线"/>
                      <w:kern w:val="0"/>
                      <w:sz w:val="18"/>
                      <w:szCs w:val="18"/>
                    </w:rPr>
                  </w:pPr>
                </w:p>
              </w:tc>
              <w:tc>
                <w:tcPr>
                  <w:tcW w:w="433" w:type="pct"/>
                  <w:tcBorders>
                    <w:top w:val="single" w:color="auto" w:sz="4" w:space="0"/>
                    <w:left w:val="single" w:color="auto" w:sz="4" w:space="0"/>
                    <w:bottom w:val="single" w:color="auto" w:sz="4" w:space="0"/>
                    <w:right w:val="single" w:color="auto" w:sz="4" w:space="0"/>
                  </w:tcBorders>
                  <w:vAlign w:val="center"/>
                </w:tcPr>
                <w:p w14:paraId="5E98E41E">
                  <w:pPr>
                    <w:widowControl/>
                    <w:jc w:val="center"/>
                    <w:rPr>
                      <w:kern w:val="0"/>
                      <w:sz w:val="18"/>
                      <w:szCs w:val="18"/>
                    </w:rPr>
                  </w:pPr>
                  <w:r>
                    <w:rPr>
                      <w:kern w:val="0"/>
                      <w:sz w:val="18"/>
                      <w:szCs w:val="18"/>
                    </w:rPr>
                    <w:t>第二次</w:t>
                  </w:r>
                </w:p>
              </w:tc>
              <w:tc>
                <w:tcPr>
                  <w:tcW w:w="321" w:type="pct"/>
                  <w:tcBorders>
                    <w:top w:val="single" w:color="auto" w:sz="4" w:space="0"/>
                    <w:left w:val="single" w:color="auto" w:sz="4" w:space="0"/>
                    <w:bottom w:val="single" w:color="auto" w:sz="4" w:space="0"/>
                    <w:right w:val="single" w:color="auto" w:sz="4" w:space="0"/>
                  </w:tcBorders>
                  <w:vAlign w:val="center"/>
                </w:tcPr>
                <w:p w14:paraId="2A743B20">
                  <w:pPr>
                    <w:widowControl/>
                    <w:jc w:val="center"/>
                    <w:rPr>
                      <w:rFonts w:eastAsia="等线"/>
                      <w:sz w:val="18"/>
                      <w:szCs w:val="18"/>
                    </w:rPr>
                  </w:pPr>
                  <w:r>
                    <w:rPr>
                      <w:rFonts w:eastAsia="等线"/>
                      <w:sz w:val="18"/>
                      <w:szCs w:val="18"/>
                    </w:rPr>
                    <w:t>7.4</w:t>
                  </w:r>
                </w:p>
              </w:tc>
              <w:tc>
                <w:tcPr>
                  <w:tcW w:w="425" w:type="pct"/>
                  <w:tcBorders>
                    <w:top w:val="single" w:color="auto" w:sz="4" w:space="0"/>
                    <w:left w:val="single" w:color="auto" w:sz="4" w:space="0"/>
                    <w:bottom w:val="single" w:color="auto" w:sz="4" w:space="0"/>
                    <w:right w:val="single" w:color="auto" w:sz="4" w:space="0"/>
                  </w:tcBorders>
                  <w:vAlign w:val="center"/>
                </w:tcPr>
                <w:p w14:paraId="480D0780">
                  <w:pPr>
                    <w:widowControl/>
                    <w:jc w:val="center"/>
                    <w:rPr>
                      <w:rFonts w:eastAsia="等线"/>
                      <w:sz w:val="18"/>
                      <w:szCs w:val="18"/>
                    </w:rPr>
                  </w:pPr>
                  <w:r>
                    <w:rPr>
                      <w:rFonts w:eastAsia="等线"/>
                      <w:sz w:val="18"/>
                      <w:szCs w:val="18"/>
                    </w:rPr>
                    <w:t>12</w:t>
                  </w:r>
                </w:p>
              </w:tc>
              <w:tc>
                <w:tcPr>
                  <w:tcW w:w="430" w:type="pct"/>
                  <w:tcBorders>
                    <w:top w:val="single" w:color="auto" w:sz="4" w:space="0"/>
                    <w:left w:val="single" w:color="auto" w:sz="4" w:space="0"/>
                    <w:bottom w:val="single" w:color="auto" w:sz="4" w:space="0"/>
                    <w:right w:val="single" w:color="auto" w:sz="4" w:space="0"/>
                  </w:tcBorders>
                  <w:vAlign w:val="center"/>
                </w:tcPr>
                <w:p w14:paraId="36E5A147">
                  <w:pPr>
                    <w:widowControl/>
                    <w:jc w:val="center"/>
                    <w:rPr>
                      <w:rFonts w:eastAsia="等线"/>
                      <w:sz w:val="18"/>
                      <w:szCs w:val="18"/>
                    </w:rPr>
                  </w:pPr>
                  <w:r>
                    <w:rPr>
                      <w:rFonts w:eastAsia="等线"/>
                      <w:sz w:val="18"/>
                      <w:szCs w:val="18"/>
                    </w:rPr>
                    <w:t>5</w:t>
                  </w:r>
                </w:p>
              </w:tc>
              <w:tc>
                <w:tcPr>
                  <w:tcW w:w="369" w:type="pct"/>
                  <w:tcBorders>
                    <w:top w:val="single" w:color="auto" w:sz="4" w:space="0"/>
                    <w:left w:val="single" w:color="auto" w:sz="4" w:space="0"/>
                    <w:bottom w:val="single" w:color="auto" w:sz="4" w:space="0"/>
                    <w:right w:val="single" w:color="auto" w:sz="4" w:space="0"/>
                  </w:tcBorders>
                  <w:vAlign w:val="center"/>
                </w:tcPr>
                <w:p w14:paraId="2268EA3A">
                  <w:pPr>
                    <w:widowControl/>
                    <w:jc w:val="center"/>
                    <w:rPr>
                      <w:rFonts w:eastAsia="等线"/>
                      <w:sz w:val="18"/>
                      <w:szCs w:val="18"/>
                    </w:rPr>
                  </w:pPr>
                  <w:r>
                    <w:rPr>
                      <w:rFonts w:eastAsia="等线"/>
                      <w:sz w:val="18"/>
                      <w:szCs w:val="18"/>
                    </w:rPr>
                    <w:t>0.16</w:t>
                  </w:r>
                </w:p>
              </w:tc>
              <w:tc>
                <w:tcPr>
                  <w:tcW w:w="347" w:type="pct"/>
                  <w:tcBorders>
                    <w:top w:val="single" w:color="auto" w:sz="4" w:space="0"/>
                    <w:left w:val="single" w:color="auto" w:sz="4" w:space="0"/>
                    <w:bottom w:val="single" w:color="auto" w:sz="4" w:space="0"/>
                    <w:right w:val="single" w:color="auto" w:sz="4" w:space="0"/>
                  </w:tcBorders>
                  <w:vAlign w:val="center"/>
                </w:tcPr>
                <w:p w14:paraId="2DEE66D9">
                  <w:pPr>
                    <w:widowControl/>
                    <w:jc w:val="center"/>
                    <w:rPr>
                      <w:rFonts w:eastAsia="等线"/>
                      <w:sz w:val="18"/>
                      <w:szCs w:val="18"/>
                    </w:rPr>
                  </w:pPr>
                  <w:r>
                    <w:rPr>
                      <w:rFonts w:eastAsia="等线"/>
                      <w:sz w:val="18"/>
                      <w:szCs w:val="18"/>
                    </w:rPr>
                    <w:t>0.14</w:t>
                  </w:r>
                </w:p>
              </w:tc>
              <w:tc>
                <w:tcPr>
                  <w:tcW w:w="356" w:type="pct"/>
                  <w:tcBorders>
                    <w:top w:val="single" w:color="auto" w:sz="4" w:space="0"/>
                    <w:left w:val="single" w:color="auto" w:sz="4" w:space="0"/>
                    <w:bottom w:val="single" w:color="auto" w:sz="4" w:space="0"/>
                    <w:right w:val="single" w:color="auto" w:sz="4" w:space="0"/>
                  </w:tcBorders>
                  <w:vAlign w:val="center"/>
                </w:tcPr>
                <w:p w14:paraId="2DEC5A04">
                  <w:pPr>
                    <w:widowControl/>
                    <w:jc w:val="center"/>
                    <w:rPr>
                      <w:rFonts w:eastAsia="等线"/>
                      <w:sz w:val="18"/>
                      <w:szCs w:val="18"/>
                    </w:rPr>
                  </w:pPr>
                  <w:r>
                    <w:rPr>
                      <w:rFonts w:eastAsia="等线"/>
                      <w:sz w:val="18"/>
                      <w:szCs w:val="18"/>
                    </w:rPr>
                    <w:t>0.6</w:t>
                  </w:r>
                </w:p>
              </w:tc>
              <w:tc>
                <w:tcPr>
                  <w:tcW w:w="433" w:type="pct"/>
                  <w:tcBorders>
                    <w:top w:val="single" w:color="auto" w:sz="4" w:space="0"/>
                    <w:left w:val="single" w:color="auto" w:sz="4" w:space="0"/>
                    <w:bottom w:val="single" w:color="auto" w:sz="4" w:space="0"/>
                    <w:right w:val="single" w:color="auto" w:sz="4" w:space="0"/>
                  </w:tcBorders>
                  <w:vAlign w:val="center"/>
                </w:tcPr>
                <w:p w14:paraId="5F46145B">
                  <w:pPr>
                    <w:widowControl/>
                    <w:jc w:val="center"/>
                    <w:rPr>
                      <w:rFonts w:eastAsia="等线"/>
                      <w:sz w:val="18"/>
                      <w:szCs w:val="18"/>
                    </w:rPr>
                  </w:pPr>
                  <w:r>
                    <w:rPr>
                      <w:rFonts w:eastAsia="等线"/>
                      <w:sz w:val="18"/>
                      <w:szCs w:val="18"/>
                    </w:rPr>
                    <w:t>0.14</w:t>
                  </w:r>
                </w:p>
              </w:tc>
              <w:tc>
                <w:tcPr>
                  <w:tcW w:w="374" w:type="pct"/>
                  <w:tcBorders>
                    <w:top w:val="single" w:color="auto" w:sz="4" w:space="0"/>
                    <w:left w:val="single" w:color="auto" w:sz="4" w:space="0"/>
                    <w:bottom w:val="single" w:color="auto" w:sz="4" w:space="0"/>
                    <w:right w:val="single" w:color="auto" w:sz="4" w:space="0"/>
                  </w:tcBorders>
                  <w:vAlign w:val="center"/>
                </w:tcPr>
                <w:p w14:paraId="1E87DD26">
                  <w:pPr>
                    <w:widowControl/>
                    <w:jc w:val="center"/>
                    <w:rPr>
                      <w:rFonts w:eastAsia="等线"/>
                      <w:sz w:val="18"/>
                      <w:szCs w:val="18"/>
                    </w:rPr>
                  </w:pPr>
                  <w:r>
                    <w:rPr>
                      <w:rFonts w:eastAsiaTheme="minorEastAsia"/>
                      <w:sz w:val="18"/>
                      <w:szCs w:val="18"/>
                    </w:rPr>
                    <w:t>/</w:t>
                  </w:r>
                </w:p>
              </w:tc>
              <w:tc>
                <w:tcPr>
                  <w:tcW w:w="395" w:type="pct"/>
                  <w:tcBorders>
                    <w:top w:val="single" w:color="auto" w:sz="4" w:space="0"/>
                    <w:left w:val="single" w:color="auto" w:sz="4" w:space="0"/>
                    <w:bottom w:val="single" w:color="auto" w:sz="4" w:space="0"/>
                  </w:tcBorders>
                  <w:vAlign w:val="center"/>
                </w:tcPr>
                <w:p w14:paraId="5D3BB878">
                  <w:pPr>
                    <w:widowControl/>
                    <w:jc w:val="center"/>
                    <w:rPr>
                      <w:rFonts w:eastAsia="等线"/>
                      <w:sz w:val="18"/>
                      <w:szCs w:val="18"/>
                    </w:rPr>
                  </w:pPr>
                  <w:r>
                    <w:rPr>
                      <w:rFonts w:eastAsia="等线"/>
                      <w:sz w:val="18"/>
                      <w:szCs w:val="18"/>
                    </w:rPr>
                    <w:t>2.4</w:t>
                  </w:r>
                </w:p>
              </w:tc>
              <w:tc>
                <w:tcPr>
                  <w:tcW w:w="357" w:type="pct"/>
                  <w:tcBorders>
                    <w:top w:val="single" w:color="auto" w:sz="4" w:space="0"/>
                    <w:left w:val="single" w:color="auto" w:sz="4" w:space="0"/>
                    <w:bottom w:val="single" w:color="auto" w:sz="4" w:space="0"/>
                  </w:tcBorders>
                  <w:vAlign w:val="center"/>
                </w:tcPr>
                <w:p w14:paraId="5720C03D">
                  <w:pPr>
                    <w:widowControl/>
                    <w:jc w:val="center"/>
                    <w:rPr>
                      <w:rFonts w:eastAsia="等线"/>
                      <w:sz w:val="18"/>
                      <w:szCs w:val="18"/>
                    </w:rPr>
                  </w:pPr>
                  <w:r>
                    <w:rPr>
                      <w:rFonts w:eastAsiaTheme="minorEastAsia"/>
                      <w:sz w:val="18"/>
                      <w:szCs w:val="18"/>
                    </w:rPr>
                    <w:t>/</w:t>
                  </w:r>
                </w:p>
              </w:tc>
            </w:tr>
            <w:tr w14:paraId="72B258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6" w:type="pct"/>
                  <w:vMerge w:val="continue"/>
                  <w:tcBorders>
                    <w:right w:val="single" w:color="auto" w:sz="4" w:space="0"/>
                  </w:tcBorders>
                  <w:vAlign w:val="center"/>
                </w:tcPr>
                <w:p w14:paraId="0E627E96">
                  <w:pPr>
                    <w:widowControl/>
                    <w:jc w:val="center"/>
                    <w:rPr>
                      <w:kern w:val="0"/>
                      <w:sz w:val="18"/>
                      <w:szCs w:val="18"/>
                    </w:rPr>
                  </w:pPr>
                </w:p>
              </w:tc>
              <w:tc>
                <w:tcPr>
                  <w:tcW w:w="404" w:type="pct"/>
                  <w:vMerge w:val="continue"/>
                  <w:tcBorders>
                    <w:left w:val="single" w:color="auto" w:sz="4" w:space="0"/>
                    <w:right w:val="single" w:color="auto" w:sz="4" w:space="0"/>
                  </w:tcBorders>
                  <w:vAlign w:val="center"/>
                </w:tcPr>
                <w:p w14:paraId="739EF9A9">
                  <w:pPr>
                    <w:widowControl/>
                    <w:jc w:val="center"/>
                    <w:rPr>
                      <w:rFonts w:eastAsia="等线"/>
                      <w:kern w:val="0"/>
                      <w:sz w:val="18"/>
                      <w:szCs w:val="18"/>
                    </w:rPr>
                  </w:pPr>
                </w:p>
              </w:tc>
              <w:tc>
                <w:tcPr>
                  <w:tcW w:w="433" w:type="pct"/>
                  <w:tcBorders>
                    <w:top w:val="single" w:color="auto" w:sz="4" w:space="0"/>
                    <w:left w:val="single" w:color="auto" w:sz="4" w:space="0"/>
                    <w:bottom w:val="single" w:color="auto" w:sz="4" w:space="0"/>
                    <w:right w:val="single" w:color="auto" w:sz="4" w:space="0"/>
                  </w:tcBorders>
                  <w:vAlign w:val="center"/>
                </w:tcPr>
                <w:p w14:paraId="34DCB8F0">
                  <w:pPr>
                    <w:widowControl/>
                    <w:jc w:val="center"/>
                    <w:rPr>
                      <w:kern w:val="0"/>
                      <w:sz w:val="18"/>
                      <w:szCs w:val="18"/>
                    </w:rPr>
                  </w:pPr>
                  <w:r>
                    <w:rPr>
                      <w:kern w:val="0"/>
                      <w:sz w:val="18"/>
                      <w:szCs w:val="18"/>
                    </w:rPr>
                    <w:t>第三次</w:t>
                  </w:r>
                </w:p>
              </w:tc>
              <w:tc>
                <w:tcPr>
                  <w:tcW w:w="321" w:type="pct"/>
                  <w:tcBorders>
                    <w:top w:val="single" w:color="auto" w:sz="4" w:space="0"/>
                    <w:left w:val="single" w:color="auto" w:sz="4" w:space="0"/>
                    <w:bottom w:val="single" w:color="auto" w:sz="4" w:space="0"/>
                    <w:right w:val="single" w:color="auto" w:sz="4" w:space="0"/>
                  </w:tcBorders>
                  <w:vAlign w:val="center"/>
                </w:tcPr>
                <w:p w14:paraId="12AFA270">
                  <w:pPr>
                    <w:widowControl/>
                    <w:jc w:val="center"/>
                    <w:rPr>
                      <w:rFonts w:eastAsia="等线"/>
                      <w:sz w:val="18"/>
                      <w:szCs w:val="18"/>
                    </w:rPr>
                  </w:pPr>
                  <w:r>
                    <w:rPr>
                      <w:rFonts w:eastAsia="等线"/>
                      <w:sz w:val="18"/>
                      <w:szCs w:val="18"/>
                    </w:rPr>
                    <w:t>7.3</w:t>
                  </w:r>
                </w:p>
              </w:tc>
              <w:tc>
                <w:tcPr>
                  <w:tcW w:w="425" w:type="pct"/>
                  <w:tcBorders>
                    <w:top w:val="single" w:color="auto" w:sz="4" w:space="0"/>
                    <w:left w:val="single" w:color="auto" w:sz="4" w:space="0"/>
                    <w:bottom w:val="single" w:color="auto" w:sz="4" w:space="0"/>
                    <w:right w:val="single" w:color="auto" w:sz="4" w:space="0"/>
                  </w:tcBorders>
                  <w:vAlign w:val="center"/>
                </w:tcPr>
                <w:p w14:paraId="76F74E98">
                  <w:pPr>
                    <w:widowControl/>
                    <w:jc w:val="center"/>
                    <w:rPr>
                      <w:rFonts w:eastAsia="等线"/>
                      <w:sz w:val="18"/>
                      <w:szCs w:val="18"/>
                    </w:rPr>
                  </w:pPr>
                  <w:r>
                    <w:rPr>
                      <w:rFonts w:eastAsia="等线"/>
                      <w:sz w:val="18"/>
                      <w:szCs w:val="18"/>
                    </w:rPr>
                    <w:t>13</w:t>
                  </w:r>
                </w:p>
              </w:tc>
              <w:tc>
                <w:tcPr>
                  <w:tcW w:w="430" w:type="pct"/>
                  <w:tcBorders>
                    <w:top w:val="single" w:color="auto" w:sz="4" w:space="0"/>
                    <w:left w:val="single" w:color="auto" w:sz="4" w:space="0"/>
                    <w:bottom w:val="single" w:color="auto" w:sz="4" w:space="0"/>
                    <w:right w:val="single" w:color="auto" w:sz="4" w:space="0"/>
                  </w:tcBorders>
                  <w:vAlign w:val="center"/>
                </w:tcPr>
                <w:p w14:paraId="088F07FF">
                  <w:pPr>
                    <w:widowControl/>
                    <w:jc w:val="center"/>
                    <w:rPr>
                      <w:rFonts w:eastAsia="等线"/>
                      <w:sz w:val="18"/>
                      <w:szCs w:val="18"/>
                    </w:rPr>
                  </w:pPr>
                  <w:r>
                    <w:rPr>
                      <w:rFonts w:eastAsia="等线"/>
                      <w:sz w:val="18"/>
                      <w:szCs w:val="18"/>
                    </w:rPr>
                    <w:t>8</w:t>
                  </w:r>
                </w:p>
              </w:tc>
              <w:tc>
                <w:tcPr>
                  <w:tcW w:w="369" w:type="pct"/>
                  <w:tcBorders>
                    <w:top w:val="single" w:color="auto" w:sz="4" w:space="0"/>
                    <w:left w:val="single" w:color="auto" w:sz="4" w:space="0"/>
                    <w:bottom w:val="single" w:color="auto" w:sz="4" w:space="0"/>
                    <w:right w:val="single" w:color="auto" w:sz="4" w:space="0"/>
                  </w:tcBorders>
                  <w:vAlign w:val="center"/>
                </w:tcPr>
                <w:p w14:paraId="72326EF7">
                  <w:pPr>
                    <w:widowControl/>
                    <w:jc w:val="center"/>
                    <w:rPr>
                      <w:rFonts w:eastAsia="等线"/>
                      <w:sz w:val="18"/>
                      <w:szCs w:val="18"/>
                    </w:rPr>
                  </w:pPr>
                  <w:r>
                    <w:rPr>
                      <w:rFonts w:eastAsia="等线"/>
                      <w:sz w:val="18"/>
                      <w:szCs w:val="18"/>
                    </w:rPr>
                    <w:t>0.20</w:t>
                  </w:r>
                </w:p>
              </w:tc>
              <w:tc>
                <w:tcPr>
                  <w:tcW w:w="347" w:type="pct"/>
                  <w:tcBorders>
                    <w:top w:val="single" w:color="auto" w:sz="4" w:space="0"/>
                    <w:left w:val="single" w:color="auto" w:sz="4" w:space="0"/>
                    <w:bottom w:val="single" w:color="auto" w:sz="4" w:space="0"/>
                    <w:right w:val="single" w:color="auto" w:sz="4" w:space="0"/>
                  </w:tcBorders>
                  <w:vAlign w:val="center"/>
                </w:tcPr>
                <w:p w14:paraId="13D7F5D1">
                  <w:pPr>
                    <w:widowControl/>
                    <w:jc w:val="center"/>
                    <w:rPr>
                      <w:rFonts w:eastAsia="等线"/>
                      <w:sz w:val="18"/>
                      <w:szCs w:val="18"/>
                    </w:rPr>
                  </w:pPr>
                  <w:r>
                    <w:rPr>
                      <w:rFonts w:eastAsia="等线"/>
                      <w:sz w:val="18"/>
                      <w:szCs w:val="18"/>
                    </w:rPr>
                    <w:t>0.12</w:t>
                  </w:r>
                </w:p>
              </w:tc>
              <w:tc>
                <w:tcPr>
                  <w:tcW w:w="356" w:type="pct"/>
                  <w:tcBorders>
                    <w:top w:val="single" w:color="auto" w:sz="4" w:space="0"/>
                    <w:left w:val="single" w:color="auto" w:sz="4" w:space="0"/>
                    <w:bottom w:val="single" w:color="auto" w:sz="4" w:space="0"/>
                    <w:right w:val="single" w:color="auto" w:sz="4" w:space="0"/>
                  </w:tcBorders>
                  <w:vAlign w:val="center"/>
                </w:tcPr>
                <w:p w14:paraId="5EFDFE9B">
                  <w:pPr>
                    <w:widowControl/>
                    <w:jc w:val="center"/>
                    <w:rPr>
                      <w:rFonts w:eastAsia="等线"/>
                      <w:sz w:val="18"/>
                      <w:szCs w:val="18"/>
                    </w:rPr>
                  </w:pPr>
                  <w:r>
                    <w:rPr>
                      <w:rFonts w:eastAsia="等线"/>
                      <w:sz w:val="18"/>
                      <w:szCs w:val="18"/>
                    </w:rPr>
                    <w:t>0.46</w:t>
                  </w:r>
                </w:p>
              </w:tc>
              <w:tc>
                <w:tcPr>
                  <w:tcW w:w="433" w:type="pct"/>
                  <w:tcBorders>
                    <w:top w:val="single" w:color="auto" w:sz="4" w:space="0"/>
                    <w:left w:val="single" w:color="auto" w:sz="4" w:space="0"/>
                    <w:bottom w:val="single" w:color="auto" w:sz="4" w:space="0"/>
                    <w:right w:val="single" w:color="auto" w:sz="4" w:space="0"/>
                  </w:tcBorders>
                  <w:vAlign w:val="center"/>
                </w:tcPr>
                <w:p w14:paraId="511D7C8A">
                  <w:pPr>
                    <w:widowControl/>
                    <w:jc w:val="center"/>
                    <w:rPr>
                      <w:rFonts w:eastAsia="等线"/>
                      <w:sz w:val="18"/>
                      <w:szCs w:val="18"/>
                    </w:rPr>
                  </w:pPr>
                  <w:r>
                    <w:rPr>
                      <w:rFonts w:eastAsia="等线"/>
                      <w:sz w:val="18"/>
                      <w:szCs w:val="18"/>
                    </w:rPr>
                    <w:t>0.11</w:t>
                  </w:r>
                </w:p>
              </w:tc>
              <w:tc>
                <w:tcPr>
                  <w:tcW w:w="374" w:type="pct"/>
                  <w:tcBorders>
                    <w:top w:val="single" w:color="auto" w:sz="4" w:space="0"/>
                    <w:left w:val="single" w:color="auto" w:sz="4" w:space="0"/>
                    <w:bottom w:val="single" w:color="auto" w:sz="4" w:space="0"/>
                    <w:right w:val="single" w:color="auto" w:sz="4" w:space="0"/>
                  </w:tcBorders>
                  <w:vAlign w:val="center"/>
                </w:tcPr>
                <w:p w14:paraId="733F9A1D">
                  <w:pPr>
                    <w:widowControl/>
                    <w:jc w:val="center"/>
                    <w:rPr>
                      <w:rFonts w:eastAsia="等线"/>
                      <w:sz w:val="18"/>
                      <w:szCs w:val="18"/>
                    </w:rPr>
                  </w:pPr>
                  <w:r>
                    <w:rPr>
                      <w:rFonts w:eastAsiaTheme="minorEastAsia"/>
                      <w:sz w:val="18"/>
                      <w:szCs w:val="18"/>
                    </w:rPr>
                    <w:t>/</w:t>
                  </w:r>
                </w:p>
              </w:tc>
              <w:tc>
                <w:tcPr>
                  <w:tcW w:w="395" w:type="pct"/>
                  <w:tcBorders>
                    <w:top w:val="single" w:color="auto" w:sz="4" w:space="0"/>
                    <w:left w:val="single" w:color="auto" w:sz="4" w:space="0"/>
                    <w:bottom w:val="single" w:color="auto" w:sz="4" w:space="0"/>
                  </w:tcBorders>
                  <w:vAlign w:val="center"/>
                </w:tcPr>
                <w:p w14:paraId="6A083E86">
                  <w:pPr>
                    <w:widowControl/>
                    <w:jc w:val="center"/>
                    <w:rPr>
                      <w:rFonts w:eastAsia="等线"/>
                      <w:sz w:val="18"/>
                      <w:szCs w:val="18"/>
                    </w:rPr>
                  </w:pPr>
                  <w:r>
                    <w:rPr>
                      <w:rFonts w:eastAsia="等线"/>
                      <w:sz w:val="18"/>
                      <w:szCs w:val="18"/>
                    </w:rPr>
                    <w:t>2.5</w:t>
                  </w:r>
                </w:p>
              </w:tc>
              <w:tc>
                <w:tcPr>
                  <w:tcW w:w="357" w:type="pct"/>
                  <w:tcBorders>
                    <w:top w:val="single" w:color="auto" w:sz="4" w:space="0"/>
                    <w:left w:val="single" w:color="auto" w:sz="4" w:space="0"/>
                    <w:bottom w:val="single" w:color="auto" w:sz="4" w:space="0"/>
                  </w:tcBorders>
                  <w:vAlign w:val="center"/>
                </w:tcPr>
                <w:p w14:paraId="59537B69">
                  <w:pPr>
                    <w:widowControl/>
                    <w:jc w:val="center"/>
                    <w:rPr>
                      <w:rFonts w:eastAsia="等线"/>
                      <w:sz w:val="18"/>
                      <w:szCs w:val="18"/>
                    </w:rPr>
                  </w:pPr>
                  <w:r>
                    <w:rPr>
                      <w:rFonts w:eastAsiaTheme="minorEastAsia"/>
                      <w:sz w:val="18"/>
                      <w:szCs w:val="18"/>
                    </w:rPr>
                    <w:t>/</w:t>
                  </w:r>
                </w:p>
              </w:tc>
            </w:tr>
            <w:tr w14:paraId="46FF69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6" w:type="pct"/>
                  <w:vMerge w:val="continue"/>
                  <w:tcBorders>
                    <w:right w:val="single" w:color="auto" w:sz="4" w:space="0"/>
                  </w:tcBorders>
                  <w:vAlign w:val="center"/>
                </w:tcPr>
                <w:p w14:paraId="3EEA483E">
                  <w:pPr>
                    <w:widowControl/>
                    <w:jc w:val="center"/>
                    <w:rPr>
                      <w:kern w:val="0"/>
                      <w:sz w:val="18"/>
                      <w:szCs w:val="18"/>
                    </w:rPr>
                  </w:pPr>
                </w:p>
              </w:tc>
              <w:tc>
                <w:tcPr>
                  <w:tcW w:w="404" w:type="pct"/>
                  <w:vMerge w:val="continue"/>
                  <w:tcBorders>
                    <w:left w:val="single" w:color="auto" w:sz="4" w:space="0"/>
                    <w:right w:val="single" w:color="auto" w:sz="4" w:space="0"/>
                  </w:tcBorders>
                  <w:vAlign w:val="center"/>
                </w:tcPr>
                <w:p w14:paraId="3CE23CEE">
                  <w:pPr>
                    <w:widowControl/>
                    <w:jc w:val="center"/>
                    <w:rPr>
                      <w:rFonts w:eastAsia="等线"/>
                      <w:kern w:val="0"/>
                      <w:sz w:val="18"/>
                      <w:szCs w:val="18"/>
                    </w:rPr>
                  </w:pPr>
                </w:p>
              </w:tc>
              <w:tc>
                <w:tcPr>
                  <w:tcW w:w="433" w:type="pct"/>
                  <w:tcBorders>
                    <w:top w:val="single" w:color="auto" w:sz="4" w:space="0"/>
                    <w:left w:val="single" w:color="auto" w:sz="4" w:space="0"/>
                    <w:bottom w:val="single" w:color="auto" w:sz="4" w:space="0"/>
                    <w:right w:val="single" w:color="auto" w:sz="4" w:space="0"/>
                  </w:tcBorders>
                  <w:vAlign w:val="center"/>
                </w:tcPr>
                <w:p w14:paraId="4E483819">
                  <w:pPr>
                    <w:widowControl/>
                    <w:jc w:val="center"/>
                    <w:rPr>
                      <w:kern w:val="0"/>
                      <w:sz w:val="18"/>
                      <w:szCs w:val="18"/>
                    </w:rPr>
                  </w:pPr>
                  <w:r>
                    <w:rPr>
                      <w:kern w:val="0"/>
                      <w:sz w:val="18"/>
                      <w:szCs w:val="18"/>
                    </w:rPr>
                    <w:t>第四次</w:t>
                  </w:r>
                </w:p>
              </w:tc>
              <w:tc>
                <w:tcPr>
                  <w:tcW w:w="321" w:type="pct"/>
                  <w:tcBorders>
                    <w:top w:val="single" w:color="auto" w:sz="4" w:space="0"/>
                    <w:left w:val="single" w:color="auto" w:sz="4" w:space="0"/>
                    <w:bottom w:val="single" w:color="auto" w:sz="4" w:space="0"/>
                    <w:right w:val="single" w:color="auto" w:sz="4" w:space="0"/>
                  </w:tcBorders>
                  <w:vAlign w:val="center"/>
                </w:tcPr>
                <w:p w14:paraId="439CF56B">
                  <w:pPr>
                    <w:widowControl/>
                    <w:jc w:val="center"/>
                    <w:rPr>
                      <w:rFonts w:eastAsia="等线"/>
                      <w:sz w:val="18"/>
                      <w:szCs w:val="18"/>
                    </w:rPr>
                  </w:pPr>
                  <w:r>
                    <w:rPr>
                      <w:rFonts w:eastAsia="等线"/>
                      <w:sz w:val="18"/>
                      <w:szCs w:val="18"/>
                    </w:rPr>
                    <w:t>7</w:t>
                  </w:r>
                </w:p>
              </w:tc>
              <w:tc>
                <w:tcPr>
                  <w:tcW w:w="425" w:type="pct"/>
                  <w:tcBorders>
                    <w:top w:val="single" w:color="auto" w:sz="4" w:space="0"/>
                    <w:left w:val="single" w:color="auto" w:sz="4" w:space="0"/>
                    <w:bottom w:val="single" w:color="auto" w:sz="4" w:space="0"/>
                    <w:right w:val="single" w:color="auto" w:sz="4" w:space="0"/>
                  </w:tcBorders>
                  <w:vAlign w:val="center"/>
                </w:tcPr>
                <w:p w14:paraId="777FD7A5">
                  <w:pPr>
                    <w:widowControl/>
                    <w:jc w:val="center"/>
                    <w:rPr>
                      <w:rFonts w:eastAsia="等线"/>
                      <w:sz w:val="18"/>
                      <w:szCs w:val="18"/>
                    </w:rPr>
                  </w:pPr>
                  <w:r>
                    <w:rPr>
                      <w:rFonts w:eastAsia="等线"/>
                      <w:sz w:val="18"/>
                      <w:szCs w:val="18"/>
                    </w:rPr>
                    <w:t>14</w:t>
                  </w:r>
                </w:p>
              </w:tc>
              <w:tc>
                <w:tcPr>
                  <w:tcW w:w="430" w:type="pct"/>
                  <w:tcBorders>
                    <w:top w:val="single" w:color="auto" w:sz="4" w:space="0"/>
                    <w:left w:val="single" w:color="auto" w:sz="4" w:space="0"/>
                    <w:bottom w:val="single" w:color="auto" w:sz="4" w:space="0"/>
                    <w:right w:val="single" w:color="auto" w:sz="4" w:space="0"/>
                  </w:tcBorders>
                  <w:vAlign w:val="center"/>
                </w:tcPr>
                <w:p w14:paraId="7E80C39B">
                  <w:pPr>
                    <w:widowControl/>
                    <w:jc w:val="center"/>
                    <w:rPr>
                      <w:rFonts w:eastAsia="等线"/>
                      <w:sz w:val="18"/>
                      <w:szCs w:val="18"/>
                    </w:rPr>
                  </w:pPr>
                  <w:r>
                    <w:rPr>
                      <w:rFonts w:eastAsia="等线"/>
                      <w:sz w:val="18"/>
                      <w:szCs w:val="18"/>
                    </w:rPr>
                    <w:t>6</w:t>
                  </w:r>
                </w:p>
              </w:tc>
              <w:tc>
                <w:tcPr>
                  <w:tcW w:w="369" w:type="pct"/>
                  <w:tcBorders>
                    <w:top w:val="single" w:color="auto" w:sz="4" w:space="0"/>
                    <w:left w:val="single" w:color="auto" w:sz="4" w:space="0"/>
                    <w:bottom w:val="single" w:color="auto" w:sz="4" w:space="0"/>
                    <w:right w:val="single" w:color="auto" w:sz="4" w:space="0"/>
                  </w:tcBorders>
                  <w:vAlign w:val="center"/>
                </w:tcPr>
                <w:p w14:paraId="2CDD1C74">
                  <w:pPr>
                    <w:widowControl/>
                    <w:jc w:val="center"/>
                    <w:rPr>
                      <w:rFonts w:eastAsia="等线"/>
                      <w:sz w:val="18"/>
                      <w:szCs w:val="18"/>
                    </w:rPr>
                  </w:pPr>
                  <w:r>
                    <w:rPr>
                      <w:rFonts w:eastAsia="等线"/>
                      <w:sz w:val="18"/>
                      <w:szCs w:val="18"/>
                    </w:rPr>
                    <w:t>0.18</w:t>
                  </w:r>
                </w:p>
              </w:tc>
              <w:tc>
                <w:tcPr>
                  <w:tcW w:w="347" w:type="pct"/>
                  <w:tcBorders>
                    <w:top w:val="single" w:color="auto" w:sz="4" w:space="0"/>
                    <w:left w:val="single" w:color="auto" w:sz="4" w:space="0"/>
                    <w:bottom w:val="single" w:color="auto" w:sz="4" w:space="0"/>
                    <w:right w:val="single" w:color="auto" w:sz="4" w:space="0"/>
                  </w:tcBorders>
                  <w:vAlign w:val="center"/>
                </w:tcPr>
                <w:p w14:paraId="39994D75">
                  <w:pPr>
                    <w:widowControl/>
                    <w:jc w:val="center"/>
                    <w:rPr>
                      <w:rFonts w:eastAsia="等线"/>
                      <w:sz w:val="18"/>
                      <w:szCs w:val="18"/>
                    </w:rPr>
                  </w:pPr>
                  <w:r>
                    <w:rPr>
                      <w:rFonts w:eastAsia="等线"/>
                      <w:sz w:val="18"/>
                      <w:szCs w:val="18"/>
                    </w:rPr>
                    <w:t>0.15</w:t>
                  </w:r>
                </w:p>
              </w:tc>
              <w:tc>
                <w:tcPr>
                  <w:tcW w:w="356" w:type="pct"/>
                  <w:tcBorders>
                    <w:top w:val="single" w:color="auto" w:sz="4" w:space="0"/>
                    <w:left w:val="single" w:color="auto" w:sz="4" w:space="0"/>
                    <w:bottom w:val="single" w:color="auto" w:sz="4" w:space="0"/>
                    <w:right w:val="single" w:color="auto" w:sz="4" w:space="0"/>
                  </w:tcBorders>
                  <w:vAlign w:val="center"/>
                </w:tcPr>
                <w:p w14:paraId="493D47A3">
                  <w:pPr>
                    <w:widowControl/>
                    <w:jc w:val="center"/>
                    <w:rPr>
                      <w:rFonts w:eastAsia="等线"/>
                      <w:sz w:val="18"/>
                      <w:szCs w:val="18"/>
                    </w:rPr>
                  </w:pPr>
                  <w:r>
                    <w:rPr>
                      <w:rFonts w:eastAsia="等线"/>
                      <w:sz w:val="18"/>
                      <w:szCs w:val="18"/>
                    </w:rPr>
                    <w:t>0.57</w:t>
                  </w:r>
                </w:p>
              </w:tc>
              <w:tc>
                <w:tcPr>
                  <w:tcW w:w="433" w:type="pct"/>
                  <w:tcBorders>
                    <w:top w:val="single" w:color="auto" w:sz="4" w:space="0"/>
                    <w:left w:val="single" w:color="auto" w:sz="4" w:space="0"/>
                    <w:bottom w:val="single" w:color="auto" w:sz="4" w:space="0"/>
                    <w:right w:val="single" w:color="auto" w:sz="4" w:space="0"/>
                  </w:tcBorders>
                  <w:vAlign w:val="center"/>
                </w:tcPr>
                <w:p w14:paraId="4EF212A7">
                  <w:pPr>
                    <w:widowControl/>
                    <w:jc w:val="center"/>
                    <w:rPr>
                      <w:rFonts w:eastAsia="等线"/>
                      <w:sz w:val="18"/>
                      <w:szCs w:val="18"/>
                    </w:rPr>
                  </w:pPr>
                  <w:r>
                    <w:rPr>
                      <w:rFonts w:eastAsia="等线"/>
                      <w:sz w:val="18"/>
                      <w:szCs w:val="18"/>
                    </w:rPr>
                    <w:t>0.1</w:t>
                  </w:r>
                </w:p>
              </w:tc>
              <w:tc>
                <w:tcPr>
                  <w:tcW w:w="374" w:type="pct"/>
                  <w:tcBorders>
                    <w:top w:val="single" w:color="auto" w:sz="4" w:space="0"/>
                    <w:left w:val="single" w:color="auto" w:sz="4" w:space="0"/>
                    <w:bottom w:val="single" w:color="auto" w:sz="4" w:space="0"/>
                    <w:right w:val="single" w:color="auto" w:sz="4" w:space="0"/>
                  </w:tcBorders>
                  <w:vAlign w:val="center"/>
                </w:tcPr>
                <w:p w14:paraId="37C273B9">
                  <w:pPr>
                    <w:widowControl/>
                    <w:jc w:val="center"/>
                    <w:rPr>
                      <w:rFonts w:eastAsia="等线"/>
                      <w:sz w:val="18"/>
                      <w:szCs w:val="18"/>
                    </w:rPr>
                  </w:pPr>
                  <w:r>
                    <w:rPr>
                      <w:rFonts w:eastAsiaTheme="minorEastAsia"/>
                      <w:sz w:val="18"/>
                      <w:szCs w:val="18"/>
                    </w:rPr>
                    <w:t>/</w:t>
                  </w:r>
                </w:p>
              </w:tc>
              <w:tc>
                <w:tcPr>
                  <w:tcW w:w="395" w:type="pct"/>
                  <w:tcBorders>
                    <w:top w:val="single" w:color="auto" w:sz="4" w:space="0"/>
                    <w:left w:val="single" w:color="auto" w:sz="4" w:space="0"/>
                    <w:bottom w:val="single" w:color="auto" w:sz="4" w:space="0"/>
                  </w:tcBorders>
                  <w:vAlign w:val="center"/>
                </w:tcPr>
                <w:p w14:paraId="39DE5EFE">
                  <w:pPr>
                    <w:widowControl/>
                    <w:jc w:val="center"/>
                    <w:rPr>
                      <w:rFonts w:eastAsia="等线"/>
                      <w:sz w:val="18"/>
                      <w:szCs w:val="18"/>
                    </w:rPr>
                  </w:pPr>
                  <w:r>
                    <w:rPr>
                      <w:rFonts w:eastAsia="等线"/>
                      <w:sz w:val="18"/>
                      <w:szCs w:val="18"/>
                    </w:rPr>
                    <w:t>2.8</w:t>
                  </w:r>
                </w:p>
              </w:tc>
              <w:tc>
                <w:tcPr>
                  <w:tcW w:w="357" w:type="pct"/>
                  <w:tcBorders>
                    <w:top w:val="single" w:color="auto" w:sz="4" w:space="0"/>
                    <w:left w:val="single" w:color="auto" w:sz="4" w:space="0"/>
                    <w:bottom w:val="single" w:color="auto" w:sz="4" w:space="0"/>
                  </w:tcBorders>
                  <w:vAlign w:val="center"/>
                </w:tcPr>
                <w:p w14:paraId="22EF077F">
                  <w:pPr>
                    <w:widowControl/>
                    <w:jc w:val="center"/>
                    <w:rPr>
                      <w:rFonts w:eastAsia="等线"/>
                      <w:sz w:val="18"/>
                      <w:szCs w:val="18"/>
                    </w:rPr>
                  </w:pPr>
                  <w:r>
                    <w:rPr>
                      <w:rFonts w:eastAsiaTheme="minorEastAsia"/>
                      <w:sz w:val="18"/>
                      <w:szCs w:val="18"/>
                    </w:rPr>
                    <w:t>/</w:t>
                  </w:r>
                </w:p>
              </w:tc>
            </w:tr>
            <w:tr w14:paraId="3DC231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6" w:type="pct"/>
                  <w:vMerge w:val="continue"/>
                  <w:tcBorders>
                    <w:right w:val="single" w:color="auto" w:sz="4" w:space="0"/>
                  </w:tcBorders>
                  <w:vAlign w:val="center"/>
                </w:tcPr>
                <w:p w14:paraId="4F6F0B37">
                  <w:pPr>
                    <w:widowControl/>
                    <w:jc w:val="center"/>
                    <w:rPr>
                      <w:kern w:val="0"/>
                      <w:sz w:val="18"/>
                      <w:szCs w:val="18"/>
                    </w:rPr>
                  </w:pPr>
                </w:p>
              </w:tc>
              <w:tc>
                <w:tcPr>
                  <w:tcW w:w="404" w:type="pct"/>
                  <w:vMerge w:val="continue"/>
                  <w:tcBorders>
                    <w:left w:val="single" w:color="auto" w:sz="4" w:space="0"/>
                    <w:bottom w:val="single" w:color="auto" w:sz="4" w:space="0"/>
                    <w:right w:val="single" w:color="auto" w:sz="4" w:space="0"/>
                  </w:tcBorders>
                  <w:vAlign w:val="center"/>
                </w:tcPr>
                <w:p w14:paraId="720E2CD8">
                  <w:pPr>
                    <w:widowControl/>
                    <w:jc w:val="center"/>
                    <w:rPr>
                      <w:rFonts w:eastAsia="等线"/>
                      <w:kern w:val="0"/>
                      <w:sz w:val="18"/>
                      <w:szCs w:val="18"/>
                    </w:rPr>
                  </w:pPr>
                </w:p>
              </w:tc>
              <w:tc>
                <w:tcPr>
                  <w:tcW w:w="433" w:type="pct"/>
                  <w:tcBorders>
                    <w:top w:val="single" w:color="auto" w:sz="4" w:space="0"/>
                    <w:left w:val="single" w:color="auto" w:sz="4" w:space="0"/>
                    <w:bottom w:val="single" w:color="auto" w:sz="4" w:space="0"/>
                    <w:right w:val="single" w:color="auto" w:sz="4" w:space="0"/>
                  </w:tcBorders>
                  <w:vAlign w:val="center"/>
                </w:tcPr>
                <w:p w14:paraId="24DB61F1">
                  <w:pPr>
                    <w:widowControl/>
                    <w:jc w:val="center"/>
                    <w:rPr>
                      <w:kern w:val="0"/>
                      <w:sz w:val="18"/>
                      <w:szCs w:val="18"/>
                    </w:rPr>
                  </w:pPr>
                  <w:r>
                    <w:rPr>
                      <w:kern w:val="0"/>
                      <w:sz w:val="18"/>
                      <w:szCs w:val="18"/>
                    </w:rPr>
                    <w:t>平均值</w:t>
                  </w:r>
                </w:p>
              </w:tc>
              <w:tc>
                <w:tcPr>
                  <w:tcW w:w="321" w:type="pct"/>
                  <w:tcBorders>
                    <w:top w:val="single" w:color="auto" w:sz="4" w:space="0"/>
                    <w:left w:val="single" w:color="auto" w:sz="4" w:space="0"/>
                    <w:bottom w:val="single" w:color="auto" w:sz="4" w:space="0"/>
                    <w:right w:val="single" w:color="auto" w:sz="4" w:space="0"/>
                  </w:tcBorders>
                  <w:vAlign w:val="center"/>
                </w:tcPr>
                <w:p w14:paraId="0F491D9D">
                  <w:pPr>
                    <w:widowControl/>
                    <w:jc w:val="center"/>
                    <w:rPr>
                      <w:rFonts w:eastAsia="等线"/>
                      <w:sz w:val="18"/>
                      <w:szCs w:val="18"/>
                    </w:rPr>
                  </w:pPr>
                  <w:r>
                    <w:rPr>
                      <w:rFonts w:eastAsia="等线"/>
                      <w:sz w:val="18"/>
                      <w:szCs w:val="18"/>
                    </w:rPr>
                    <w:t>7.2</w:t>
                  </w:r>
                </w:p>
              </w:tc>
              <w:tc>
                <w:tcPr>
                  <w:tcW w:w="425" w:type="pct"/>
                  <w:tcBorders>
                    <w:top w:val="single" w:color="auto" w:sz="4" w:space="0"/>
                    <w:left w:val="single" w:color="auto" w:sz="4" w:space="0"/>
                    <w:bottom w:val="single" w:color="auto" w:sz="4" w:space="0"/>
                    <w:right w:val="single" w:color="auto" w:sz="4" w:space="0"/>
                  </w:tcBorders>
                  <w:vAlign w:val="center"/>
                </w:tcPr>
                <w:p w14:paraId="0301D952">
                  <w:pPr>
                    <w:widowControl/>
                    <w:jc w:val="center"/>
                    <w:rPr>
                      <w:rFonts w:eastAsia="等线"/>
                      <w:sz w:val="18"/>
                      <w:szCs w:val="18"/>
                    </w:rPr>
                  </w:pPr>
                  <w:r>
                    <w:rPr>
                      <w:rFonts w:eastAsia="等线"/>
                      <w:sz w:val="18"/>
                      <w:szCs w:val="18"/>
                    </w:rPr>
                    <w:t>12.25</w:t>
                  </w:r>
                </w:p>
              </w:tc>
              <w:tc>
                <w:tcPr>
                  <w:tcW w:w="430" w:type="pct"/>
                  <w:tcBorders>
                    <w:top w:val="single" w:color="auto" w:sz="4" w:space="0"/>
                    <w:left w:val="single" w:color="auto" w:sz="4" w:space="0"/>
                    <w:bottom w:val="single" w:color="auto" w:sz="4" w:space="0"/>
                    <w:right w:val="single" w:color="auto" w:sz="4" w:space="0"/>
                  </w:tcBorders>
                  <w:vAlign w:val="center"/>
                </w:tcPr>
                <w:p w14:paraId="78FAC4A0">
                  <w:pPr>
                    <w:widowControl/>
                    <w:jc w:val="center"/>
                    <w:rPr>
                      <w:rFonts w:eastAsia="等线"/>
                      <w:sz w:val="18"/>
                      <w:szCs w:val="18"/>
                    </w:rPr>
                  </w:pPr>
                  <w:r>
                    <w:rPr>
                      <w:rFonts w:eastAsia="等线"/>
                      <w:sz w:val="18"/>
                      <w:szCs w:val="18"/>
                    </w:rPr>
                    <w:t>6.5</w:t>
                  </w:r>
                </w:p>
              </w:tc>
              <w:tc>
                <w:tcPr>
                  <w:tcW w:w="369" w:type="pct"/>
                  <w:tcBorders>
                    <w:top w:val="single" w:color="auto" w:sz="4" w:space="0"/>
                    <w:left w:val="single" w:color="auto" w:sz="4" w:space="0"/>
                    <w:bottom w:val="single" w:color="auto" w:sz="4" w:space="0"/>
                    <w:right w:val="single" w:color="auto" w:sz="4" w:space="0"/>
                  </w:tcBorders>
                  <w:vAlign w:val="center"/>
                </w:tcPr>
                <w:p w14:paraId="475623EA">
                  <w:pPr>
                    <w:widowControl/>
                    <w:jc w:val="center"/>
                    <w:rPr>
                      <w:rFonts w:eastAsia="等线"/>
                      <w:sz w:val="18"/>
                      <w:szCs w:val="18"/>
                    </w:rPr>
                  </w:pPr>
                  <w:r>
                    <w:rPr>
                      <w:rFonts w:eastAsia="等线"/>
                      <w:sz w:val="18"/>
                      <w:szCs w:val="18"/>
                    </w:rPr>
                    <w:t>0.18</w:t>
                  </w:r>
                </w:p>
              </w:tc>
              <w:tc>
                <w:tcPr>
                  <w:tcW w:w="347" w:type="pct"/>
                  <w:tcBorders>
                    <w:top w:val="single" w:color="auto" w:sz="4" w:space="0"/>
                    <w:left w:val="single" w:color="auto" w:sz="4" w:space="0"/>
                    <w:bottom w:val="single" w:color="auto" w:sz="4" w:space="0"/>
                    <w:right w:val="single" w:color="auto" w:sz="4" w:space="0"/>
                  </w:tcBorders>
                  <w:vAlign w:val="center"/>
                </w:tcPr>
                <w:p w14:paraId="4EACA73E">
                  <w:pPr>
                    <w:widowControl/>
                    <w:jc w:val="center"/>
                    <w:rPr>
                      <w:rFonts w:eastAsia="等线"/>
                      <w:sz w:val="18"/>
                      <w:szCs w:val="18"/>
                    </w:rPr>
                  </w:pPr>
                  <w:r>
                    <w:rPr>
                      <w:rFonts w:eastAsia="等线"/>
                      <w:sz w:val="18"/>
                      <w:szCs w:val="18"/>
                    </w:rPr>
                    <w:t>0.13</w:t>
                  </w:r>
                </w:p>
              </w:tc>
              <w:tc>
                <w:tcPr>
                  <w:tcW w:w="356" w:type="pct"/>
                  <w:tcBorders>
                    <w:top w:val="single" w:color="auto" w:sz="4" w:space="0"/>
                    <w:left w:val="single" w:color="auto" w:sz="4" w:space="0"/>
                    <w:bottom w:val="single" w:color="auto" w:sz="4" w:space="0"/>
                    <w:right w:val="single" w:color="auto" w:sz="4" w:space="0"/>
                  </w:tcBorders>
                  <w:vAlign w:val="center"/>
                </w:tcPr>
                <w:p w14:paraId="5098CA31">
                  <w:pPr>
                    <w:widowControl/>
                    <w:jc w:val="center"/>
                    <w:rPr>
                      <w:rFonts w:eastAsia="等线"/>
                      <w:sz w:val="18"/>
                      <w:szCs w:val="18"/>
                    </w:rPr>
                  </w:pPr>
                  <w:r>
                    <w:rPr>
                      <w:rFonts w:eastAsia="等线"/>
                      <w:sz w:val="18"/>
                      <w:szCs w:val="18"/>
                    </w:rPr>
                    <w:t>0.53</w:t>
                  </w:r>
                </w:p>
              </w:tc>
              <w:tc>
                <w:tcPr>
                  <w:tcW w:w="433" w:type="pct"/>
                  <w:tcBorders>
                    <w:top w:val="single" w:color="auto" w:sz="4" w:space="0"/>
                    <w:left w:val="single" w:color="auto" w:sz="4" w:space="0"/>
                    <w:bottom w:val="single" w:color="auto" w:sz="4" w:space="0"/>
                    <w:right w:val="single" w:color="auto" w:sz="4" w:space="0"/>
                  </w:tcBorders>
                  <w:vAlign w:val="center"/>
                </w:tcPr>
                <w:p w14:paraId="10919D62">
                  <w:pPr>
                    <w:widowControl/>
                    <w:jc w:val="center"/>
                    <w:rPr>
                      <w:rFonts w:eastAsia="等线"/>
                      <w:sz w:val="18"/>
                      <w:szCs w:val="18"/>
                    </w:rPr>
                  </w:pPr>
                  <w:r>
                    <w:rPr>
                      <w:rFonts w:eastAsia="等线"/>
                      <w:sz w:val="18"/>
                      <w:szCs w:val="18"/>
                    </w:rPr>
                    <w:t>0.13</w:t>
                  </w:r>
                </w:p>
              </w:tc>
              <w:tc>
                <w:tcPr>
                  <w:tcW w:w="374" w:type="pct"/>
                  <w:tcBorders>
                    <w:top w:val="single" w:color="auto" w:sz="4" w:space="0"/>
                    <w:left w:val="single" w:color="auto" w:sz="4" w:space="0"/>
                    <w:bottom w:val="single" w:color="auto" w:sz="4" w:space="0"/>
                    <w:right w:val="single" w:color="auto" w:sz="4" w:space="0"/>
                  </w:tcBorders>
                  <w:vAlign w:val="center"/>
                </w:tcPr>
                <w:p w14:paraId="3D4F7B70">
                  <w:pPr>
                    <w:widowControl/>
                    <w:jc w:val="center"/>
                    <w:rPr>
                      <w:rFonts w:eastAsia="等线"/>
                      <w:sz w:val="18"/>
                      <w:szCs w:val="18"/>
                    </w:rPr>
                  </w:pPr>
                  <w:r>
                    <w:rPr>
                      <w:rFonts w:eastAsiaTheme="minorEastAsia"/>
                      <w:sz w:val="18"/>
                      <w:szCs w:val="18"/>
                    </w:rPr>
                    <w:t>/</w:t>
                  </w:r>
                </w:p>
              </w:tc>
              <w:tc>
                <w:tcPr>
                  <w:tcW w:w="395" w:type="pct"/>
                  <w:tcBorders>
                    <w:top w:val="single" w:color="auto" w:sz="4" w:space="0"/>
                    <w:left w:val="single" w:color="auto" w:sz="4" w:space="0"/>
                    <w:bottom w:val="single" w:color="auto" w:sz="4" w:space="0"/>
                  </w:tcBorders>
                  <w:vAlign w:val="center"/>
                </w:tcPr>
                <w:p w14:paraId="2D3F526D">
                  <w:pPr>
                    <w:widowControl/>
                    <w:jc w:val="center"/>
                    <w:rPr>
                      <w:rFonts w:eastAsia="等线"/>
                      <w:sz w:val="18"/>
                      <w:szCs w:val="18"/>
                    </w:rPr>
                  </w:pPr>
                  <w:r>
                    <w:rPr>
                      <w:rFonts w:eastAsia="等线"/>
                      <w:sz w:val="18"/>
                      <w:szCs w:val="18"/>
                    </w:rPr>
                    <w:t>2.43</w:t>
                  </w:r>
                </w:p>
              </w:tc>
              <w:tc>
                <w:tcPr>
                  <w:tcW w:w="357" w:type="pct"/>
                  <w:tcBorders>
                    <w:top w:val="single" w:color="auto" w:sz="4" w:space="0"/>
                    <w:left w:val="single" w:color="auto" w:sz="4" w:space="0"/>
                    <w:bottom w:val="single" w:color="auto" w:sz="4" w:space="0"/>
                  </w:tcBorders>
                  <w:vAlign w:val="center"/>
                </w:tcPr>
                <w:p w14:paraId="7149F829">
                  <w:pPr>
                    <w:widowControl/>
                    <w:jc w:val="center"/>
                    <w:rPr>
                      <w:rFonts w:eastAsia="等线"/>
                      <w:sz w:val="18"/>
                      <w:szCs w:val="18"/>
                    </w:rPr>
                  </w:pPr>
                  <w:r>
                    <w:rPr>
                      <w:rFonts w:eastAsiaTheme="minorEastAsia"/>
                      <w:sz w:val="18"/>
                      <w:szCs w:val="18"/>
                    </w:rPr>
                    <w:t>/</w:t>
                  </w:r>
                </w:p>
              </w:tc>
            </w:tr>
            <w:tr w14:paraId="27383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6" w:type="pct"/>
                  <w:vMerge w:val="continue"/>
                  <w:tcBorders>
                    <w:right w:val="single" w:color="auto" w:sz="4" w:space="0"/>
                  </w:tcBorders>
                  <w:vAlign w:val="center"/>
                </w:tcPr>
                <w:p w14:paraId="5DF40DBE">
                  <w:pPr>
                    <w:widowControl/>
                    <w:jc w:val="center"/>
                    <w:rPr>
                      <w:kern w:val="0"/>
                      <w:sz w:val="18"/>
                      <w:szCs w:val="18"/>
                    </w:rPr>
                  </w:pPr>
                </w:p>
              </w:tc>
              <w:tc>
                <w:tcPr>
                  <w:tcW w:w="404" w:type="pct"/>
                  <w:vMerge w:val="restart"/>
                  <w:tcBorders>
                    <w:top w:val="single" w:color="auto" w:sz="4" w:space="0"/>
                    <w:left w:val="single" w:color="auto" w:sz="4" w:space="0"/>
                    <w:right w:val="single" w:color="auto" w:sz="4" w:space="0"/>
                  </w:tcBorders>
                  <w:vAlign w:val="center"/>
                </w:tcPr>
                <w:p w14:paraId="76C02735">
                  <w:pPr>
                    <w:widowControl/>
                    <w:jc w:val="center"/>
                    <w:rPr>
                      <w:rFonts w:eastAsia="等线"/>
                      <w:kern w:val="0"/>
                      <w:sz w:val="18"/>
                      <w:szCs w:val="18"/>
                    </w:rPr>
                  </w:pPr>
                  <w:r>
                    <w:rPr>
                      <w:rFonts w:eastAsia="等线"/>
                      <w:kern w:val="0"/>
                      <w:sz w:val="18"/>
                      <w:szCs w:val="18"/>
                    </w:rPr>
                    <w:t>2024.</w:t>
                  </w:r>
                </w:p>
                <w:p w14:paraId="44AD1FC1">
                  <w:pPr>
                    <w:widowControl/>
                    <w:jc w:val="center"/>
                    <w:rPr>
                      <w:rFonts w:eastAsia="等线"/>
                      <w:kern w:val="0"/>
                      <w:sz w:val="18"/>
                      <w:szCs w:val="18"/>
                    </w:rPr>
                  </w:pPr>
                  <w:r>
                    <w:rPr>
                      <w:rFonts w:eastAsia="等线"/>
                      <w:kern w:val="0"/>
                      <w:sz w:val="18"/>
                      <w:szCs w:val="18"/>
                    </w:rPr>
                    <w:t>9.13</w:t>
                  </w:r>
                </w:p>
              </w:tc>
              <w:tc>
                <w:tcPr>
                  <w:tcW w:w="433" w:type="pct"/>
                  <w:tcBorders>
                    <w:top w:val="single" w:color="auto" w:sz="4" w:space="0"/>
                    <w:left w:val="single" w:color="auto" w:sz="4" w:space="0"/>
                    <w:bottom w:val="single" w:color="auto" w:sz="4" w:space="0"/>
                    <w:right w:val="single" w:color="auto" w:sz="4" w:space="0"/>
                  </w:tcBorders>
                  <w:vAlign w:val="center"/>
                </w:tcPr>
                <w:p w14:paraId="40A80090">
                  <w:pPr>
                    <w:widowControl/>
                    <w:jc w:val="center"/>
                    <w:rPr>
                      <w:kern w:val="0"/>
                      <w:sz w:val="18"/>
                      <w:szCs w:val="18"/>
                    </w:rPr>
                  </w:pPr>
                  <w:r>
                    <w:rPr>
                      <w:kern w:val="0"/>
                      <w:sz w:val="18"/>
                      <w:szCs w:val="18"/>
                    </w:rPr>
                    <w:t>第一次</w:t>
                  </w:r>
                </w:p>
              </w:tc>
              <w:tc>
                <w:tcPr>
                  <w:tcW w:w="321" w:type="pct"/>
                  <w:tcBorders>
                    <w:top w:val="single" w:color="auto" w:sz="4" w:space="0"/>
                    <w:left w:val="single" w:color="auto" w:sz="4" w:space="0"/>
                    <w:bottom w:val="single" w:color="auto" w:sz="4" w:space="0"/>
                    <w:right w:val="single" w:color="auto" w:sz="4" w:space="0"/>
                  </w:tcBorders>
                  <w:vAlign w:val="center"/>
                </w:tcPr>
                <w:p w14:paraId="082A58CD">
                  <w:pPr>
                    <w:widowControl/>
                    <w:jc w:val="center"/>
                    <w:rPr>
                      <w:rFonts w:eastAsia="等线"/>
                      <w:sz w:val="18"/>
                      <w:szCs w:val="18"/>
                    </w:rPr>
                  </w:pPr>
                  <w:r>
                    <w:rPr>
                      <w:rFonts w:eastAsia="等线"/>
                      <w:sz w:val="18"/>
                      <w:szCs w:val="18"/>
                    </w:rPr>
                    <w:t>7.1</w:t>
                  </w:r>
                </w:p>
              </w:tc>
              <w:tc>
                <w:tcPr>
                  <w:tcW w:w="425" w:type="pct"/>
                  <w:tcBorders>
                    <w:top w:val="single" w:color="auto" w:sz="4" w:space="0"/>
                    <w:left w:val="single" w:color="auto" w:sz="4" w:space="0"/>
                    <w:bottom w:val="single" w:color="auto" w:sz="4" w:space="0"/>
                    <w:right w:val="single" w:color="auto" w:sz="4" w:space="0"/>
                  </w:tcBorders>
                  <w:vAlign w:val="center"/>
                </w:tcPr>
                <w:p w14:paraId="5B9D64B2">
                  <w:pPr>
                    <w:widowControl/>
                    <w:jc w:val="center"/>
                    <w:rPr>
                      <w:rFonts w:eastAsia="等线"/>
                      <w:sz w:val="18"/>
                      <w:szCs w:val="18"/>
                    </w:rPr>
                  </w:pPr>
                  <w:r>
                    <w:rPr>
                      <w:rFonts w:eastAsia="等线"/>
                      <w:sz w:val="18"/>
                      <w:szCs w:val="18"/>
                    </w:rPr>
                    <w:t>13</w:t>
                  </w:r>
                </w:p>
              </w:tc>
              <w:tc>
                <w:tcPr>
                  <w:tcW w:w="430" w:type="pct"/>
                  <w:tcBorders>
                    <w:top w:val="single" w:color="auto" w:sz="4" w:space="0"/>
                    <w:left w:val="single" w:color="auto" w:sz="4" w:space="0"/>
                    <w:bottom w:val="single" w:color="auto" w:sz="4" w:space="0"/>
                    <w:right w:val="single" w:color="auto" w:sz="4" w:space="0"/>
                  </w:tcBorders>
                  <w:vAlign w:val="center"/>
                </w:tcPr>
                <w:p w14:paraId="402CF1A8">
                  <w:pPr>
                    <w:widowControl/>
                    <w:jc w:val="center"/>
                    <w:rPr>
                      <w:rFonts w:eastAsia="等线"/>
                      <w:sz w:val="18"/>
                      <w:szCs w:val="18"/>
                    </w:rPr>
                  </w:pPr>
                  <w:r>
                    <w:rPr>
                      <w:rFonts w:eastAsia="等线"/>
                      <w:sz w:val="18"/>
                      <w:szCs w:val="18"/>
                    </w:rPr>
                    <w:t>6</w:t>
                  </w:r>
                </w:p>
              </w:tc>
              <w:tc>
                <w:tcPr>
                  <w:tcW w:w="369" w:type="pct"/>
                  <w:tcBorders>
                    <w:top w:val="single" w:color="auto" w:sz="4" w:space="0"/>
                    <w:left w:val="single" w:color="auto" w:sz="4" w:space="0"/>
                    <w:bottom w:val="single" w:color="auto" w:sz="4" w:space="0"/>
                    <w:right w:val="single" w:color="auto" w:sz="4" w:space="0"/>
                  </w:tcBorders>
                  <w:vAlign w:val="center"/>
                </w:tcPr>
                <w:p w14:paraId="173F9094">
                  <w:pPr>
                    <w:widowControl/>
                    <w:jc w:val="center"/>
                    <w:rPr>
                      <w:rFonts w:eastAsia="等线"/>
                      <w:sz w:val="18"/>
                      <w:szCs w:val="18"/>
                    </w:rPr>
                  </w:pPr>
                  <w:r>
                    <w:rPr>
                      <w:rFonts w:eastAsia="等线"/>
                      <w:sz w:val="18"/>
                      <w:szCs w:val="18"/>
                    </w:rPr>
                    <w:t>0.25</w:t>
                  </w:r>
                </w:p>
              </w:tc>
              <w:tc>
                <w:tcPr>
                  <w:tcW w:w="347" w:type="pct"/>
                  <w:tcBorders>
                    <w:top w:val="single" w:color="auto" w:sz="4" w:space="0"/>
                    <w:left w:val="single" w:color="auto" w:sz="4" w:space="0"/>
                    <w:bottom w:val="single" w:color="auto" w:sz="4" w:space="0"/>
                    <w:right w:val="single" w:color="auto" w:sz="4" w:space="0"/>
                  </w:tcBorders>
                  <w:vAlign w:val="center"/>
                </w:tcPr>
                <w:p w14:paraId="7C9A295F">
                  <w:pPr>
                    <w:widowControl/>
                    <w:jc w:val="center"/>
                    <w:rPr>
                      <w:rFonts w:eastAsia="等线"/>
                      <w:sz w:val="18"/>
                      <w:szCs w:val="18"/>
                    </w:rPr>
                  </w:pPr>
                  <w:r>
                    <w:rPr>
                      <w:rFonts w:eastAsia="等线"/>
                      <w:sz w:val="18"/>
                      <w:szCs w:val="18"/>
                    </w:rPr>
                    <w:t>0.13</w:t>
                  </w:r>
                </w:p>
              </w:tc>
              <w:tc>
                <w:tcPr>
                  <w:tcW w:w="356" w:type="pct"/>
                  <w:tcBorders>
                    <w:top w:val="single" w:color="auto" w:sz="4" w:space="0"/>
                    <w:left w:val="single" w:color="auto" w:sz="4" w:space="0"/>
                    <w:bottom w:val="single" w:color="auto" w:sz="4" w:space="0"/>
                    <w:right w:val="single" w:color="auto" w:sz="4" w:space="0"/>
                  </w:tcBorders>
                  <w:vAlign w:val="center"/>
                </w:tcPr>
                <w:p w14:paraId="413216C6">
                  <w:pPr>
                    <w:widowControl/>
                    <w:jc w:val="center"/>
                    <w:rPr>
                      <w:rFonts w:eastAsia="等线"/>
                      <w:sz w:val="18"/>
                      <w:szCs w:val="18"/>
                    </w:rPr>
                  </w:pPr>
                  <w:r>
                    <w:rPr>
                      <w:rFonts w:eastAsia="等线"/>
                      <w:sz w:val="18"/>
                      <w:szCs w:val="18"/>
                    </w:rPr>
                    <w:t>0.51</w:t>
                  </w:r>
                </w:p>
              </w:tc>
              <w:tc>
                <w:tcPr>
                  <w:tcW w:w="433" w:type="pct"/>
                  <w:tcBorders>
                    <w:top w:val="single" w:color="auto" w:sz="4" w:space="0"/>
                    <w:left w:val="single" w:color="auto" w:sz="4" w:space="0"/>
                    <w:bottom w:val="single" w:color="auto" w:sz="4" w:space="0"/>
                    <w:right w:val="single" w:color="auto" w:sz="4" w:space="0"/>
                  </w:tcBorders>
                  <w:vAlign w:val="center"/>
                </w:tcPr>
                <w:p w14:paraId="39A08E1C">
                  <w:pPr>
                    <w:widowControl/>
                    <w:jc w:val="center"/>
                    <w:rPr>
                      <w:rFonts w:eastAsia="等线"/>
                      <w:sz w:val="18"/>
                      <w:szCs w:val="18"/>
                    </w:rPr>
                  </w:pPr>
                  <w:r>
                    <w:rPr>
                      <w:rFonts w:eastAsia="等线"/>
                      <w:sz w:val="18"/>
                      <w:szCs w:val="18"/>
                    </w:rPr>
                    <w:t>0.12</w:t>
                  </w:r>
                </w:p>
              </w:tc>
              <w:tc>
                <w:tcPr>
                  <w:tcW w:w="374" w:type="pct"/>
                  <w:tcBorders>
                    <w:top w:val="single" w:color="auto" w:sz="4" w:space="0"/>
                    <w:left w:val="single" w:color="auto" w:sz="4" w:space="0"/>
                    <w:bottom w:val="single" w:color="auto" w:sz="4" w:space="0"/>
                    <w:right w:val="single" w:color="auto" w:sz="4" w:space="0"/>
                  </w:tcBorders>
                  <w:vAlign w:val="center"/>
                </w:tcPr>
                <w:p w14:paraId="5F789C64">
                  <w:pPr>
                    <w:widowControl/>
                    <w:jc w:val="center"/>
                    <w:rPr>
                      <w:rFonts w:eastAsia="等线"/>
                      <w:sz w:val="18"/>
                      <w:szCs w:val="18"/>
                    </w:rPr>
                  </w:pPr>
                  <w:r>
                    <w:rPr>
                      <w:rFonts w:eastAsiaTheme="minorEastAsia"/>
                      <w:sz w:val="18"/>
                      <w:szCs w:val="18"/>
                    </w:rPr>
                    <w:t>/</w:t>
                  </w:r>
                </w:p>
              </w:tc>
              <w:tc>
                <w:tcPr>
                  <w:tcW w:w="395" w:type="pct"/>
                  <w:tcBorders>
                    <w:top w:val="single" w:color="auto" w:sz="4" w:space="0"/>
                    <w:left w:val="single" w:color="auto" w:sz="4" w:space="0"/>
                    <w:bottom w:val="single" w:color="auto" w:sz="4" w:space="0"/>
                  </w:tcBorders>
                  <w:vAlign w:val="center"/>
                </w:tcPr>
                <w:p w14:paraId="31148876">
                  <w:pPr>
                    <w:widowControl/>
                    <w:jc w:val="center"/>
                    <w:rPr>
                      <w:rFonts w:eastAsia="等线"/>
                      <w:sz w:val="18"/>
                      <w:szCs w:val="18"/>
                    </w:rPr>
                  </w:pPr>
                  <w:r>
                    <w:rPr>
                      <w:rFonts w:eastAsia="等线"/>
                      <w:sz w:val="18"/>
                      <w:szCs w:val="18"/>
                    </w:rPr>
                    <w:t>2.5</w:t>
                  </w:r>
                </w:p>
              </w:tc>
              <w:tc>
                <w:tcPr>
                  <w:tcW w:w="357" w:type="pct"/>
                  <w:tcBorders>
                    <w:top w:val="single" w:color="auto" w:sz="4" w:space="0"/>
                    <w:left w:val="single" w:color="auto" w:sz="4" w:space="0"/>
                    <w:bottom w:val="single" w:color="auto" w:sz="4" w:space="0"/>
                  </w:tcBorders>
                  <w:vAlign w:val="center"/>
                </w:tcPr>
                <w:p w14:paraId="7BC3F26D">
                  <w:pPr>
                    <w:widowControl/>
                    <w:jc w:val="center"/>
                    <w:rPr>
                      <w:rFonts w:eastAsia="等线"/>
                      <w:sz w:val="18"/>
                      <w:szCs w:val="18"/>
                    </w:rPr>
                  </w:pPr>
                  <w:r>
                    <w:rPr>
                      <w:rFonts w:eastAsiaTheme="minorEastAsia"/>
                      <w:sz w:val="18"/>
                      <w:szCs w:val="18"/>
                    </w:rPr>
                    <w:t>/</w:t>
                  </w:r>
                </w:p>
              </w:tc>
            </w:tr>
            <w:tr w14:paraId="529FD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6" w:type="pct"/>
                  <w:vMerge w:val="continue"/>
                  <w:tcBorders>
                    <w:right w:val="single" w:color="auto" w:sz="4" w:space="0"/>
                  </w:tcBorders>
                  <w:vAlign w:val="center"/>
                </w:tcPr>
                <w:p w14:paraId="33C0AF8C">
                  <w:pPr>
                    <w:widowControl/>
                    <w:jc w:val="center"/>
                    <w:rPr>
                      <w:kern w:val="0"/>
                      <w:sz w:val="18"/>
                      <w:szCs w:val="18"/>
                    </w:rPr>
                  </w:pPr>
                </w:p>
              </w:tc>
              <w:tc>
                <w:tcPr>
                  <w:tcW w:w="404" w:type="pct"/>
                  <w:vMerge w:val="continue"/>
                  <w:tcBorders>
                    <w:left w:val="single" w:color="auto" w:sz="4" w:space="0"/>
                    <w:right w:val="single" w:color="auto" w:sz="4" w:space="0"/>
                  </w:tcBorders>
                  <w:vAlign w:val="center"/>
                </w:tcPr>
                <w:p w14:paraId="021B6BAC">
                  <w:pPr>
                    <w:widowControl/>
                    <w:jc w:val="center"/>
                    <w:rPr>
                      <w:kern w:val="0"/>
                      <w:sz w:val="18"/>
                      <w:szCs w:val="18"/>
                    </w:rPr>
                  </w:pPr>
                </w:p>
              </w:tc>
              <w:tc>
                <w:tcPr>
                  <w:tcW w:w="433" w:type="pct"/>
                  <w:tcBorders>
                    <w:top w:val="single" w:color="auto" w:sz="4" w:space="0"/>
                    <w:left w:val="single" w:color="auto" w:sz="4" w:space="0"/>
                    <w:bottom w:val="single" w:color="auto" w:sz="4" w:space="0"/>
                    <w:right w:val="single" w:color="auto" w:sz="4" w:space="0"/>
                  </w:tcBorders>
                  <w:vAlign w:val="center"/>
                </w:tcPr>
                <w:p w14:paraId="70FE68D8">
                  <w:pPr>
                    <w:widowControl/>
                    <w:jc w:val="center"/>
                    <w:rPr>
                      <w:kern w:val="0"/>
                      <w:sz w:val="18"/>
                      <w:szCs w:val="18"/>
                    </w:rPr>
                  </w:pPr>
                  <w:r>
                    <w:rPr>
                      <w:kern w:val="0"/>
                      <w:sz w:val="18"/>
                      <w:szCs w:val="18"/>
                    </w:rPr>
                    <w:t>第二次</w:t>
                  </w:r>
                </w:p>
              </w:tc>
              <w:tc>
                <w:tcPr>
                  <w:tcW w:w="321" w:type="pct"/>
                  <w:tcBorders>
                    <w:top w:val="single" w:color="auto" w:sz="4" w:space="0"/>
                    <w:left w:val="single" w:color="auto" w:sz="4" w:space="0"/>
                    <w:bottom w:val="single" w:color="auto" w:sz="4" w:space="0"/>
                    <w:right w:val="single" w:color="auto" w:sz="4" w:space="0"/>
                  </w:tcBorders>
                  <w:vAlign w:val="center"/>
                </w:tcPr>
                <w:p w14:paraId="6B090B9F">
                  <w:pPr>
                    <w:widowControl/>
                    <w:jc w:val="center"/>
                    <w:rPr>
                      <w:rFonts w:eastAsia="等线"/>
                      <w:sz w:val="18"/>
                      <w:szCs w:val="18"/>
                    </w:rPr>
                  </w:pPr>
                  <w:r>
                    <w:rPr>
                      <w:rFonts w:eastAsia="等线"/>
                      <w:sz w:val="18"/>
                      <w:szCs w:val="18"/>
                    </w:rPr>
                    <w:t>7.1</w:t>
                  </w:r>
                </w:p>
              </w:tc>
              <w:tc>
                <w:tcPr>
                  <w:tcW w:w="425" w:type="pct"/>
                  <w:tcBorders>
                    <w:top w:val="single" w:color="auto" w:sz="4" w:space="0"/>
                    <w:left w:val="single" w:color="auto" w:sz="4" w:space="0"/>
                    <w:bottom w:val="single" w:color="auto" w:sz="4" w:space="0"/>
                    <w:right w:val="single" w:color="auto" w:sz="4" w:space="0"/>
                  </w:tcBorders>
                  <w:vAlign w:val="center"/>
                </w:tcPr>
                <w:p w14:paraId="550FCBEB">
                  <w:pPr>
                    <w:widowControl/>
                    <w:jc w:val="center"/>
                    <w:rPr>
                      <w:rFonts w:eastAsia="等线"/>
                      <w:sz w:val="18"/>
                      <w:szCs w:val="18"/>
                    </w:rPr>
                  </w:pPr>
                  <w:r>
                    <w:rPr>
                      <w:rFonts w:eastAsia="等线"/>
                      <w:sz w:val="18"/>
                      <w:szCs w:val="18"/>
                    </w:rPr>
                    <w:t>11</w:t>
                  </w:r>
                </w:p>
              </w:tc>
              <w:tc>
                <w:tcPr>
                  <w:tcW w:w="430" w:type="pct"/>
                  <w:tcBorders>
                    <w:top w:val="single" w:color="auto" w:sz="4" w:space="0"/>
                    <w:left w:val="single" w:color="auto" w:sz="4" w:space="0"/>
                    <w:bottom w:val="single" w:color="auto" w:sz="4" w:space="0"/>
                    <w:right w:val="single" w:color="auto" w:sz="4" w:space="0"/>
                  </w:tcBorders>
                  <w:vAlign w:val="center"/>
                </w:tcPr>
                <w:p w14:paraId="5A0EEBA2">
                  <w:pPr>
                    <w:widowControl/>
                    <w:jc w:val="center"/>
                    <w:rPr>
                      <w:rFonts w:eastAsia="等线"/>
                      <w:sz w:val="18"/>
                      <w:szCs w:val="18"/>
                    </w:rPr>
                  </w:pPr>
                  <w:r>
                    <w:rPr>
                      <w:rFonts w:eastAsia="等线"/>
                      <w:sz w:val="18"/>
                      <w:szCs w:val="18"/>
                    </w:rPr>
                    <w:t>5</w:t>
                  </w:r>
                </w:p>
              </w:tc>
              <w:tc>
                <w:tcPr>
                  <w:tcW w:w="369" w:type="pct"/>
                  <w:tcBorders>
                    <w:top w:val="single" w:color="auto" w:sz="4" w:space="0"/>
                    <w:left w:val="single" w:color="auto" w:sz="4" w:space="0"/>
                    <w:bottom w:val="single" w:color="auto" w:sz="4" w:space="0"/>
                    <w:right w:val="single" w:color="auto" w:sz="4" w:space="0"/>
                  </w:tcBorders>
                  <w:vAlign w:val="center"/>
                </w:tcPr>
                <w:p w14:paraId="097289F6">
                  <w:pPr>
                    <w:widowControl/>
                    <w:jc w:val="center"/>
                    <w:rPr>
                      <w:rFonts w:eastAsia="等线"/>
                      <w:sz w:val="18"/>
                      <w:szCs w:val="18"/>
                    </w:rPr>
                  </w:pPr>
                  <w:r>
                    <w:rPr>
                      <w:rFonts w:eastAsia="等线"/>
                      <w:sz w:val="18"/>
                      <w:szCs w:val="18"/>
                    </w:rPr>
                    <w:t>0.30</w:t>
                  </w:r>
                </w:p>
              </w:tc>
              <w:tc>
                <w:tcPr>
                  <w:tcW w:w="347" w:type="pct"/>
                  <w:tcBorders>
                    <w:top w:val="single" w:color="auto" w:sz="4" w:space="0"/>
                    <w:left w:val="single" w:color="auto" w:sz="4" w:space="0"/>
                    <w:bottom w:val="single" w:color="auto" w:sz="4" w:space="0"/>
                    <w:right w:val="single" w:color="auto" w:sz="4" w:space="0"/>
                  </w:tcBorders>
                  <w:vAlign w:val="center"/>
                </w:tcPr>
                <w:p w14:paraId="0A234942">
                  <w:pPr>
                    <w:widowControl/>
                    <w:jc w:val="center"/>
                    <w:rPr>
                      <w:rFonts w:eastAsia="等线"/>
                      <w:sz w:val="18"/>
                      <w:szCs w:val="18"/>
                    </w:rPr>
                  </w:pPr>
                  <w:r>
                    <w:rPr>
                      <w:rFonts w:eastAsia="等线"/>
                      <w:sz w:val="18"/>
                      <w:szCs w:val="18"/>
                    </w:rPr>
                    <w:t>0.12</w:t>
                  </w:r>
                </w:p>
              </w:tc>
              <w:tc>
                <w:tcPr>
                  <w:tcW w:w="356" w:type="pct"/>
                  <w:tcBorders>
                    <w:top w:val="single" w:color="auto" w:sz="4" w:space="0"/>
                    <w:left w:val="single" w:color="auto" w:sz="4" w:space="0"/>
                    <w:bottom w:val="single" w:color="auto" w:sz="4" w:space="0"/>
                    <w:right w:val="single" w:color="auto" w:sz="4" w:space="0"/>
                  </w:tcBorders>
                  <w:vAlign w:val="center"/>
                </w:tcPr>
                <w:p w14:paraId="06BE26DF">
                  <w:pPr>
                    <w:widowControl/>
                    <w:jc w:val="center"/>
                    <w:rPr>
                      <w:rFonts w:eastAsia="等线"/>
                      <w:sz w:val="18"/>
                      <w:szCs w:val="18"/>
                    </w:rPr>
                  </w:pPr>
                  <w:r>
                    <w:rPr>
                      <w:rFonts w:eastAsia="等线"/>
                      <w:sz w:val="18"/>
                      <w:szCs w:val="18"/>
                    </w:rPr>
                    <w:t>0.54</w:t>
                  </w:r>
                </w:p>
              </w:tc>
              <w:tc>
                <w:tcPr>
                  <w:tcW w:w="433" w:type="pct"/>
                  <w:tcBorders>
                    <w:top w:val="single" w:color="auto" w:sz="4" w:space="0"/>
                    <w:left w:val="single" w:color="auto" w:sz="4" w:space="0"/>
                    <w:bottom w:val="single" w:color="auto" w:sz="4" w:space="0"/>
                    <w:right w:val="single" w:color="auto" w:sz="4" w:space="0"/>
                  </w:tcBorders>
                  <w:vAlign w:val="center"/>
                </w:tcPr>
                <w:p w14:paraId="47E5EDD6">
                  <w:pPr>
                    <w:widowControl/>
                    <w:jc w:val="center"/>
                    <w:rPr>
                      <w:rFonts w:eastAsia="等线"/>
                      <w:sz w:val="18"/>
                      <w:szCs w:val="18"/>
                    </w:rPr>
                  </w:pPr>
                  <w:r>
                    <w:rPr>
                      <w:rFonts w:eastAsia="等线"/>
                      <w:sz w:val="18"/>
                      <w:szCs w:val="18"/>
                    </w:rPr>
                    <w:t>0.11</w:t>
                  </w:r>
                </w:p>
              </w:tc>
              <w:tc>
                <w:tcPr>
                  <w:tcW w:w="374" w:type="pct"/>
                  <w:tcBorders>
                    <w:top w:val="single" w:color="auto" w:sz="4" w:space="0"/>
                    <w:left w:val="single" w:color="auto" w:sz="4" w:space="0"/>
                    <w:bottom w:val="single" w:color="auto" w:sz="4" w:space="0"/>
                    <w:right w:val="single" w:color="auto" w:sz="4" w:space="0"/>
                  </w:tcBorders>
                  <w:vAlign w:val="center"/>
                </w:tcPr>
                <w:p w14:paraId="5AE206C1">
                  <w:pPr>
                    <w:widowControl/>
                    <w:jc w:val="center"/>
                    <w:rPr>
                      <w:rFonts w:eastAsia="等线"/>
                      <w:sz w:val="18"/>
                      <w:szCs w:val="18"/>
                    </w:rPr>
                  </w:pPr>
                  <w:r>
                    <w:rPr>
                      <w:rFonts w:eastAsiaTheme="minorEastAsia"/>
                      <w:sz w:val="18"/>
                      <w:szCs w:val="18"/>
                    </w:rPr>
                    <w:t>/</w:t>
                  </w:r>
                </w:p>
              </w:tc>
              <w:tc>
                <w:tcPr>
                  <w:tcW w:w="395" w:type="pct"/>
                  <w:tcBorders>
                    <w:top w:val="single" w:color="auto" w:sz="4" w:space="0"/>
                    <w:left w:val="single" w:color="auto" w:sz="4" w:space="0"/>
                    <w:bottom w:val="single" w:color="auto" w:sz="4" w:space="0"/>
                  </w:tcBorders>
                  <w:vAlign w:val="center"/>
                </w:tcPr>
                <w:p w14:paraId="2C29F60D">
                  <w:pPr>
                    <w:widowControl/>
                    <w:jc w:val="center"/>
                    <w:rPr>
                      <w:rFonts w:eastAsia="等线"/>
                      <w:sz w:val="18"/>
                      <w:szCs w:val="18"/>
                    </w:rPr>
                  </w:pPr>
                  <w:r>
                    <w:rPr>
                      <w:rFonts w:eastAsia="等线"/>
                      <w:sz w:val="18"/>
                      <w:szCs w:val="18"/>
                    </w:rPr>
                    <w:t>2.2</w:t>
                  </w:r>
                </w:p>
              </w:tc>
              <w:tc>
                <w:tcPr>
                  <w:tcW w:w="357" w:type="pct"/>
                  <w:tcBorders>
                    <w:top w:val="single" w:color="auto" w:sz="4" w:space="0"/>
                    <w:left w:val="single" w:color="auto" w:sz="4" w:space="0"/>
                    <w:bottom w:val="single" w:color="auto" w:sz="4" w:space="0"/>
                  </w:tcBorders>
                  <w:vAlign w:val="center"/>
                </w:tcPr>
                <w:p w14:paraId="60D125B1">
                  <w:pPr>
                    <w:widowControl/>
                    <w:jc w:val="center"/>
                    <w:rPr>
                      <w:rFonts w:eastAsia="等线"/>
                      <w:sz w:val="18"/>
                      <w:szCs w:val="18"/>
                    </w:rPr>
                  </w:pPr>
                  <w:r>
                    <w:rPr>
                      <w:rFonts w:eastAsiaTheme="minorEastAsia"/>
                      <w:sz w:val="18"/>
                      <w:szCs w:val="18"/>
                    </w:rPr>
                    <w:t>/</w:t>
                  </w:r>
                </w:p>
              </w:tc>
            </w:tr>
            <w:tr w14:paraId="0994EB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6" w:type="pct"/>
                  <w:vMerge w:val="continue"/>
                  <w:tcBorders>
                    <w:right w:val="single" w:color="auto" w:sz="4" w:space="0"/>
                  </w:tcBorders>
                  <w:vAlign w:val="center"/>
                </w:tcPr>
                <w:p w14:paraId="580A650B">
                  <w:pPr>
                    <w:widowControl/>
                    <w:jc w:val="center"/>
                    <w:rPr>
                      <w:kern w:val="0"/>
                      <w:sz w:val="18"/>
                      <w:szCs w:val="18"/>
                    </w:rPr>
                  </w:pPr>
                </w:p>
              </w:tc>
              <w:tc>
                <w:tcPr>
                  <w:tcW w:w="404" w:type="pct"/>
                  <w:vMerge w:val="continue"/>
                  <w:tcBorders>
                    <w:left w:val="single" w:color="auto" w:sz="4" w:space="0"/>
                    <w:right w:val="single" w:color="auto" w:sz="4" w:space="0"/>
                  </w:tcBorders>
                  <w:vAlign w:val="center"/>
                </w:tcPr>
                <w:p w14:paraId="21D3333C">
                  <w:pPr>
                    <w:widowControl/>
                    <w:jc w:val="center"/>
                    <w:rPr>
                      <w:kern w:val="0"/>
                      <w:sz w:val="18"/>
                      <w:szCs w:val="18"/>
                    </w:rPr>
                  </w:pPr>
                </w:p>
              </w:tc>
              <w:tc>
                <w:tcPr>
                  <w:tcW w:w="433" w:type="pct"/>
                  <w:tcBorders>
                    <w:top w:val="single" w:color="auto" w:sz="4" w:space="0"/>
                    <w:left w:val="single" w:color="auto" w:sz="4" w:space="0"/>
                    <w:bottom w:val="single" w:color="auto" w:sz="4" w:space="0"/>
                    <w:right w:val="single" w:color="auto" w:sz="4" w:space="0"/>
                  </w:tcBorders>
                  <w:vAlign w:val="center"/>
                </w:tcPr>
                <w:p w14:paraId="3E614F47">
                  <w:pPr>
                    <w:widowControl/>
                    <w:jc w:val="center"/>
                    <w:rPr>
                      <w:kern w:val="0"/>
                      <w:sz w:val="18"/>
                      <w:szCs w:val="18"/>
                    </w:rPr>
                  </w:pPr>
                  <w:r>
                    <w:rPr>
                      <w:kern w:val="0"/>
                      <w:sz w:val="18"/>
                      <w:szCs w:val="18"/>
                    </w:rPr>
                    <w:t>第三次</w:t>
                  </w:r>
                </w:p>
              </w:tc>
              <w:tc>
                <w:tcPr>
                  <w:tcW w:w="321" w:type="pct"/>
                  <w:tcBorders>
                    <w:top w:val="single" w:color="auto" w:sz="4" w:space="0"/>
                    <w:left w:val="single" w:color="auto" w:sz="4" w:space="0"/>
                    <w:bottom w:val="single" w:color="auto" w:sz="4" w:space="0"/>
                    <w:right w:val="single" w:color="auto" w:sz="4" w:space="0"/>
                  </w:tcBorders>
                  <w:vAlign w:val="center"/>
                </w:tcPr>
                <w:p w14:paraId="362B1F66">
                  <w:pPr>
                    <w:widowControl/>
                    <w:jc w:val="center"/>
                    <w:rPr>
                      <w:rFonts w:eastAsia="等线"/>
                      <w:sz w:val="18"/>
                      <w:szCs w:val="18"/>
                    </w:rPr>
                  </w:pPr>
                  <w:r>
                    <w:rPr>
                      <w:rFonts w:eastAsia="等线"/>
                      <w:sz w:val="18"/>
                      <w:szCs w:val="18"/>
                    </w:rPr>
                    <w:t>7.1</w:t>
                  </w:r>
                </w:p>
              </w:tc>
              <w:tc>
                <w:tcPr>
                  <w:tcW w:w="425" w:type="pct"/>
                  <w:tcBorders>
                    <w:top w:val="single" w:color="auto" w:sz="4" w:space="0"/>
                    <w:left w:val="single" w:color="auto" w:sz="4" w:space="0"/>
                    <w:bottom w:val="single" w:color="auto" w:sz="4" w:space="0"/>
                    <w:right w:val="single" w:color="auto" w:sz="4" w:space="0"/>
                  </w:tcBorders>
                  <w:vAlign w:val="center"/>
                </w:tcPr>
                <w:p w14:paraId="2F606645">
                  <w:pPr>
                    <w:widowControl/>
                    <w:jc w:val="center"/>
                    <w:rPr>
                      <w:rFonts w:eastAsia="等线"/>
                      <w:sz w:val="18"/>
                      <w:szCs w:val="18"/>
                    </w:rPr>
                  </w:pPr>
                  <w:r>
                    <w:rPr>
                      <w:rFonts w:eastAsia="等线"/>
                      <w:sz w:val="18"/>
                      <w:szCs w:val="18"/>
                    </w:rPr>
                    <w:t>12</w:t>
                  </w:r>
                </w:p>
              </w:tc>
              <w:tc>
                <w:tcPr>
                  <w:tcW w:w="430" w:type="pct"/>
                  <w:tcBorders>
                    <w:top w:val="single" w:color="auto" w:sz="4" w:space="0"/>
                    <w:left w:val="single" w:color="auto" w:sz="4" w:space="0"/>
                    <w:bottom w:val="single" w:color="auto" w:sz="4" w:space="0"/>
                    <w:right w:val="single" w:color="auto" w:sz="4" w:space="0"/>
                  </w:tcBorders>
                  <w:vAlign w:val="center"/>
                </w:tcPr>
                <w:p w14:paraId="20403338">
                  <w:pPr>
                    <w:widowControl/>
                    <w:jc w:val="center"/>
                    <w:rPr>
                      <w:rFonts w:eastAsia="等线"/>
                      <w:sz w:val="18"/>
                      <w:szCs w:val="18"/>
                    </w:rPr>
                  </w:pPr>
                  <w:r>
                    <w:rPr>
                      <w:rFonts w:eastAsia="等线"/>
                      <w:sz w:val="18"/>
                      <w:szCs w:val="18"/>
                    </w:rPr>
                    <w:t>7</w:t>
                  </w:r>
                </w:p>
              </w:tc>
              <w:tc>
                <w:tcPr>
                  <w:tcW w:w="369" w:type="pct"/>
                  <w:tcBorders>
                    <w:top w:val="single" w:color="auto" w:sz="4" w:space="0"/>
                    <w:left w:val="single" w:color="auto" w:sz="4" w:space="0"/>
                    <w:bottom w:val="single" w:color="auto" w:sz="4" w:space="0"/>
                    <w:right w:val="single" w:color="auto" w:sz="4" w:space="0"/>
                  </w:tcBorders>
                  <w:vAlign w:val="center"/>
                </w:tcPr>
                <w:p w14:paraId="59F9B020">
                  <w:pPr>
                    <w:widowControl/>
                    <w:jc w:val="center"/>
                    <w:rPr>
                      <w:rFonts w:eastAsia="等线"/>
                      <w:sz w:val="18"/>
                      <w:szCs w:val="18"/>
                    </w:rPr>
                  </w:pPr>
                  <w:r>
                    <w:rPr>
                      <w:rFonts w:eastAsia="等线"/>
                      <w:sz w:val="18"/>
                      <w:szCs w:val="18"/>
                    </w:rPr>
                    <w:t>0.21</w:t>
                  </w:r>
                </w:p>
              </w:tc>
              <w:tc>
                <w:tcPr>
                  <w:tcW w:w="347" w:type="pct"/>
                  <w:tcBorders>
                    <w:top w:val="single" w:color="auto" w:sz="4" w:space="0"/>
                    <w:left w:val="single" w:color="auto" w:sz="4" w:space="0"/>
                    <w:bottom w:val="single" w:color="auto" w:sz="4" w:space="0"/>
                    <w:right w:val="single" w:color="auto" w:sz="4" w:space="0"/>
                  </w:tcBorders>
                  <w:vAlign w:val="center"/>
                </w:tcPr>
                <w:p w14:paraId="5AE6B216">
                  <w:pPr>
                    <w:widowControl/>
                    <w:jc w:val="center"/>
                    <w:rPr>
                      <w:rFonts w:eastAsia="等线"/>
                      <w:sz w:val="18"/>
                      <w:szCs w:val="18"/>
                    </w:rPr>
                  </w:pPr>
                  <w:r>
                    <w:rPr>
                      <w:rFonts w:eastAsia="等线"/>
                      <w:sz w:val="18"/>
                      <w:szCs w:val="18"/>
                    </w:rPr>
                    <w:t>0.1</w:t>
                  </w:r>
                </w:p>
              </w:tc>
              <w:tc>
                <w:tcPr>
                  <w:tcW w:w="356" w:type="pct"/>
                  <w:tcBorders>
                    <w:top w:val="single" w:color="auto" w:sz="4" w:space="0"/>
                    <w:left w:val="single" w:color="auto" w:sz="4" w:space="0"/>
                    <w:bottom w:val="single" w:color="auto" w:sz="4" w:space="0"/>
                    <w:right w:val="single" w:color="auto" w:sz="4" w:space="0"/>
                  </w:tcBorders>
                  <w:vAlign w:val="center"/>
                </w:tcPr>
                <w:p w14:paraId="5F4AD680">
                  <w:pPr>
                    <w:widowControl/>
                    <w:jc w:val="center"/>
                    <w:rPr>
                      <w:rFonts w:eastAsia="等线"/>
                      <w:sz w:val="18"/>
                      <w:szCs w:val="18"/>
                    </w:rPr>
                  </w:pPr>
                  <w:r>
                    <w:rPr>
                      <w:rFonts w:eastAsia="等线"/>
                      <w:sz w:val="18"/>
                      <w:szCs w:val="18"/>
                    </w:rPr>
                    <w:t>0.6</w:t>
                  </w:r>
                </w:p>
              </w:tc>
              <w:tc>
                <w:tcPr>
                  <w:tcW w:w="433" w:type="pct"/>
                  <w:tcBorders>
                    <w:top w:val="single" w:color="auto" w:sz="4" w:space="0"/>
                    <w:left w:val="single" w:color="auto" w:sz="4" w:space="0"/>
                    <w:bottom w:val="single" w:color="auto" w:sz="4" w:space="0"/>
                    <w:right w:val="single" w:color="auto" w:sz="4" w:space="0"/>
                  </w:tcBorders>
                  <w:vAlign w:val="center"/>
                </w:tcPr>
                <w:p w14:paraId="5513C48A">
                  <w:pPr>
                    <w:widowControl/>
                    <w:jc w:val="center"/>
                    <w:rPr>
                      <w:rFonts w:eastAsia="等线"/>
                      <w:sz w:val="18"/>
                      <w:szCs w:val="18"/>
                    </w:rPr>
                  </w:pPr>
                  <w:r>
                    <w:rPr>
                      <w:rFonts w:eastAsia="等线"/>
                      <w:sz w:val="18"/>
                      <w:szCs w:val="18"/>
                    </w:rPr>
                    <w:t>0.12</w:t>
                  </w:r>
                </w:p>
              </w:tc>
              <w:tc>
                <w:tcPr>
                  <w:tcW w:w="374" w:type="pct"/>
                  <w:tcBorders>
                    <w:top w:val="single" w:color="auto" w:sz="4" w:space="0"/>
                    <w:left w:val="single" w:color="auto" w:sz="4" w:space="0"/>
                    <w:bottom w:val="single" w:color="auto" w:sz="4" w:space="0"/>
                    <w:right w:val="single" w:color="auto" w:sz="4" w:space="0"/>
                  </w:tcBorders>
                  <w:vAlign w:val="center"/>
                </w:tcPr>
                <w:p w14:paraId="7267CC61">
                  <w:pPr>
                    <w:widowControl/>
                    <w:jc w:val="center"/>
                    <w:rPr>
                      <w:rFonts w:eastAsia="等线"/>
                      <w:sz w:val="18"/>
                      <w:szCs w:val="18"/>
                    </w:rPr>
                  </w:pPr>
                  <w:r>
                    <w:rPr>
                      <w:rFonts w:eastAsiaTheme="minorEastAsia"/>
                      <w:sz w:val="18"/>
                      <w:szCs w:val="18"/>
                    </w:rPr>
                    <w:t>/</w:t>
                  </w:r>
                </w:p>
              </w:tc>
              <w:tc>
                <w:tcPr>
                  <w:tcW w:w="395" w:type="pct"/>
                  <w:tcBorders>
                    <w:top w:val="single" w:color="auto" w:sz="4" w:space="0"/>
                    <w:left w:val="single" w:color="auto" w:sz="4" w:space="0"/>
                    <w:bottom w:val="single" w:color="auto" w:sz="4" w:space="0"/>
                  </w:tcBorders>
                  <w:vAlign w:val="center"/>
                </w:tcPr>
                <w:p w14:paraId="131894CF">
                  <w:pPr>
                    <w:widowControl/>
                    <w:jc w:val="center"/>
                    <w:rPr>
                      <w:rFonts w:eastAsia="等线"/>
                      <w:sz w:val="18"/>
                      <w:szCs w:val="18"/>
                    </w:rPr>
                  </w:pPr>
                  <w:r>
                    <w:rPr>
                      <w:rFonts w:eastAsia="等线"/>
                      <w:sz w:val="18"/>
                      <w:szCs w:val="18"/>
                    </w:rPr>
                    <w:t>2.3</w:t>
                  </w:r>
                </w:p>
              </w:tc>
              <w:tc>
                <w:tcPr>
                  <w:tcW w:w="357" w:type="pct"/>
                  <w:tcBorders>
                    <w:top w:val="single" w:color="auto" w:sz="4" w:space="0"/>
                    <w:left w:val="single" w:color="auto" w:sz="4" w:space="0"/>
                    <w:bottom w:val="single" w:color="auto" w:sz="4" w:space="0"/>
                  </w:tcBorders>
                  <w:vAlign w:val="center"/>
                </w:tcPr>
                <w:p w14:paraId="31118E82">
                  <w:pPr>
                    <w:widowControl/>
                    <w:jc w:val="center"/>
                    <w:rPr>
                      <w:rFonts w:eastAsia="等线"/>
                      <w:sz w:val="18"/>
                      <w:szCs w:val="18"/>
                    </w:rPr>
                  </w:pPr>
                  <w:r>
                    <w:rPr>
                      <w:rFonts w:eastAsiaTheme="minorEastAsia"/>
                      <w:sz w:val="18"/>
                      <w:szCs w:val="18"/>
                    </w:rPr>
                    <w:t>/</w:t>
                  </w:r>
                </w:p>
              </w:tc>
            </w:tr>
            <w:tr w14:paraId="26E4CB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6" w:type="pct"/>
                  <w:vMerge w:val="continue"/>
                  <w:tcBorders>
                    <w:right w:val="single" w:color="auto" w:sz="4" w:space="0"/>
                  </w:tcBorders>
                  <w:vAlign w:val="center"/>
                </w:tcPr>
                <w:p w14:paraId="31249BAF">
                  <w:pPr>
                    <w:widowControl/>
                    <w:jc w:val="center"/>
                    <w:rPr>
                      <w:kern w:val="0"/>
                      <w:sz w:val="18"/>
                      <w:szCs w:val="18"/>
                    </w:rPr>
                  </w:pPr>
                </w:p>
              </w:tc>
              <w:tc>
                <w:tcPr>
                  <w:tcW w:w="404" w:type="pct"/>
                  <w:vMerge w:val="continue"/>
                  <w:tcBorders>
                    <w:left w:val="single" w:color="auto" w:sz="4" w:space="0"/>
                    <w:right w:val="single" w:color="auto" w:sz="4" w:space="0"/>
                  </w:tcBorders>
                  <w:vAlign w:val="center"/>
                </w:tcPr>
                <w:p w14:paraId="6475633C">
                  <w:pPr>
                    <w:widowControl/>
                    <w:jc w:val="center"/>
                    <w:rPr>
                      <w:kern w:val="0"/>
                      <w:sz w:val="18"/>
                      <w:szCs w:val="18"/>
                    </w:rPr>
                  </w:pPr>
                </w:p>
              </w:tc>
              <w:tc>
                <w:tcPr>
                  <w:tcW w:w="433" w:type="pct"/>
                  <w:tcBorders>
                    <w:top w:val="single" w:color="auto" w:sz="4" w:space="0"/>
                    <w:left w:val="single" w:color="auto" w:sz="4" w:space="0"/>
                    <w:bottom w:val="single" w:color="auto" w:sz="4" w:space="0"/>
                    <w:right w:val="single" w:color="auto" w:sz="4" w:space="0"/>
                  </w:tcBorders>
                  <w:vAlign w:val="center"/>
                </w:tcPr>
                <w:p w14:paraId="066CECC3">
                  <w:pPr>
                    <w:widowControl/>
                    <w:jc w:val="center"/>
                    <w:rPr>
                      <w:kern w:val="0"/>
                      <w:sz w:val="18"/>
                      <w:szCs w:val="18"/>
                    </w:rPr>
                  </w:pPr>
                  <w:r>
                    <w:rPr>
                      <w:kern w:val="0"/>
                      <w:sz w:val="18"/>
                      <w:szCs w:val="18"/>
                    </w:rPr>
                    <w:t>第四次</w:t>
                  </w:r>
                </w:p>
              </w:tc>
              <w:tc>
                <w:tcPr>
                  <w:tcW w:w="321" w:type="pct"/>
                  <w:tcBorders>
                    <w:top w:val="single" w:color="auto" w:sz="4" w:space="0"/>
                    <w:left w:val="single" w:color="auto" w:sz="4" w:space="0"/>
                    <w:bottom w:val="single" w:color="auto" w:sz="4" w:space="0"/>
                    <w:right w:val="single" w:color="auto" w:sz="4" w:space="0"/>
                  </w:tcBorders>
                  <w:vAlign w:val="center"/>
                </w:tcPr>
                <w:p w14:paraId="1BC3A0E6">
                  <w:pPr>
                    <w:widowControl/>
                    <w:jc w:val="center"/>
                    <w:rPr>
                      <w:rFonts w:eastAsia="等线"/>
                      <w:sz w:val="18"/>
                      <w:szCs w:val="18"/>
                    </w:rPr>
                  </w:pPr>
                  <w:r>
                    <w:rPr>
                      <w:rFonts w:eastAsia="等线"/>
                      <w:sz w:val="18"/>
                      <w:szCs w:val="18"/>
                    </w:rPr>
                    <w:t>7.2</w:t>
                  </w:r>
                </w:p>
              </w:tc>
              <w:tc>
                <w:tcPr>
                  <w:tcW w:w="425" w:type="pct"/>
                  <w:tcBorders>
                    <w:top w:val="single" w:color="auto" w:sz="4" w:space="0"/>
                    <w:left w:val="single" w:color="auto" w:sz="4" w:space="0"/>
                    <w:bottom w:val="single" w:color="auto" w:sz="4" w:space="0"/>
                    <w:right w:val="single" w:color="auto" w:sz="4" w:space="0"/>
                  </w:tcBorders>
                  <w:vAlign w:val="center"/>
                </w:tcPr>
                <w:p w14:paraId="3B0069E7">
                  <w:pPr>
                    <w:widowControl/>
                    <w:jc w:val="center"/>
                    <w:rPr>
                      <w:rFonts w:eastAsia="等线"/>
                      <w:sz w:val="18"/>
                      <w:szCs w:val="18"/>
                    </w:rPr>
                  </w:pPr>
                  <w:r>
                    <w:rPr>
                      <w:rFonts w:eastAsia="等线"/>
                      <w:sz w:val="18"/>
                      <w:szCs w:val="18"/>
                    </w:rPr>
                    <w:t>15</w:t>
                  </w:r>
                </w:p>
              </w:tc>
              <w:tc>
                <w:tcPr>
                  <w:tcW w:w="430" w:type="pct"/>
                  <w:tcBorders>
                    <w:top w:val="single" w:color="auto" w:sz="4" w:space="0"/>
                    <w:left w:val="single" w:color="auto" w:sz="4" w:space="0"/>
                    <w:bottom w:val="single" w:color="auto" w:sz="4" w:space="0"/>
                    <w:right w:val="single" w:color="auto" w:sz="4" w:space="0"/>
                  </w:tcBorders>
                  <w:vAlign w:val="center"/>
                </w:tcPr>
                <w:p w14:paraId="19EB8E4C">
                  <w:pPr>
                    <w:widowControl/>
                    <w:jc w:val="center"/>
                    <w:rPr>
                      <w:rFonts w:eastAsia="等线"/>
                      <w:sz w:val="18"/>
                      <w:szCs w:val="18"/>
                    </w:rPr>
                  </w:pPr>
                  <w:r>
                    <w:rPr>
                      <w:rFonts w:eastAsia="等线"/>
                      <w:sz w:val="18"/>
                      <w:szCs w:val="18"/>
                    </w:rPr>
                    <w:t>7</w:t>
                  </w:r>
                </w:p>
              </w:tc>
              <w:tc>
                <w:tcPr>
                  <w:tcW w:w="369" w:type="pct"/>
                  <w:tcBorders>
                    <w:top w:val="single" w:color="auto" w:sz="4" w:space="0"/>
                    <w:left w:val="single" w:color="auto" w:sz="4" w:space="0"/>
                    <w:bottom w:val="single" w:color="auto" w:sz="4" w:space="0"/>
                    <w:right w:val="single" w:color="auto" w:sz="4" w:space="0"/>
                  </w:tcBorders>
                  <w:vAlign w:val="center"/>
                </w:tcPr>
                <w:p w14:paraId="7CBEC91B">
                  <w:pPr>
                    <w:widowControl/>
                    <w:jc w:val="center"/>
                    <w:rPr>
                      <w:rFonts w:eastAsia="等线"/>
                      <w:sz w:val="18"/>
                      <w:szCs w:val="18"/>
                    </w:rPr>
                  </w:pPr>
                  <w:r>
                    <w:rPr>
                      <w:rFonts w:eastAsia="等线"/>
                      <w:sz w:val="18"/>
                      <w:szCs w:val="18"/>
                    </w:rPr>
                    <w:t>0.27</w:t>
                  </w:r>
                </w:p>
              </w:tc>
              <w:tc>
                <w:tcPr>
                  <w:tcW w:w="347" w:type="pct"/>
                  <w:tcBorders>
                    <w:top w:val="single" w:color="auto" w:sz="4" w:space="0"/>
                    <w:left w:val="single" w:color="auto" w:sz="4" w:space="0"/>
                    <w:bottom w:val="single" w:color="auto" w:sz="4" w:space="0"/>
                    <w:right w:val="single" w:color="auto" w:sz="4" w:space="0"/>
                  </w:tcBorders>
                  <w:vAlign w:val="center"/>
                </w:tcPr>
                <w:p w14:paraId="3E36064C">
                  <w:pPr>
                    <w:widowControl/>
                    <w:jc w:val="center"/>
                    <w:rPr>
                      <w:rFonts w:eastAsia="等线"/>
                      <w:sz w:val="18"/>
                      <w:szCs w:val="18"/>
                    </w:rPr>
                  </w:pPr>
                  <w:r>
                    <w:rPr>
                      <w:rFonts w:eastAsia="等线"/>
                      <w:sz w:val="18"/>
                      <w:szCs w:val="18"/>
                    </w:rPr>
                    <w:t>0.12</w:t>
                  </w:r>
                </w:p>
              </w:tc>
              <w:tc>
                <w:tcPr>
                  <w:tcW w:w="356" w:type="pct"/>
                  <w:tcBorders>
                    <w:top w:val="single" w:color="auto" w:sz="4" w:space="0"/>
                    <w:left w:val="single" w:color="auto" w:sz="4" w:space="0"/>
                    <w:bottom w:val="single" w:color="auto" w:sz="4" w:space="0"/>
                    <w:right w:val="single" w:color="auto" w:sz="4" w:space="0"/>
                  </w:tcBorders>
                  <w:vAlign w:val="center"/>
                </w:tcPr>
                <w:p w14:paraId="399C6442">
                  <w:pPr>
                    <w:widowControl/>
                    <w:jc w:val="center"/>
                    <w:rPr>
                      <w:rFonts w:eastAsia="等线"/>
                      <w:sz w:val="18"/>
                      <w:szCs w:val="18"/>
                    </w:rPr>
                  </w:pPr>
                  <w:r>
                    <w:rPr>
                      <w:rFonts w:eastAsia="等线"/>
                      <w:sz w:val="18"/>
                      <w:szCs w:val="18"/>
                    </w:rPr>
                    <w:t>0.53</w:t>
                  </w:r>
                </w:p>
              </w:tc>
              <w:tc>
                <w:tcPr>
                  <w:tcW w:w="433" w:type="pct"/>
                  <w:tcBorders>
                    <w:top w:val="single" w:color="auto" w:sz="4" w:space="0"/>
                    <w:left w:val="single" w:color="auto" w:sz="4" w:space="0"/>
                    <w:bottom w:val="single" w:color="auto" w:sz="4" w:space="0"/>
                    <w:right w:val="single" w:color="auto" w:sz="4" w:space="0"/>
                  </w:tcBorders>
                  <w:vAlign w:val="center"/>
                </w:tcPr>
                <w:p w14:paraId="3FBEF8DD">
                  <w:pPr>
                    <w:widowControl/>
                    <w:jc w:val="center"/>
                    <w:rPr>
                      <w:rFonts w:eastAsia="等线"/>
                      <w:sz w:val="18"/>
                      <w:szCs w:val="18"/>
                    </w:rPr>
                  </w:pPr>
                  <w:r>
                    <w:rPr>
                      <w:rFonts w:eastAsia="等线"/>
                      <w:sz w:val="18"/>
                      <w:szCs w:val="18"/>
                    </w:rPr>
                    <w:t>0.16</w:t>
                  </w:r>
                </w:p>
              </w:tc>
              <w:tc>
                <w:tcPr>
                  <w:tcW w:w="374" w:type="pct"/>
                  <w:tcBorders>
                    <w:top w:val="single" w:color="auto" w:sz="4" w:space="0"/>
                    <w:left w:val="single" w:color="auto" w:sz="4" w:space="0"/>
                    <w:bottom w:val="single" w:color="auto" w:sz="4" w:space="0"/>
                    <w:right w:val="single" w:color="auto" w:sz="4" w:space="0"/>
                  </w:tcBorders>
                  <w:vAlign w:val="center"/>
                </w:tcPr>
                <w:p w14:paraId="1C5E1BAA">
                  <w:pPr>
                    <w:widowControl/>
                    <w:jc w:val="center"/>
                    <w:rPr>
                      <w:rFonts w:eastAsia="等线"/>
                      <w:sz w:val="18"/>
                      <w:szCs w:val="18"/>
                    </w:rPr>
                  </w:pPr>
                  <w:r>
                    <w:rPr>
                      <w:rFonts w:eastAsiaTheme="minorEastAsia"/>
                      <w:sz w:val="18"/>
                      <w:szCs w:val="18"/>
                    </w:rPr>
                    <w:t>/</w:t>
                  </w:r>
                </w:p>
              </w:tc>
              <w:tc>
                <w:tcPr>
                  <w:tcW w:w="395" w:type="pct"/>
                  <w:tcBorders>
                    <w:top w:val="single" w:color="auto" w:sz="4" w:space="0"/>
                    <w:left w:val="single" w:color="auto" w:sz="4" w:space="0"/>
                    <w:bottom w:val="single" w:color="auto" w:sz="4" w:space="0"/>
                  </w:tcBorders>
                  <w:vAlign w:val="center"/>
                </w:tcPr>
                <w:p w14:paraId="61581961">
                  <w:pPr>
                    <w:widowControl/>
                    <w:jc w:val="center"/>
                    <w:rPr>
                      <w:rFonts w:eastAsia="等线"/>
                      <w:sz w:val="18"/>
                      <w:szCs w:val="18"/>
                    </w:rPr>
                  </w:pPr>
                  <w:r>
                    <w:rPr>
                      <w:rFonts w:eastAsia="等线"/>
                      <w:sz w:val="18"/>
                      <w:szCs w:val="18"/>
                    </w:rPr>
                    <w:t>3</w:t>
                  </w:r>
                </w:p>
              </w:tc>
              <w:tc>
                <w:tcPr>
                  <w:tcW w:w="357" w:type="pct"/>
                  <w:tcBorders>
                    <w:top w:val="single" w:color="auto" w:sz="4" w:space="0"/>
                    <w:left w:val="single" w:color="auto" w:sz="4" w:space="0"/>
                    <w:bottom w:val="single" w:color="auto" w:sz="4" w:space="0"/>
                  </w:tcBorders>
                  <w:vAlign w:val="center"/>
                </w:tcPr>
                <w:p w14:paraId="0BD2892A">
                  <w:pPr>
                    <w:widowControl/>
                    <w:jc w:val="center"/>
                    <w:rPr>
                      <w:rFonts w:eastAsia="等线"/>
                      <w:sz w:val="18"/>
                      <w:szCs w:val="18"/>
                    </w:rPr>
                  </w:pPr>
                  <w:r>
                    <w:rPr>
                      <w:rFonts w:eastAsiaTheme="minorEastAsia"/>
                      <w:sz w:val="18"/>
                      <w:szCs w:val="18"/>
                    </w:rPr>
                    <w:t>/</w:t>
                  </w:r>
                </w:p>
              </w:tc>
            </w:tr>
            <w:tr w14:paraId="5F2139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6" w:type="pct"/>
                  <w:vMerge w:val="continue"/>
                  <w:tcBorders>
                    <w:right w:val="single" w:color="auto" w:sz="4" w:space="0"/>
                  </w:tcBorders>
                  <w:vAlign w:val="center"/>
                </w:tcPr>
                <w:p w14:paraId="325DE7A6">
                  <w:pPr>
                    <w:widowControl/>
                    <w:jc w:val="center"/>
                    <w:rPr>
                      <w:kern w:val="0"/>
                      <w:sz w:val="18"/>
                      <w:szCs w:val="18"/>
                    </w:rPr>
                  </w:pPr>
                </w:p>
              </w:tc>
              <w:tc>
                <w:tcPr>
                  <w:tcW w:w="404" w:type="pct"/>
                  <w:vMerge w:val="continue"/>
                  <w:tcBorders>
                    <w:left w:val="single" w:color="auto" w:sz="4" w:space="0"/>
                    <w:right w:val="single" w:color="auto" w:sz="4" w:space="0"/>
                  </w:tcBorders>
                  <w:vAlign w:val="center"/>
                </w:tcPr>
                <w:p w14:paraId="578CA238">
                  <w:pPr>
                    <w:widowControl/>
                    <w:jc w:val="center"/>
                    <w:rPr>
                      <w:kern w:val="0"/>
                      <w:sz w:val="18"/>
                      <w:szCs w:val="18"/>
                    </w:rPr>
                  </w:pPr>
                </w:p>
              </w:tc>
              <w:tc>
                <w:tcPr>
                  <w:tcW w:w="433" w:type="pct"/>
                  <w:tcBorders>
                    <w:top w:val="single" w:color="auto" w:sz="4" w:space="0"/>
                    <w:left w:val="single" w:color="auto" w:sz="4" w:space="0"/>
                    <w:bottom w:val="single" w:color="auto" w:sz="4" w:space="0"/>
                    <w:right w:val="single" w:color="auto" w:sz="4" w:space="0"/>
                  </w:tcBorders>
                  <w:vAlign w:val="center"/>
                </w:tcPr>
                <w:p w14:paraId="49383328">
                  <w:pPr>
                    <w:widowControl/>
                    <w:jc w:val="center"/>
                    <w:rPr>
                      <w:kern w:val="0"/>
                      <w:sz w:val="18"/>
                      <w:szCs w:val="18"/>
                    </w:rPr>
                  </w:pPr>
                  <w:r>
                    <w:rPr>
                      <w:kern w:val="0"/>
                      <w:sz w:val="18"/>
                      <w:szCs w:val="18"/>
                    </w:rPr>
                    <w:t>平均值</w:t>
                  </w:r>
                </w:p>
              </w:tc>
              <w:tc>
                <w:tcPr>
                  <w:tcW w:w="321" w:type="pct"/>
                  <w:tcBorders>
                    <w:top w:val="single" w:color="auto" w:sz="4" w:space="0"/>
                    <w:left w:val="single" w:color="auto" w:sz="4" w:space="0"/>
                    <w:bottom w:val="single" w:color="auto" w:sz="4" w:space="0"/>
                    <w:right w:val="single" w:color="auto" w:sz="4" w:space="0"/>
                  </w:tcBorders>
                  <w:vAlign w:val="center"/>
                </w:tcPr>
                <w:p w14:paraId="0C0F6631">
                  <w:pPr>
                    <w:widowControl/>
                    <w:jc w:val="center"/>
                    <w:rPr>
                      <w:rFonts w:eastAsia="等线"/>
                      <w:sz w:val="18"/>
                      <w:szCs w:val="18"/>
                    </w:rPr>
                  </w:pPr>
                  <w:r>
                    <w:rPr>
                      <w:rFonts w:eastAsia="等线"/>
                      <w:sz w:val="18"/>
                      <w:szCs w:val="18"/>
                    </w:rPr>
                    <w:t>7.1</w:t>
                  </w:r>
                </w:p>
              </w:tc>
              <w:tc>
                <w:tcPr>
                  <w:tcW w:w="425" w:type="pct"/>
                  <w:tcBorders>
                    <w:top w:val="single" w:color="auto" w:sz="4" w:space="0"/>
                    <w:left w:val="single" w:color="auto" w:sz="4" w:space="0"/>
                    <w:bottom w:val="single" w:color="auto" w:sz="4" w:space="0"/>
                    <w:right w:val="single" w:color="auto" w:sz="4" w:space="0"/>
                  </w:tcBorders>
                  <w:vAlign w:val="center"/>
                </w:tcPr>
                <w:p w14:paraId="45D0256A">
                  <w:pPr>
                    <w:widowControl/>
                    <w:jc w:val="center"/>
                    <w:rPr>
                      <w:rFonts w:eastAsia="等线"/>
                      <w:sz w:val="18"/>
                      <w:szCs w:val="18"/>
                    </w:rPr>
                  </w:pPr>
                  <w:r>
                    <w:rPr>
                      <w:rFonts w:eastAsia="等线"/>
                      <w:sz w:val="18"/>
                      <w:szCs w:val="18"/>
                    </w:rPr>
                    <w:t>12.75</w:t>
                  </w:r>
                </w:p>
              </w:tc>
              <w:tc>
                <w:tcPr>
                  <w:tcW w:w="430" w:type="pct"/>
                  <w:tcBorders>
                    <w:top w:val="single" w:color="auto" w:sz="4" w:space="0"/>
                    <w:left w:val="single" w:color="auto" w:sz="4" w:space="0"/>
                    <w:bottom w:val="single" w:color="auto" w:sz="4" w:space="0"/>
                    <w:right w:val="single" w:color="auto" w:sz="4" w:space="0"/>
                  </w:tcBorders>
                  <w:vAlign w:val="center"/>
                </w:tcPr>
                <w:p w14:paraId="5D383583">
                  <w:pPr>
                    <w:widowControl/>
                    <w:jc w:val="center"/>
                    <w:rPr>
                      <w:rFonts w:eastAsia="等线"/>
                      <w:sz w:val="18"/>
                      <w:szCs w:val="18"/>
                    </w:rPr>
                  </w:pPr>
                  <w:r>
                    <w:rPr>
                      <w:rFonts w:eastAsia="等线"/>
                      <w:sz w:val="18"/>
                      <w:szCs w:val="18"/>
                    </w:rPr>
                    <w:t>6.25</w:t>
                  </w:r>
                </w:p>
              </w:tc>
              <w:tc>
                <w:tcPr>
                  <w:tcW w:w="369" w:type="pct"/>
                  <w:tcBorders>
                    <w:top w:val="single" w:color="auto" w:sz="4" w:space="0"/>
                    <w:left w:val="single" w:color="auto" w:sz="4" w:space="0"/>
                    <w:bottom w:val="single" w:color="auto" w:sz="4" w:space="0"/>
                    <w:right w:val="single" w:color="auto" w:sz="4" w:space="0"/>
                  </w:tcBorders>
                  <w:vAlign w:val="center"/>
                </w:tcPr>
                <w:p w14:paraId="5069D2E8">
                  <w:pPr>
                    <w:widowControl/>
                    <w:jc w:val="center"/>
                    <w:rPr>
                      <w:rFonts w:eastAsia="等线"/>
                      <w:sz w:val="18"/>
                      <w:szCs w:val="18"/>
                    </w:rPr>
                  </w:pPr>
                  <w:r>
                    <w:rPr>
                      <w:rFonts w:eastAsia="等线"/>
                      <w:sz w:val="18"/>
                      <w:szCs w:val="18"/>
                    </w:rPr>
                    <w:t>0.26</w:t>
                  </w:r>
                </w:p>
              </w:tc>
              <w:tc>
                <w:tcPr>
                  <w:tcW w:w="347" w:type="pct"/>
                  <w:tcBorders>
                    <w:top w:val="single" w:color="auto" w:sz="4" w:space="0"/>
                    <w:left w:val="single" w:color="auto" w:sz="4" w:space="0"/>
                    <w:bottom w:val="single" w:color="auto" w:sz="4" w:space="0"/>
                    <w:right w:val="single" w:color="auto" w:sz="4" w:space="0"/>
                  </w:tcBorders>
                  <w:vAlign w:val="center"/>
                </w:tcPr>
                <w:p w14:paraId="06CCF2D7">
                  <w:pPr>
                    <w:widowControl/>
                    <w:jc w:val="center"/>
                    <w:rPr>
                      <w:rFonts w:eastAsia="等线"/>
                      <w:sz w:val="18"/>
                      <w:szCs w:val="18"/>
                    </w:rPr>
                  </w:pPr>
                  <w:r>
                    <w:rPr>
                      <w:rFonts w:eastAsia="等线"/>
                      <w:sz w:val="18"/>
                      <w:szCs w:val="18"/>
                    </w:rPr>
                    <w:t>0.12</w:t>
                  </w:r>
                </w:p>
              </w:tc>
              <w:tc>
                <w:tcPr>
                  <w:tcW w:w="356" w:type="pct"/>
                  <w:tcBorders>
                    <w:top w:val="single" w:color="auto" w:sz="4" w:space="0"/>
                    <w:left w:val="single" w:color="auto" w:sz="4" w:space="0"/>
                    <w:bottom w:val="single" w:color="auto" w:sz="4" w:space="0"/>
                    <w:right w:val="single" w:color="auto" w:sz="4" w:space="0"/>
                  </w:tcBorders>
                  <w:vAlign w:val="center"/>
                </w:tcPr>
                <w:p w14:paraId="7F8CCC70">
                  <w:pPr>
                    <w:widowControl/>
                    <w:jc w:val="center"/>
                    <w:rPr>
                      <w:rFonts w:eastAsia="等线"/>
                      <w:sz w:val="18"/>
                      <w:szCs w:val="18"/>
                    </w:rPr>
                  </w:pPr>
                  <w:r>
                    <w:rPr>
                      <w:rFonts w:eastAsia="等线"/>
                      <w:sz w:val="18"/>
                      <w:szCs w:val="18"/>
                    </w:rPr>
                    <w:t>0.55</w:t>
                  </w:r>
                </w:p>
              </w:tc>
              <w:tc>
                <w:tcPr>
                  <w:tcW w:w="433" w:type="pct"/>
                  <w:tcBorders>
                    <w:top w:val="single" w:color="auto" w:sz="4" w:space="0"/>
                    <w:left w:val="single" w:color="auto" w:sz="4" w:space="0"/>
                    <w:bottom w:val="single" w:color="auto" w:sz="4" w:space="0"/>
                    <w:right w:val="single" w:color="auto" w:sz="4" w:space="0"/>
                  </w:tcBorders>
                  <w:vAlign w:val="center"/>
                </w:tcPr>
                <w:p w14:paraId="578BD694">
                  <w:pPr>
                    <w:widowControl/>
                    <w:jc w:val="center"/>
                    <w:rPr>
                      <w:rFonts w:eastAsia="等线"/>
                      <w:sz w:val="18"/>
                      <w:szCs w:val="18"/>
                    </w:rPr>
                  </w:pPr>
                  <w:r>
                    <w:rPr>
                      <w:rFonts w:eastAsia="等线"/>
                      <w:sz w:val="18"/>
                      <w:szCs w:val="18"/>
                    </w:rPr>
                    <w:t>0.13</w:t>
                  </w:r>
                </w:p>
              </w:tc>
              <w:tc>
                <w:tcPr>
                  <w:tcW w:w="374" w:type="pct"/>
                  <w:tcBorders>
                    <w:top w:val="single" w:color="auto" w:sz="4" w:space="0"/>
                    <w:left w:val="single" w:color="auto" w:sz="4" w:space="0"/>
                    <w:bottom w:val="single" w:color="auto" w:sz="4" w:space="0"/>
                    <w:right w:val="single" w:color="auto" w:sz="4" w:space="0"/>
                  </w:tcBorders>
                  <w:vAlign w:val="center"/>
                </w:tcPr>
                <w:p w14:paraId="2AB3C934">
                  <w:pPr>
                    <w:widowControl/>
                    <w:jc w:val="center"/>
                    <w:rPr>
                      <w:rFonts w:eastAsia="等线"/>
                      <w:sz w:val="18"/>
                      <w:szCs w:val="18"/>
                    </w:rPr>
                  </w:pPr>
                  <w:r>
                    <w:rPr>
                      <w:rFonts w:eastAsiaTheme="minorEastAsia"/>
                      <w:sz w:val="18"/>
                      <w:szCs w:val="18"/>
                    </w:rPr>
                    <w:t>/</w:t>
                  </w:r>
                </w:p>
              </w:tc>
              <w:tc>
                <w:tcPr>
                  <w:tcW w:w="395" w:type="pct"/>
                  <w:tcBorders>
                    <w:top w:val="single" w:color="auto" w:sz="4" w:space="0"/>
                    <w:left w:val="single" w:color="auto" w:sz="4" w:space="0"/>
                    <w:bottom w:val="single" w:color="auto" w:sz="4" w:space="0"/>
                  </w:tcBorders>
                  <w:vAlign w:val="center"/>
                </w:tcPr>
                <w:p w14:paraId="4E3A96C6">
                  <w:pPr>
                    <w:widowControl/>
                    <w:jc w:val="center"/>
                    <w:rPr>
                      <w:rFonts w:eastAsia="等线"/>
                      <w:sz w:val="18"/>
                      <w:szCs w:val="18"/>
                    </w:rPr>
                  </w:pPr>
                  <w:r>
                    <w:rPr>
                      <w:rFonts w:eastAsia="等线"/>
                      <w:sz w:val="18"/>
                      <w:szCs w:val="18"/>
                    </w:rPr>
                    <w:t>2.5</w:t>
                  </w:r>
                </w:p>
              </w:tc>
              <w:tc>
                <w:tcPr>
                  <w:tcW w:w="357" w:type="pct"/>
                  <w:tcBorders>
                    <w:top w:val="single" w:color="auto" w:sz="4" w:space="0"/>
                    <w:left w:val="single" w:color="auto" w:sz="4" w:space="0"/>
                    <w:bottom w:val="single" w:color="auto" w:sz="4" w:space="0"/>
                  </w:tcBorders>
                  <w:vAlign w:val="center"/>
                </w:tcPr>
                <w:p w14:paraId="38B6FD53">
                  <w:pPr>
                    <w:widowControl/>
                    <w:jc w:val="center"/>
                    <w:rPr>
                      <w:rFonts w:eastAsia="等线"/>
                      <w:sz w:val="18"/>
                      <w:szCs w:val="18"/>
                    </w:rPr>
                  </w:pPr>
                  <w:r>
                    <w:rPr>
                      <w:rFonts w:eastAsiaTheme="minorEastAsia"/>
                      <w:sz w:val="18"/>
                      <w:szCs w:val="18"/>
                    </w:rPr>
                    <w:t>/</w:t>
                  </w:r>
                </w:p>
              </w:tc>
            </w:tr>
            <w:tr w14:paraId="5F4421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6" w:type="pct"/>
                  <w:vMerge w:val="continue"/>
                  <w:tcBorders>
                    <w:bottom w:val="single" w:color="auto" w:sz="12" w:space="0"/>
                    <w:right w:val="single" w:color="auto" w:sz="4" w:space="0"/>
                  </w:tcBorders>
                  <w:vAlign w:val="center"/>
                </w:tcPr>
                <w:p w14:paraId="18A260F5">
                  <w:pPr>
                    <w:widowControl/>
                    <w:jc w:val="center"/>
                    <w:rPr>
                      <w:kern w:val="0"/>
                      <w:sz w:val="18"/>
                      <w:szCs w:val="18"/>
                    </w:rPr>
                  </w:pPr>
                </w:p>
              </w:tc>
              <w:tc>
                <w:tcPr>
                  <w:tcW w:w="837" w:type="pct"/>
                  <w:gridSpan w:val="2"/>
                  <w:tcBorders>
                    <w:left w:val="single" w:color="auto" w:sz="4" w:space="0"/>
                    <w:bottom w:val="single" w:color="auto" w:sz="12" w:space="0"/>
                    <w:right w:val="single" w:color="auto" w:sz="4" w:space="0"/>
                  </w:tcBorders>
                  <w:vAlign w:val="center"/>
                </w:tcPr>
                <w:p w14:paraId="286E4503">
                  <w:pPr>
                    <w:widowControl/>
                    <w:jc w:val="center"/>
                    <w:rPr>
                      <w:kern w:val="0"/>
                      <w:sz w:val="18"/>
                      <w:szCs w:val="18"/>
                    </w:rPr>
                  </w:pPr>
                  <w:r>
                    <w:rPr>
                      <w:kern w:val="0"/>
                      <w:sz w:val="18"/>
                      <w:szCs w:val="18"/>
                    </w:rPr>
                    <w:t>执行标准</w:t>
                  </w:r>
                </w:p>
              </w:tc>
              <w:tc>
                <w:tcPr>
                  <w:tcW w:w="321" w:type="pct"/>
                  <w:tcBorders>
                    <w:top w:val="single" w:color="auto" w:sz="4" w:space="0"/>
                    <w:left w:val="single" w:color="auto" w:sz="4" w:space="0"/>
                    <w:bottom w:val="single" w:color="auto" w:sz="12" w:space="0"/>
                    <w:right w:val="single" w:color="auto" w:sz="4" w:space="0"/>
                  </w:tcBorders>
                  <w:vAlign w:val="center"/>
                </w:tcPr>
                <w:p w14:paraId="295A4BCC">
                  <w:pPr>
                    <w:widowControl/>
                    <w:jc w:val="center"/>
                    <w:rPr>
                      <w:rFonts w:eastAsia="等线"/>
                      <w:sz w:val="18"/>
                      <w:szCs w:val="18"/>
                    </w:rPr>
                  </w:pPr>
                  <w:r>
                    <w:rPr>
                      <w:rFonts w:eastAsia="等线"/>
                      <w:sz w:val="18"/>
                      <w:szCs w:val="18"/>
                    </w:rPr>
                    <w:t>6-9</w:t>
                  </w:r>
                </w:p>
              </w:tc>
              <w:tc>
                <w:tcPr>
                  <w:tcW w:w="425" w:type="pct"/>
                  <w:tcBorders>
                    <w:top w:val="single" w:color="auto" w:sz="4" w:space="0"/>
                    <w:left w:val="single" w:color="auto" w:sz="4" w:space="0"/>
                    <w:bottom w:val="single" w:color="auto" w:sz="12" w:space="0"/>
                    <w:right w:val="single" w:color="auto" w:sz="4" w:space="0"/>
                  </w:tcBorders>
                  <w:vAlign w:val="center"/>
                </w:tcPr>
                <w:p w14:paraId="081AA46F">
                  <w:pPr>
                    <w:widowControl/>
                    <w:jc w:val="center"/>
                    <w:rPr>
                      <w:rFonts w:eastAsia="等线"/>
                      <w:sz w:val="18"/>
                      <w:szCs w:val="18"/>
                    </w:rPr>
                  </w:pPr>
                  <w:r>
                    <w:rPr>
                      <w:rFonts w:eastAsia="等线"/>
                      <w:sz w:val="18"/>
                      <w:szCs w:val="18"/>
                    </w:rPr>
                    <w:t>400</w:t>
                  </w:r>
                </w:p>
              </w:tc>
              <w:tc>
                <w:tcPr>
                  <w:tcW w:w="430" w:type="pct"/>
                  <w:tcBorders>
                    <w:top w:val="single" w:color="auto" w:sz="4" w:space="0"/>
                    <w:left w:val="single" w:color="auto" w:sz="4" w:space="0"/>
                    <w:bottom w:val="single" w:color="auto" w:sz="12" w:space="0"/>
                    <w:right w:val="single" w:color="auto" w:sz="4" w:space="0"/>
                  </w:tcBorders>
                  <w:vAlign w:val="center"/>
                </w:tcPr>
                <w:p w14:paraId="0122E934">
                  <w:pPr>
                    <w:widowControl/>
                    <w:jc w:val="center"/>
                    <w:rPr>
                      <w:rFonts w:eastAsia="等线"/>
                      <w:sz w:val="18"/>
                      <w:szCs w:val="18"/>
                    </w:rPr>
                  </w:pPr>
                  <w:r>
                    <w:rPr>
                      <w:rFonts w:eastAsia="等线"/>
                      <w:sz w:val="18"/>
                      <w:szCs w:val="18"/>
                    </w:rPr>
                    <w:t>280</w:t>
                  </w:r>
                </w:p>
              </w:tc>
              <w:tc>
                <w:tcPr>
                  <w:tcW w:w="369" w:type="pct"/>
                  <w:tcBorders>
                    <w:top w:val="single" w:color="auto" w:sz="4" w:space="0"/>
                    <w:left w:val="single" w:color="auto" w:sz="4" w:space="0"/>
                    <w:bottom w:val="single" w:color="auto" w:sz="12" w:space="0"/>
                    <w:right w:val="single" w:color="auto" w:sz="4" w:space="0"/>
                  </w:tcBorders>
                  <w:vAlign w:val="center"/>
                </w:tcPr>
                <w:p w14:paraId="3359302E">
                  <w:pPr>
                    <w:widowControl/>
                    <w:jc w:val="center"/>
                    <w:rPr>
                      <w:rFonts w:eastAsia="等线"/>
                      <w:sz w:val="18"/>
                      <w:szCs w:val="18"/>
                    </w:rPr>
                  </w:pPr>
                  <w:r>
                    <w:rPr>
                      <w:rFonts w:eastAsia="等线"/>
                      <w:sz w:val="18"/>
                      <w:szCs w:val="18"/>
                    </w:rPr>
                    <w:t>25</w:t>
                  </w:r>
                </w:p>
              </w:tc>
              <w:tc>
                <w:tcPr>
                  <w:tcW w:w="347" w:type="pct"/>
                  <w:tcBorders>
                    <w:top w:val="single" w:color="auto" w:sz="4" w:space="0"/>
                    <w:left w:val="single" w:color="auto" w:sz="4" w:space="0"/>
                    <w:bottom w:val="single" w:color="auto" w:sz="12" w:space="0"/>
                    <w:right w:val="single" w:color="auto" w:sz="4" w:space="0"/>
                  </w:tcBorders>
                  <w:vAlign w:val="center"/>
                </w:tcPr>
                <w:p w14:paraId="7F9A28B4">
                  <w:pPr>
                    <w:widowControl/>
                    <w:jc w:val="center"/>
                    <w:rPr>
                      <w:rFonts w:eastAsia="等线"/>
                      <w:sz w:val="18"/>
                      <w:szCs w:val="18"/>
                    </w:rPr>
                  </w:pPr>
                  <w:r>
                    <w:rPr>
                      <w:rFonts w:eastAsia="等线"/>
                      <w:sz w:val="18"/>
                      <w:szCs w:val="18"/>
                    </w:rPr>
                    <w:t>4.5</w:t>
                  </w:r>
                </w:p>
              </w:tc>
              <w:tc>
                <w:tcPr>
                  <w:tcW w:w="356" w:type="pct"/>
                  <w:tcBorders>
                    <w:top w:val="single" w:color="auto" w:sz="4" w:space="0"/>
                    <w:left w:val="single" w:color="auto" w:sz="4" w:space="0"/>
                    <w:bottom w:val="single" w:color="auto" w:sz="12" w:space="0"/>
                    <w:right w:val="single" w:color="auto" w:sz="4" w:space="0"/>
                  </w:tcBorders>
                  <w:vAlign w:val="center"/>
                </w:tcPr>
                <w:p w14:paraId="58187E7B">
                  <w:pPr>
                    <w:widowControl/>
                    <w:jc w:val="center"/>
                    <w:rPr>
                      <w:rFonts w:eastAsia="等线"/>
                      <w:sz w:val="18"/>
                      <w:szCs w:val="18"/>
                    </w:rPr>
                  </w:pPr>
                  <w:r>
                    <w:rPr>
                      <w:rFonts w:eastAsia="等线"/>
                      <w:sz w:val="18"/>
                      <w:szCs w:val="18"/>
                    </w:rPr>
                    <w:t>/</w:t>
                  </w:r>
                </w:p>
              </w:tc>
              <w:tc>
                <w:tcPr>
                  <w:tcW w:w="433" w:type="pct"/>
                  <w:tcBorders>
                    <w:top w:val="single" w:color="auto" w:sz="4" w:space="0"/>
                    <w:left w:val="single" w:color="auto" w:sz="4" w:space="0"/>
                    <w:bottom w:val="single" w:color="auto" w:sz="12" w:space="0"/>
                    <w:right w:val="single" w:color="auto" w:sz="4" w:space="0"/>
                  </w:tcBorders>
                  <w:vAlign w:val="center"/>
                </w:tcPr>
                <w:p w14:paraId="3EB92B4C">
                  <w:pPr>
                    <w:widowControl/>
                    <w:jc w:val="center"/>
                    <w:rPr>
                      <w:rFonts w:eastAsia="等线"/>
                      <w:sz w:val="18"/>
                      <w:szCs w:val="18"/>
                    </w:rPr>
                  </w:pPr>
                  <w:r>
                    <w:rPr>
                      <w:rFonts w:eastAsia="等线"/>
                      <w:sz w:val="18"/>
                      <w:szCs w:val="18"/>
                    </w:rPr>
                    <w:t>20</w:t>
                  </w:r>
                </w:p>
              </w:tc>
              <w:tc>
                <w:tcPr>
                  <w:tcW w:w="374" w:type="pct"/>
                  <w:tcBorders>
                    <w:top w:val="single" w:color="auto" w:sz="4" w:space="0"/>
                    <w:left w:val="single" w:color="auto" w:sz="4" w:space="0"/>
                    <w:bottom w:val="single" w:color="auto" w:sz="12" w:space="0"/>
                    <w:right w:val="single" w:color="auto" w:sz="4" w:space="0"/>
                  </w:tcBorders>
                  <w:vAlign w:val="center"/>
                </w:tcPr>
                <w:p w14:paraId="60BECAB0">
                  <w:pPr>
                    <w:widowControl/>
                    <w:jc w:val="center"/>
                    <w:rPr>
                      <w:rFonts w:eastAsiaTheme="minorEastAsia"/>
                      <w:sz w:val="18"/>
                      <w:szCs w:val="18"/>
                    </w:rPr>
                  </w:pPr>
                  <w:r>
                    <w:rPr>
                      <w:rFonts w:eastAsiaTheme="minorEastAsia"/>
                      <w:sz w:val="18"/>
                      <w:szCs w:val="18"/>
                    </w:rPr>
                    <w:t>/</w:t>
                  </w:r>
                </w:p>
              </w:tc>
              <w:tc>
                <w:tcPr>
                  <w:tcW w:w="395" w:type="pct"/>
                  <w:tcBorders>
                    <w:top w:val="single" w:color="auto" w:sz="4" w:space="0"/>
                    <w:left w:val="single" w:color="auto" w:sz="4" w:space="0"/>
                    <w:bottom w:val="single" w:color="auto" w:sz="12" w:space="0"/>
                  </w:tcBorders>
                  <w:vAlign w:val="center"/>
                </w:tcPr>
                <w:p w14:paraId="1272B81A">
                  <w:pPr>
                    <w:widowControl/>
                    <w:jc w:val="center"/>
                    <w:rPr>
                      <w:rFonts w:eastAsia="等线"/>
                      <w:sz w:val="18"/>
                      <w:szCs w:val="18"/>
                    </w:rPr>
                  </w:pPr>
                  <w:r>
                    <w:rPr>
                      <w:rFonts w:eastAsia="等线"/>
                      <w:sz w:val="18"/>
                      <w:szCs w:val="18"/>
                    </w:rPr>
                    <w:t>/</w:t>
                  </w:r>
                </w:p>
              </w:tc>
              <w:tc>
                <w:tcPr>
                  <w:tcW w:w="357" w:type="pct"/>
                  <w:tcBorders>
                    <w:top w:val="single" w:color="auto" w:sz="4" w:space="0"/>
                    <w:left w:val="single" w:color="auto" w:sz="4" w:space="0"/>
                    <w:bottom w:val="single" w:color="auto" w:sz="12" w:space="0"/>
                  </w:tcBorders>
                  <w:vAlign w:val="center"/>
                </w:tcPr>
                <w:p w14:paraId="560D8214">
                  <w:pPr>
                    <w:widowControl/>
                    <w:jc w:val="center"/>
                    <w:rPr>
                      <w:rFonts w:eastAsia="等线"/>
                      <w:sz w:val="18"/>
                      <w:szCs w:val="18"/>
                    </w:rPr>
                  </w:pPr>
                  <w:r>
                    <w:rPr>
                      <w:rFonts w:eastAsia="等线"/>
                      <w:sz w:val="18"/>
                      <w:szCs w:val="18"/>
                    </w:rPr>
                    <w:t>0.1</w:t>
                  </w:r>
                </w:p>
              </w:tc>
            </w:tr>
          </w:tbl>
          <w:p w14:paraId="1A708EA5">
            <w:pPr>
              <w:pStyle w:val="22"/>
              <w:spacing w:line="500" w:lineRule="exact"/>
              <w:ind w:firstLine="482" w:firstLineChars="200"/>
              <w:jc w:val="both"/>
              <w:rPr>
                <w:b/>
                <w:szCs w:val="24"/>
              </w:rPr>
            </w:pPr>
            <w:r>
              <w:rPr>
                <w:b/>
                <w:szCs w:val="24"/>
              </w:rPr>
              <w:t>（2）废气排放及达标情况</w:t>
            </w:r>
          </w:p>
          <w:p w14:paraId="6B1D1ADE">
            <w:pPr>
              <w:widowControl/>
              <w:spacing w:line="500" w:lineRule="exact"/>
              <w:ind w:firstLine="480" w:firstLineChars="200"/>
              <w:rPr>
                <w:sz w:val="24"/>
              </w:rPr>
            </w:pPr>
            <w:r>
              <w:rPr>
                <w:sz w:val="24"/>
              </w:rPr>
              <w:t>根据项目审批验收情况，公司内现有组织废气主要有PTA卸料废气、POY纺丝油剂废气、FDY纺丝油剂废气、水煤浆导热油锅炉废气、化验中心实验废气。无组织废气主要为粉尘废气、纺丝油剂废气、原料罐区、干粉库粉尘废气和氨水储罐的无组织排放</w:t>
            </w:r>
            <w:r>
              <w:rPr>
                <w:rFonts w:hint="eastAsia"/>
                <w:sz w:val="24"/>
              </w:rPr>
              <w:t>。</w:t>
            </w:r>
          </w:p>
          <w:p w14:paraId="569CA910">
            <w:pPr>
              <w:widowControl/>
              <w:spacing w:line="500" w:lineRule="exact"/>
              <w:ind w:firstLine="480" w:firstLineChars="200"/>
              <w:rPr>
                <w:sz w:val="24"/>
              </w:rPr>
            </w:pPr>
            <w:r>
              <w:rPr>
                <w:sz w:val="24"/>
              </w:rPr>
              <w:t>根据公司对现有项目排气筒及无组织废气监测，监测结果见表2-1</w:t>
            </w:r>
            <w:r>
              <w:rPr>
                <w:rFonts w:hint="eastAsia"/>
                <w:sz w:val="24"/>
              </w:rPr>
              <w:t>8</w:t>
            </w:r>
            <w:r>
              <w:rPr>
                <w:sz w:val="24"/>
              </w:rPr>
              <w:t>~表2-1</w:t>
            </w:r>
            <w:r>
              <w:rPr>
                <w:rFonts w:hint="eastAsia"/>
                <w:sz w:val="24"/>
              </w:rPr>
              <w:t>9</w:t>
            </w:r>
            <w:r>
              <w:rPr>
                <w:sz w:val="24"/>
              </w:rPr>
              <w:t>。现有项目废气达标情况如下：</w:t>
            </w:r>
          </w:p>
          <w:p w14:paraId="530EB2BD">
            <w:pPr>
              <w:pStyle w:val="42"/>
              <w:spacing w:before="0" w:beforeAutospacing="0" w:after="0" w:afterAutospacing="0" w:line="500" w:lineRule="exact"/>
              <w:ind w:firstLine="480"/>
              <w:jc w:val="both"/>
              <w:rPr>
                <w:rFonts w:ascii="Times New Roman" w:hAnsi="Times New Roman"/>
              </w:rPr>
            </w:pPr>
            <w:r>
              <w:rPr>
                <w:rFonts w:ascii="Times New Roman" w:hAnsi="Times New Roman"/>
                <w:bCs/>
                <w:lang w:bidi="ar"/>
              </w:rPr>
              <w:t>热煤炉废气排气筒出口乙二醇排放浓度满足《石油化学工业污染物排放标准》（GB 31571-2015）表6标准并按气量比例折算后的限值要求；乙醛排放浓度满足《合成树脂工业污染物排放标准》</w:t>
            </w:r>
            <w:r>
              <w:rPr>
                <w:rFonts w:hint="eastAsia" w:ascii="Times New Roman" w:hAnsi="Times New Roman"/>
                <w:bCs/>
                <w:lang w:bidi="ar"/>
              </w:rPr>
              <w:t>及其修改单</w:t>
            </w:r>
            <w:r>
              <w:rPr>
                <w:rFonts w:ascii="Times New Roman" w:hAnsi="Times New Roman"/>
                <w:bCs/>
                <w:lang w:bidi="ar"/>
              </w:rPr>
              <w:t>（GB31572-2015）表5标准并按气量比例折算后的限值要求；非甲烷总烃排放浓度满足《化学工业挥发性有机物排放标准》（DB32/3151-2016）表1标准并按气量比例折算后的限值要求；SO</w:t>
            </w:r>
            <w:r>
              <w:rPr>
                <w:rFonts w:ascii="Times New Roman" w:hAnsi="Times New Roman"/>
                <w:bCs/>
                <w:vertAlign w:val="subscript"/>
                <w:lang w:bidi="ar"/>
              </w:rPr>
              <w:t>2</w:t>
            </w:r>
            <w:r>
              <w:rPr>
                <w:rFonts w:ascii="Times New Roman" w:hAnsi="Times New Roman"/>
                <w:bCs/>
                <w:lang w:bidi="ar"/>
              </w:rPr>
              <w:t>、NO</w:t>
            </w:r>
            <w:r>
              <w:rPr>
                <w:rFonts w:ascii="Times New Roman" w:hAnsi="Times New Roman"/>
                <w:bCs/>
                <w:vertAlign w:val="subscript"/>
                <w:lang w:bidi="ar"/>
              </w:rPr>
              <w:t>X</w:t>
            </w:r>
            <w:r>
              <w:rPr>
                <w:rFonts w:ascii="Times New Roman" w:hAnsi="Times New Roman"/>
                <w:bCs/>
                <w:lang w:bidi="ar"/>
              </w:rPr>
              <w:t>、颗粒物排放浓度满足宿迁市“绿色标杆”示范企业要求执行排放限值；汞、林格曼黑度、氨的排放浓度均满足《锅炉大气污染物排放标准》（DB32/4385-2022）表1标准限值要求。PTA 投料车间排气筒出口颗粒物排放浓度满足《合成树脂工业污染物排放标准》</w:t>
            </w:r>
            <w:r>
              <w:rPr>
                <w:rFonts w:hint="eastAsia" w:ascii="Times New Roman" w:hAnsi="Times New Roman"/>
                <w:bCs/>
                <w:lang w:bidi="ar"/>
              </w:rPr>
              <w:t>及其修改单</w:t>
            </w:r>
            <w:r>
              <w:rPr>
                <w:rFonts w:ascii="Times New Roman" w:hAnsi="Times New Roman"/>
                <w:bCs/>
                <w:lang w:bidi="ar"/>
              </w:rPr>
              <w:t>（GB31572-2015）表5标准。</w:t>
            </w:r>
            <w:bookmarkStart w:id="35" w:name="_Hlk160338462"/>
            <w:r>
              <w:rPr>
                <w:rFonts w:ascii="Times New Roman" w:hAnsi="Times New Roman"/>
                <w:bCs/>
                <w:lang w:bidi="ar"/>
              </w:rPr>
              <w:t>纺丝车间油剂POY废气排气筒出口监测点位非甲烷总烃排放浓度满足《合成树脂工业污染物排放标准》</w:t>
            </w:r>
            <w:r>
              <w:rPr>
                <w:rFonts w:hint="eastAsia" w:ascii="Times New Roman" w:hAnsi="Times New Roman"/>
                <w:bCs/>
                <w:lang w:bidi="ar"/>
              </w:rPr>
              <w:t>及其修改单</w:t>
            </w:r>
            <w:r>
              <w:rPr>
                <w:rFonts w:ascii="Times New Roman" w:hAnsi="Times New Roman"/>
                <w:bCs/>
                <w:lang w:bidi="ar"/>
              </w:rPr>
              <w:t>（GB31572-2015）表5标准要求。</w:t>
            </w:r>
            <w:bookmarkEnd w:id="35"/>
            <w:bookmarkStart w:id="36" w:name="_Hlk160338515"/>
            <w:r>
              <w:rPr>
                <w:rFonts w:ascii="Times New Roman" w:hAnsi="Times New Roman"/>
                <w:bCs/>
                <w:lang w:bidi="ar"/>
              </w:rPr>
              <w:t>纺丝车间油剂FDY废气排气筒出口监测点位非甲烷总烃排放浓度满足《合成树脂工业污染物排放标准》</w:t>
            </w:r>
            <w:r>
              <w:rPr>
                <w:rFonts w:hint="eastAsia" w:ascii="Times New Roman" w:hAnsi="Times New Roman"/>
                <w:bCs/>
                <w:lang w:bidi="ar"/>
              </w:rPr>
              <w:t>及其修改单</w:t>
            </w:r>
            <w:r>
              <w:rPr>
                <w:rFonts w:ascii="Times New Roman" w:hAnsi="Times New Roman"/>
                <w:bCs/>
                <w:lang w:bidi="ar"/>
              </w:rPr>
              <w:t>（GB31572-2015）表5标准要求。</w:t>
            </w:r>
            <w:bookmarkEnd w:id="36"/>
            <w:r>
              <w:rPr>
                <w:rFonts w:ascii="Times New Roman" w:hAnsi="Times New Roman"/>
              </w:rPr>
              <w:t>化验中心排气筒出口监测点位氯化氢、硫酸雾、氮氧化物、非甲烷总烃排放浓度满足《大气污染物综合排放标准》（DB32/4041-2021）表1标准要求。</w:t>
            </w:r>
          </w:p>
          <w:p w14:paraId="75EBD406">
            <w:pPr>
              <w:pStyle w:val="22"/>
              <w:spacing w:line="500" w:lineRule="exact"/>
              <w:ind w:firstLine="480" w:firstLineChars="200"/>
              <w:jc w:val="both"/>
              <w:rPr>
                <w:bCs/>
                <w:szCs w:val="24"/>
              </w:rPr>
            </w:pPr>
            <w:r>
              <w:rPr>
                <w:bCs/>
                <w:szCs w:val="24"/>
              </w:rPr>
              <w:t>组织排放废气中颗粒物、非甲烷总烃、氯化氢厂界排放浓度满足《大气污染物综合排放标准》（DB32/4041-2021）表3标准要求。厂区内纺丝车间1外、罐区无组织排放废气中非甲烷总烃厂界排放浓度满足《大气污染物综合排放标准》（DB32/ 4041-2021）表2标准要求。</w:t>
            </w:r>
          </w:p>
          <w:p w14:paraId="7331E270">
            <w:pPr>
              <w:pStyle w:val="42"/>
              <w:spacing w:before="40" w:beforeAutospacing="0" w:after="0" w:afterAutospacing="0" w:line="480" w:lineRule="exact"/>
              <w:jc w:val="center"/>
              <w:rPr>
                <w:rFonts w:ascii="Times New Roman" w:hAnsi="Times New Roman"/>
                <w:b/>
                <w:bCs/>
              </w:rPr>
            </w:pPr>
            <w:r>
              <w:rPr>
                <w:rFonts w:ascii="Times New Roman" w:hAnsi="Times New Roman"/>
                <w:b/>
                <w:bCs/>
              </w:rPr>
              <w:t>表2-1</w:t>
            </w:r>
            <w:r>
              <w:rPr>
                <w:rFonts w:hint="eastAsia" w:ascii="Times New Roman" w:hAnsi="Times New Roman"/>
                <w:b/>
                <w:bCs/>
              </w:rPr>
              <w:t>8</w:t>
            </w:r>
            <w:r>
              <w:rPr>
                <w:rFonts w:ascii="Times New Roman" w:hAnsi="Times New Roman"/>
                <w:b/>
                <w:bCs/>
              </w:rPr>
              <w:t xml:space="preserve">  2024年现有项目有组织废气监测结果统计表</w:t>
            </w:r>
          </w:p>
          <w:tbl>
            <w:tblPr>
              <w:tblStyle w:val="9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856"/>
              <w:gridCol w:w="1294"/>
              <w:gridCol w:w="722"/>
              <w:gridCol w:w="797"/>
              <w:gridCol w:w="1039"/>
              <w:gridCol w:w="798"/>
              <w:gridCol w:w="798"/>
              <w:gridCol w:w="801"/>
            </w:tblGrid>
            <w:tr w14:paraId="0B4332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Merge w:val="restart"/>
                  <w:vAlign w:val="center"/>
                </w:tcPr>
                <w:p w14:paraId="5BC8D10E">
                  <w:pPr>
                    <w:widowControl/>
                    <w:jc w:val="center"/>
                    <w:rPr>
                      <w:b/>
                      <w:bCs/>
                      <w:kern w:val="0"/>
                      <w:szCs w:val="21"/>
                    </w:rPr>
                  </w:pPr>
                  <w:r>
                    <w:rPr>
                      <w:b/>
                      <w:bCs/>
                      <w:kern w:val="0"/>
                      <w:szCs w:val="21"/>
                    </w:rPr>
                    <w:t>排放口编号</w:t>
                  </w:r>
                </w:p>
              </w:tc>
              <w:tc>
                <w:tcPr>
                  <w:tcW w:w="552" w:type="pct"/>
                  <w:vMerge w:val="restart"/>
                  <w:vAlign w:val="center"/>
                </w:tcPr>
                <w:p w14:paraId="4208F55B">
                  <w:pPr>
                    <w:widowControl/>
                    <w:jc w:val="center"/>
                    <w:rPr>
                      <w:b/>
                      <w:bCs/>
                      <w:kern w:val="0"/>
                      <w:szCs w:val="21"/>
                    </w:rPr>
                  </w:pPr>
                  <w:r>
                    <w:rPr>
                      <w:b/>
                      <w:bCs/>
                      <w:kern w:val="0"/>
                      <w:szCs w:val="21"/>
                    </w:rPr>
                    <w:t>车间</w:t>
                  </w:r>
                </w:p>
              </w:tc>
              <w:tc>
                <w:tcPr>
                  <w:tcW w:w="828" w:type="pct"/>
                  <w:vMerge w:val="restart"/>
                  <w:vAlign w:val="center"/>
                </w:tcPr>
                <w:p w14:paraId="6CB973C8">
                  <w:pPr>
                    <w:widowControl/>
                    <w:jc w:val="center"/>
                    <w:rPr>
                      <w:b/>
                      <w:bCs/>
                      <w:kern w:val="0"/>
                      <w:szCs w:val="21"/>
                    </w:rPr>
                  </w:pPr>
                  <w:r>
                    <w:rPr>
                      <w:b/>
                      <w:bCs/>
                      <w:kern w:val="0"/>
                      <w:szCs w:val="21"/>
                    </w:rPr>
                    <w:t>污染物种类</w:t>
                  </w:r>
                </w:p>
              </w:tc>
              <w:tc>
                <w:tcPr>
                  <w:tcW w:w="468" w:type="pct"/>
                  <w:vMerge w:val="restart"/>
                  <w:vAlign w:val="center"/>
                </w:tcPr>
                <w:p w14:paraId="219BA3B0">
                  <w:pPr>
                    <w:widowControl/>
                    <w:jc w:val="center"/>
                    <w:rPr>
                      <w:b/>
                      <w:bCs/>
                      <w:kern w:val="0"/>
                      <w:szCs w:val="21"/>
                    </w:rPr>
                  </w:pPr>
                  <w:r>
                    <w:rPr>
                      <w:b/>
                      <w:bCs/>
                      <w:kern w:val="0"/>
                      <w:szCs w:val="21"/>
                    </w:rPr>
                    <w:t>监测设施</w:t>
                  </w:r>
                </w:p>
              </w:tc>
              <w:tc>
                <w:tcPr>
                  <w:tcW w:w="515" w:type="pct"/>
                  <w:vMerge w:val="restart"/>
                  <w:vAlign w:val="center"/>
                </w:tcPr>
                <w:p w14:paraId="6AE35D4B">
                  <w:pPr>
                    <w:widowControl/>
                    <w:jc w:val="center"/>
                    <w:rPr>
                      <w:b/>
                      <w:bCs/>
                      <w:kern w:val="0"/>
                      <w:szCs w:val="21"/>
                    </w:rPr>
                  </w:pPr>
                  <w:r>
                    <w:rPr>
                      <w:b/>
                      <w:bCs/>
                      <w:kern w:val="0"/>
                      <w:szCs w:val="21"/>
                    </w:rPr>
                    <w:t>许可排放浓度限值</w:t>
                  </w:r>
                  <w:r>
                    <w:rPr>
                      <w:b/>
                      <w:bCs/>
                      <w:kern w:val="0"/>
                      <w:szCs w:val="21"/>
                    </w:rPr>
                    <w:br w:type="textWrapping"/>
                  </w:r>
                  <w:r>
                    <w:rPr>
                      <w:b/>
                      <w:bCs/>
                      <w:kern w:val="0"/>
                      <w:szCs w:val="21"/>
                    </w:rPr>
                    <w:t>mg/m³</w:t>
                  </w:r>
                </w:p>
              </w:tc>
              <w:tc>
                <w:tcPr>
                  <w:tcW w:w="667" w:type="pct"/>
                  <w:vMerge w:val="restart"/>
                  <w:vAlign w:val="center"/>
                </w:tcPr>
                <w:p w14:paraId="2F7EF597">
                  <w:pPr>
                    <w:widowControl/>
                    <w:jc w:val="center"/>
                    <w:rPr>
                      <w:b/>
                      <w:bCs/>
                      <w:kern w:val="0"/>
                      <w:szCs w:val="21"/>
                    </w:rPr>
                  </w:pPr>
                  <w:r>
                    <w:rPr>
                      <w:b/>
                      <w:bCs/>
                      <w:kern w:val="0"/>
                      <w:szCs w:val="21"/>
                    </w:rPr>
                    <w:t>有效监测数据数量（小时值）</w:t>
                  </w:r>
                </w:p>
              </w:tc>
              <w:tc>
                <w:tcPr>
                  <w:tcW w:w="1548" w:type="pct"/>
                  <w:gridSpan w:val="3"/>
                  <w:vAlign w:val="center"/>
                </w:tcPr>
                <w:p w14:paraId="34A078B3">
                  <w:pPr>
                    <w:widowControl/>
                    <w:jc w:val="center"/>
                    <w:rPr>
                      <w:b/>
                      <w:bCs/>
                      <w:kern w:val="0"/>
                      <w:szCs w:val="21"/>
                    </w:rPr>
                  </w:pPr>
                  <w:r>
                    <w:rPr>
                      <w:b/>
                      <w:bCs/>
                      <w:kern w:val="0"/>
                      <w:szCs w:val="21"/>
                    </w:rPr>
                    <w:t>监测结果（折标，小时浓度）（mg/m³）</w:t>
                  </w:r>
                </w:p>
              </w:tc>
            </w:tr>
            <w:tr w14:paraId="674515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23" w:type="pct"/>
                  <w:vMerge w:val="continue"/>
                  <w:vAlign w:val="center"/>
                </w:tcPr>
                <w:p w14:paraId="2BF58A02">
                  <w:pPr>
                    <w:widowControl/>
                    <w:jc w:val="left"/>
                    <w:rPr>
                      <w:b/>
                      <w:bCs/>
                      <w:kern w:val="0"/>
                      <w:szCs w:val="21"/>
                    </w:rPr>
                  </w:pPr>
                </w:p>
              </w:tc>
              <w:tc>
                <w:tcPr>
                  <w:tcW w:w="552" w:type="pct"/>
                  <w:vMerge w:val="continue"/>
                  <w:vAlign w:val="center"/>
                </w:tcPr>
                <w:p w14:paraId="05BC2DF8">
                  <w:pPr>
                    <w:widowControl/>
                    <w:jc w:val="left"/>
                    <w:rPr>
                      <w:b/>
                      <w:bCs/>
                      <w:kern w:val="0"/>
                      <w:szCs w:val="21"/>
                    </w:rPr>
                  </w:pPr>
                </w:p>
              </w:tc>
              <w:tc>
                <w:tcPr>
                  <w:tcW w:w="828" w:type="pct"/>
                  <w:vMerge w:val="continue"/>
                  <w:vAlign w:val="center"/>
                </w:tcPr>
                <w:p w14:paraId="1F3C4243">
                  <w:pPr>
                    <w:widowControl/>
                    <w:jc w:val="left"/>
                    <w:rPr>
                      <w:b/>
                      <w:bCs/>
                      <w:kern w:val="0"/>
                      <w:szCs w:val="21"/>
                    </w:rPr>
                  </w:pPr>
                </w:p>
              </w:tc>
              <w:tc>
                <w:tcPr>
                  <w:tcW w:w="468" w:type="pct"/>
                  <w:vMerge w:val="continue"/>
                  <w:vAlign w:val="center"/>
                </w:tcPr>
                <w:p w14:paraId="65C6BC89">
                  <w:pPr>
                    <w:widowControl/>
                    <w:jc w:val="left"/>
                    <w:rPr>
                      <w:b/>
                      <w:bCs/>
                      <w:kern w:val="0"/>
                      <w:szCs w:val="21"/>
                    </w:rPr>
                  </w:pPr>
                </w:p>
              </w:tc>
              <w:tc>
                <w:tcPr>
                  <w:tcW w:w="515" w:type="pct"/>
                  <w:vMerge w:val="continue"/>
                  <w:vAlign w:val="center"/>
                </w:tcPr>
                <w:p w14:paraId="143BB674">
                  <w:pPr>
                    <w:widowControl/>
                    <w:jc w:val="left"/>
                    <w:rPr>
                      <w:b/>
                      <w:bCs/>
                      <w:kern w:val="0"/>
                      <w:szCs w:val="21"/>
                    </w:rPr>
                  </w:pPr>
                </w:p>
              </w:tc>
              <w:tc>
                <w:tcPr>
                  <w:tcW w:w="667" w:type="pct"/>
                  <w:vMerge w:val="continue"/>
                  <w:vAlign w:val="center"/>
                </w:tcPr>
                <w:p w14:paraId="51D33C15">
                  <w:pPr>
                    <w:widowControl/>
                    <w:jc w:val="left"/>
                    <w:rPr>
                      <w:b/>
                      <w:bCs/>
                      <w:kern w:val="0"/>
                      <w:szCs w:val="21"/>
                    </w:rPr>
                  </w:pPr>
                </w:p>
              </w:tc>
              <w:tc>
                <w:tcPr>
                  <w:tcW w:w="515" w:type="pct"/>
                  <w:vAlign w:val="center"/>
                </w:tcPr>
                <w:p w14:paraId="2FB4D775">
                  <w:pPr>
                    <w:widowControl/>
                    <w:jc w:val="center"/>
                    <w:rPr>
                      <w:b/>
                      <w:bCs/>
                      <w:kern w:val="0"/>
                      <w:szCs w:val="21"/>
                    </w:rPr>
                  </w:pPr>
                  <w:r>
                    <w:rPr>
                      <w:b/>
                      <w:bCs/>
                      <w:kern w:val="0"/>
                      <w:szCs w:val="21"/>
                    </w:rPr>
                    <w:t>最小值</w:t>
                  </w:r>
                </w:p>
              </w:tc>
              <w:tc>
                <w:tcPr>
                  <w:tcW w:w="515" w:type="pct"/>
                  <w:vAlign w:val="center"/>
                </w:tcPr>
                <w:p w14:paraId="47BA7793">
                  <w:pPr>
                    <w:widowControl/>
                    <w:jc w:val="center"/>
                    <w:rPr>
                      <w:b/>
                      <w:bCs/>
                      <w:kern w:val="0"/>
                      <w:szCs w:val="21"/>
                    </w:rPr>
                  </w:pPr>
                  <w:r>
                    <w:rPr>
                      <w:b/>
                      <w:bCs/>
                      <w:kern w:val="0"/>
                      <w:szCs w:val="21"/>
                    </w:rPr>
                    <w:t>最大值</w:t>
                  </w:r>
                </w:p>
              </w:tc>
              <w:tc>
                <w:tcPr>
                  <w:tcW w:w="517" w:type="pct"/>
                  <w:vAlign w:val="center"/>
                </w:tcPr>
                <w:p w14:paraId="578A1499">
                  <w:pPr>
                    <w:widowControl/>
                    <w:jc w:val="center"/>
                    <w:rPr>
                      <w:b/>
                      <w:bCs/>
                      <w:kern w:val="0"/>
                      <w:szCs w:val="21"/>
                    </w:rPr>
                  </w:pPr>
                  <w:r>
                    <w:rPr>
                      <w:b/>
                      <w:bCs/>
                      <w:kern w:val="0"/>
                      <w:szCs w:val="21"/>
                    </w:rPr>
                    <w:t>平均值</w:t>
                  </w:r>
                </w:p>
              </w:tc>
            </w:tr>
            <w:tr w14:paraId="2586E3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23" w:type="pct"/>
                  <w:vAlign w:val="center"/>
                </w:tcPr>
                <w:p w14:paraId="60524EB4">
                  <w:pPr>
                    <w:widowControl/>
                    <w:jc w:val="center"/>
                    <w:rPr>
                      <w:kern w:val="0"/>
                      <w:szCs w:val="21"/>
                    </w:rPr>
                  </w:pPr>
                  <w:r>
                    <w:rPr>
                      <w:kern w:val="0"/>
                      <w:szCs w:val="21"/>
                    </w:rPr>
                    <w:t>DA001</w:t>
                  </w:r>
                </w:p>
              </w:tc>
              <w:tc>
                <w:tcPr>
                  <w:tcW w:w="552" w:type="pct"/>
                  <w:vAlign w:val="center"/>
                </w:tcPr>
                <w:p w14:paraId="50A24421">
                  <w:pPr>
                    <w:widowControl/>
                    <w:jc w:val="center"/>
                    <w:rPr>
                      <w:kern w:val="0"/>
                      <w:szCs w:val="21"/>
                    </w:rPr>
                  </w:pPr>
                  <w:r>
                    <w:rPr>
                      <w:kern w:val="0"/>
                      <w:szCs w:val="21"/>
                    </w:rPr>
                    <w:t>PTA车间1</w:t>
                  </w:r>
                </w:p>
              </w:tc>
              <w:tc>
                <w:tcPr>
                  <w:tcW w:w="828" w:type="pct"/>
                  <w:vAlign w:val="center"/>
                </w:tcPr>
                <w:p w14:paraId="7C1C7FAD">
                  <w:pPr>
                    <w:widowControl/>
                    <w:jc w:val="center"/>
                    <w:rPr>
                      <w:kern w:val="0"/>
                      <w:szCs w:val="21"/>
                    </w:rPr>
                  </w:pPr>
                  <w:r>
                    <w:rPr>
                      <w:kern w:val="0"/>
                      <w:szCs w:val="21"/>
                    </w:rPr>
                    <w:t>颗粒物</w:t>
                  </w:r>
                </w:p>
              </w:tc>
              <w:tc>
                <w:tcPr>
                  <w:tcW w:w="468" w:type="pct"/>
                  <w:vAlign w:val="center"/>
                </w:tcPr>
                <w:p w14:paraId="6C5AF9F2">
                  <w:pPr>
                    <w:widowControl/>
                    <w:jc w:val="center"/>
                    <w:rPr>
                      <w:kern w:val="0"/>
                      <w:szCs w:val="21"/>
                    </w:rPr>
                  </w:pPr>
                  <w:r>
                    <w:rPr>
                      <w:kern w:val="0"/>
                      <w:szCs w:val="21"/>
                    </w:rPr>
                    <w:t>手工</w:t>
                  </w:r>
                </w:p>
              </w:tc>
              <w:tc>
                <w:tcPr>
                  <w:tcW w:w="515" w:type="pct"/>
                  <w:vAlign w:val="center"/>
                </w:tcPr>
                <w:p w14:paraId="79339A8B">
                  <w:pPr>
                    <w:widowControl/>
                    <w:jc w:val="center"/>
                    <w:rPr>
                      <w:kern w:val="0"/>
                      <w:szCs w:val="21"/>
                    </w:rPr>
                  </w:pPr>
                  <w:r>
                    <w:rPr>
                      <w:kern w:val="0"/>
                      <w:szCs w:val="21"/>
                    </w:rPr>
                    <w:t>20</w:t>
                  </w:r>
                </w:p>
              </w:tc>
              <w:tc>
                <w:tcPr>
                  <w:tcW w:w="667" w:type="pct"/>
                  <w:vAlign w:val="center"/>
                </w:tcPr>
                <w:p w14:paraId="4BBCBA69">
                  <w:pPr>
                    <w:widowControl/>
                    <w:jc w:val="center"/>
                    <w:rPr>
                      <w:kern w:val="0"/>
                      <w:szCs w:val="21"/>
                    </w:rPr>
                  </w:pPr>
                  <w:r>
                    <w:rPr>
                      <w:kern w:val="0"/>
                      <w:szCs w:val="21"/>
                    </w:rPr>
                    <w:t>4</w:t>
                  </w:r>
                </w:p>
              </w:tc>
              <w:tc>
                <w:tcPr>
                  <w:tcW w:w="515" w:type="pct"/>
                  <w:vAlign w:val="center"/>
                </w:tcPr>
                <w:p w14:paraId="224827FC">
                  <w:pPr>
                    <w:widowControl/>
                    <w:jc w:val="center"/>
                    <w:rPr>
                      <w:kern w:val="0"/>
                      <w:szCs w:val="21"/>
                    </w:rPr>
                  </w:pPr>
                  <w:r>
                    <w:rPr>
                      <w:kern w:val="0"/>
                      <w:szCs w:val="21"/>
                    </w:rPr>
                    <w:t>4.4</w:t>
                  </w:r>
                </w:p>
              </w:tc>
              <w:tc>
                <w:tcPr>
                  <w:tcW w:w="515" w:type="pct"/>
                  <w:vAlign w:val="center"/>
                </w:tcPr>
                <w:p w14:paraId="4532C038">
                  <w:pPr>
                    <w:widowControl/>
                    <w:jc w:val="center"/>
                    <w:rPr>
                      <w:kern w:val="0"/>
                      <w:szCs w:val="21"/>
                    </w:rPr>
                  </w:pPr>
                  <w:r>
                    <w:rPr>
                      <w:kern w:val="0"/>
                      <w:szCs w:val="21"/>
                    </w:rPr>
                    <w:t>5.7</w:t>
                  </w:r>
                </w:p>
              </w:tc>
              <w:tc>
                <w:tcPr>
                  <w:tcW w:w="517" w:type="pct"/>
                  <w:vAlign w:val="center"/>
                </w:tcPr>
                <w:p w14:paraId="4704FDBC">
                  <w:pPr>
                    <w:widowControl/>
                    <w:jc w:val="center"/>
                    <w:rPr>
                      <w:kern w:val="0"/>
                      <w:szCs w:val="21"/>
                    </w:rPr>
                  </w:pPr>
                  <w:r>
                    <w:rPr>
                      <w:kern w:val="0"/>
                      <w:szCs w:val="21"/>
                    </w:rPr>
                    <w:t>5</w:t>
                  </w:r>
                </w:p>
              </w:tc>
            </w:tr>
            <w:tr w14:paraId="1BAAB5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23" w:type="pct"/>
                  <w:vAlign w:val="center"/>
                </w:tcPr>
                <w:p w14:paraId="42D3576F">
                  <w:pPr>
                    <w:widowControl/>
                    <w:jc w:val="center"/>
                    <w:rPr>
                      <w:kern w:val="0"/>
                      <w:szCs w:val="21"/>
                    </w:rPr>
                  </w:pPr>
                  <w:r>
                    <w:rPr>
                      <w:kern w:val="0"/>
                      <w:szCs w:val="21"/>
                    </w:rPr>
                    <w:t>DA002</w:t>
                  </w:r>
                </w:p>
              </w:tc>
              <w:tc>
                <w:tcPr>
                  <w:tcW w:w="552" w:type="pct"/>
                  <w:vAlign w:val="center"/>
                </w:tcPr>
                <w:p w14:paraId="40CE094D">
                  <w:pPr>
                    <w:widowControl/>
                    <w:jc w:val="center"/>
                    <w:rPr>
                      <w:kern w:val="0"/>
                      <w:szCs w:val="21"/>
                    </w:rPr>
                  </w:pPr>
                  <w:r>
                    <w:rPr>
                      <w:kern w:val="0"/>
                      <w:szCs w:val="21"/>
                    </w:rPr>
                    <w:t>纺丝车间1</w:t>
                  </w:r>
                </w:p>
              </w:tc>
              <w:tc>
                <w:tcPr>
                  <w:tcW w:w="828" w:type="pct"/>
                  <w:vAlign w:val="center"/>
                </w:tcPr>
                <w:p w14:paraId="3B47AFDB">
                  <w:pPr>
                    <w:widowControl/>
                    <w:jc w:val="center"/>
                    <w:rPr>
                      <w:kern w:val="0"/>
                      <w:szCs w:val="21"/>
                    </w:rPr>
                  </w:pPr>
                  <w:r>
                    <w:rPr>
                      <w:kern w:val="0"/>
                      <w:szCs w:val="21"/>
                    </w:rPr>
                    <w:t>非甲烷总烃</w:t>
                  </w:r>
                </w:p>
              </w:tc>
              <w:tc>
                <w:tcPr>
                  <w:tcW w:w="468" w:type="pct"/>
                  <w:vAlign w:val="center"/>
                </w:tcPr>
                <w:p w14:paraId="48323914">
                  <w:pPr>
                    <w:widowControl/>
                    <w:jc w:val="center"/>
                    <w:rPr>
                      <w:kern w:val="0"/>
                      <w:szCs w:val="21"/>
                    </w:rPr>
                  </w:pPr>
                  <w:r>
                    <w:rPr>
                      <w:kern w:val="0"/>
                      <w:szCs w:val="21"/>
                    </w:rPr>
                    <w:t>手工</w:t>
                  </w:r>
                </w:p>
              </w:tc>
              <w:tc>
                <w:tcPr>
                  <w:tcW w:w="515" w:type="pct"/>
                  <w:vAlign w:val="center"/>
                </w:tcPr>
                <w:p w14:paraId="49C489E9">
                  <w:pPr>
                    <w:widowControl/>
                    <w:jc w:val="center"/>
                    <w:rPr>
                      <w:kern w:val="0"/>
                      <w:szCs w:val="21"/>
                    </w:rPr>
                  </w:pPr>
                  <w:r>
                    <w:rPr>
                      <w:kern w:val="0"/>
                      <w:szCs w:val="21"/>
                    </w:rPr>
                    <w:t>60</w:t>
                  </w:r>
                </w:p>
              </w:tc>
              <w:tc>
                <w:tcPr>
                  <w:tcW w:w="667" w:type="pct"/>
                  <w:vAlign w:val="center"/>
                </w:tcPr>
                <w:p w14:paraId="13EB7ABA">
                  <w:pPr>
                    <w:widowControl/>
                    <w:jc w:val="center"/>
                    <w:rPr>
                      <w:kern w:val="0"/>
                      <w:szCs w:val="21"/>
                    </w:rPr>
                  </w:pPr>
                  <w:r>
                    <w:rPr>
                      <w:kern w:val="0"/>
                      <w:szCs w:val="21"/>
                    </w:rPr>
                    <w:t>2</w:t>
                  </w:r>
                </w:p>
              </w:tc>
              <w:tc>
                <w:tcPr>
                  <w:tcW w:w="515" w:type="pct"/>
                  <w:vAlign w:val="center"/>
                </w:tcPr>
                <w:p w14:paraId="4BCFE532">
                  <w:pPr>
                    <w:widowControl/>
                    <w:jc w:val="center"/>
                    <w:rPr>
                      <w:kern w:val="0"/>
                      <w:szCs w:val="21"/>
                    </w:rPr>
                  </w:pPr>
                  <w:r>
                    <w:rPr>
                      <w:kern w:val="0"/>
                      <w:szCs w:val="21"/>
                    </w:rPr>
                    <w:t>0.82</w:t>
                  </w:r>
                </w:p>
              </w:tc>
              <w:tc>
                <w:tcPr>
                  <w:tcW w:w="515" w:type="pct"/>
                  <w:vAlign w:val="center"/>
                </w:tcPr>
                <w:p w14:paraId="01988EC7">
                  <w:pPr>
                    <w:widowControl/>
                    <w:jc w:val="center"/>
                    <w:rPr>
                      <w:kern w:val="0"/>
                      <w:szCs w:val="21"/>
                    </w:rPr>
                  </w:pPr>
                  <w:r>
                    <w:rPr>
                      <w:kern w:val="0"/>
                      <w:szCs w:val="21"/>
                    </w:rPr>
                    <w:t>2.65</w:t>
                  </w:r>
                </w:p>
              </w:tc>
              <w:tc>
                <w:tcPr>
                  <w:tcW w:w="517" w:type="pct"/>
                  <w:vAlign w:val="center"/>
                </w:tcPr>
                <w:p w14:paraId="54AA1313">
                  <w:pPr>
                    <w:widowControl/>
                    <w:jc w:val="center"/>
                    <w:rPr>
                      <w:kern w:val="0"/>
                      <w:szCs w:val="21"/>
                    </w:rPr>
                  </w:pPr>
                  <w:r>
                    <w:rPr>
                      <w:kern w:val="0"/>
                      <w:szCs w:val="21"/>
                    </w:rPr>
                    <w:t>1.82</w:t>
                  </w:r>
                </w:p>
              </w:tc>
            </w:tr>
            <w:tr w14:paraId="1AAB98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23" w:type="pct"/>
                  <w:vAlign w:val="center"/>
                </w:tcPr>
                <w:p w14:paraId="7EF7DBB1">
                  <w:pPr>
                    <w:widowControl/>
                    <w:jc w:val="center"/>
                    <w:rPr>
                      <w:kern w:val="0"/>
                      <w:szCs w:val="21"/>
                    </w:rPr>
                  </w:pPr>
                  <w:r>
                    <w:rPr>
                      <w:kern w:val="0"/>
                      <w:szCs w:val="21"/>
                    </w:rPr>
                    <w:t>DA003</w:t>
                  </w:r>
                </w:p>
              </w:tc>
              <w:tc>
                <w:tcPr>
                  <w:tcW w:w="552" w:type="pct"/>
                  <w:vAlign w:val="center"/>
                </w:tcPr>
                <w:p w14:paraId="05B42325">
                  <w:pPr>
                    <w:widowControl/>
                    <w:jc w:val="center"/>
                    <w:rPr>
                      <w:kern w:val="0"/>
                      <w:szCs w:val="21"/>
                    </w:rPr>
                  </w:pPr>
                  <w:r>
                    <w:rPr>
                      <w:kern w:val="0"/>
                      <w:szCs w:val="21"/>
                    </w:rPr>
                    <w:t>纺丝车间1</w:t>
                  </w:r>
                </w:p>
              </w:tc>
              <w:tc>
                <w:tcPr>
                  <w:tcW w:w="828" w:type="pct"/>
                  <w:vAlign w:val="center"/>
                </w:tcPr>
                <w:p w14:paraId="6AB4F012">
                  <w:pPr>
                    <w:widowControl/>
                    <w:jc w:val="center"/>
                    <w:rPr>
                      <w:kern w:val="0"/>
                      <w:szCs w:val="21"/>
                    </w:rPr>
                  </w:pPr>
                  <w:r>
                    <w:rPr>
                      <w:kern w:val="0"/>
                      <w:szCs w:val="21"/>
                    </w:rPr>
                    <w:t>非甲烷总烃</w:t>
                  </w:r>
                </w:p>
              </w:tc>
              <w:tc>
                <w:tcPr>
                  <w:tcW w:w="468" w:type="pct"/>
                  <w:vAlign w:val="center"/>
                </w:tcPr>
                <w:p w14:paraId="3A6AD422">
                  <w:pPr>
                    <w:widowControl/>
                    <w:jc w:val="center"/>
                    <w:rPr>
                      <w:kern w:val="0"/>
                      <w:szCs w:val="21"/>
                    </w:rPr>
                  </w:pPr>
                  <w:r>
                    <w:rPr>
                      <w:kern w:val="0"/>
                      <w:szCs w:val="21"/>
                    </w:rPr>
                    <w:t>手工</w:t>
                  </w:r>
                </w:p>
              </w:tc>
              <w:tc>
                <w:tcPr>
                  <w:tcW w:w="515" w:type="pct"/>
                  <w:vAlign w:val="center"/>
                </w:tcPr>
                <w:p w14:paraId="2F58DDEA">
                  <w:pPr>
                    <w:widowControl/>
                    <w:jc w:val="center"/>
                    <w:rPr>
                      <w:kern w:val="0"/>
                      <w:szCs w:val="21"/>
                    </w:rPr>
                  </w:pPr>
                  <w:r>
                    <w:rPr>
                      <w:kern w:val="0"/>
                      <w:szCs w:val="21"/>
                    </w:rPr>
                    <w:t>60</w:t>
                  </w:r>
                </w:p>
              </w:tc>
              <w:tc>
                <w:tcPr>
                  <w:tcW w:w="667" w:type="pct"/>
                  <w:vAlign w:val="center"/>
                </w:tcPr>
                <w:p w14:paraId="7F46315F">
                  <w:pPr>
                    <w:widowControl/>
                    <w:jc w:val="center"/>
                    <w:rPr>
                      <w:kern w:val="0"/>
                      <w:szCs w:val="21"/>
                    </w:rPr>
                  </w:pPr>
                  <w:r>
                    <w:rPr>
                      <w:kern w:val="0"/>
                      <w:szCs w:val="21"/>
                    </w:rPr>
                    <w:t>2</w:t>
                  </w:r>
                </w:p>
              </w:tc>
              <w:tc>
                <w:tcPr>
                  <w:tcW w:w="515" w:type="pct"/>
                  <w:vAlign w:val="center"/>
                </w:tcPr>
                <w:p w14:paraId="42E101C6">
                  <w:pPr>
                    <w:widowControl/>
                    <w:jc w:val="center"/>
                    <w:rPr>
                      <w:kern w:val="0"/>
                      <w:szCs w:val="21"/>
                    </w:rPr>
                  </w:pPr>
                  <w:r>
                    <w:rPr>
                      <w:kern w:val="0"/>
                      <w:szCs w:val="21"/>
                    </w:rPr>
                    <w:t>1.04</w:t>
                  </w:r>
                </w:p>
              </w:tc>
              <w:tc>
                <w:tcPr>
                  <w:tcW w:w="515" w:type="pct"/>
                  <w:vAlign w:val="center"/>
                </w:tcPr>
                <w:p w14:paraId="4D0DD0EF">
                  <w:pPr>
                    <w:widowControl/>
                    <w:jc w:val="center"/>
                    <w:rPr>
                      <w:kern w:val="0"/>
                      <w:szCs w:val="21"/>
                    </w:rPr>
                  </w:pPr>
                  <w:r>
                    <w:rPr>
                      <w:kern w:val="0"/>
                      <w:szCs w:val="21"/>
                    </w:rPr>
                    <w:t>1.5</w:t>
                  </w:r>
                </w:p>
              </w:tc>
              <w:tc>
                <w:tcPr>
                  <w:tcW w:w="517" w:type="pct"/>
                  <w:vAlign w:val="center"/>
                </w:tcPr>
                <w:p w14:paraId="26155005">
                  <w:pPr>
                    <w:widowControl/>
                    <w:jc w:val="center"/>
                    <w:rPr>
                      <w:kern w:val="0"/>
                      <w:szCs w:val="21"/>
                    </w:rPr>
                  </w:pPr>
                  <w:r>
                    <w:rPr>
                      <w:kern w:val="0"/>
                      <w:szCs w:val="21"/>
                    </w:rPr>
                    <w:t>1.26</w:t>
                  </w:r>
                </w:p>
              </w:tc>
            </w:tr>
            <w:tr w14:paraId="291B13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23" w:type="pct"/>
                  <w:vAlign w:val="center"/>
                </w:tcPr>
                <w:p w14:paraId="44090131">
                  <w:pPr>
                    <w:widowControl/>
                    <w:jc w:val="center"/>
                    <w:rPr>
                      <w:kern w:val="0"/>
                      <w:szCs w:val="21"/>
                    </w:rPr>
                  </w:pPr>
                  <w:r>
                    <w:rPr>
                      <w:kern w:val="0"/>
                      <w:szCs w:val="21"/>
                    </w:rPr>
                    <w:t>DA004</w:t>
                  </w:r>
                </w:p>
              </w:tc>
              <w:tc>
                <w:tcPr>
                  <w:tcW w:w="552" w:type="pct"/>
                  <w:vAlign w:val="center"/>
                </w:tcPr>
                <w:p w14:paraId="287F7AB6">
                  <w:pPr>
                    <w:widowControl/>
                    <w:jc w:val="center"/>
                    <w:rPr>
                      <w:kern w:val="0"/>
                      <w:szCs w:val="21"/>
                    </w:rPr>
                  </w:pPr>
                  <w:r>
                    <w:rPr>
                      <w:kern w:val="0"/>
                      <w:szCs w:val="21"/>
                    </w:rPr>
                    <w:t>纺丝车间1</w:t>
                  </w:r>
                </w:p>
              </w:tc>
              <w:tc>
                <w:tcPr>
                  <w:tcW w:w="828" w:type="pct"/>
                  <w:vAlign w:val="center"/>
                </w:tcPr>
                <w:p w14:paraId="3D935DA7">
                  <w:pPr>
                    <w:widowControl/>
                    <w:jc w:val="center"/>
                    <w:rPr>
                      <w:kern w:val="0"/>
                      <w:szCs w:val="21"/>
                    </w:rPr>
                  </w:pPr>
                  <w:r>
                    <w:rPr>
                      <w:kern w:val="0"/>
                      <w:szCs w:val="21"/>
                    </w:rPr>
                    <w:t>非甲烷总烃</w:t>
                  </w:r>
                </w:p>
              </w:tc>
              <w:tc>
                <w:tcPr>
                  <w:tcW w:w="468" w:type="pct"/>
                  <w:vAlign w:val="center"/>
                </w:tcPr>
                <w:p w14:paraId="597C98B9">
                  <w:pPr>
                    <w:widowControl/>
                    <w:jc w:val="center"/>
                    <w:rPr>
                      <w:kern w:val="0"/>
                      <w:szCs w:val="21"/>
                    </w:rPr>
                  </w:pPr>
                  <w:r>
                    <w:rPr>
                      <w:kern w:val="0"/>
                      <w:szCs w:val="21"/>
                    </w:rPr>
                    <w:t>手工</w:t>
                  </w:r>
                </w:p>
              </w:tc>
              <w:tc>
                <w:tcPr>
                  <w:tcW w:w="515" w:type="pct"/>
                  <w:vAlign w:val="center"/>
                </w:tcPr>
                <w:p w14:paraId="1BFBCEDF">
                  <w:pPr>
                    <w:widowControl/>
                    <w:jc w:val="center"/>
                    <w:rPr>
                      <w:kern w:val="0"/>
                      <w:szCs w:val="21"/>
                    </w:rPr>
                  </w:pPr>
                  <w:r>
                    <w:rPr>
                      <w:kern w:val="0"/>
                      <w:szCs w:val="21"/>
                    </w:rPr>
                    <w:t>60</w:t>
                  </w:r>
                </w:p>
              </w:tc>
              <w:tc>
                <w:tcPr>
                  <w:tcW w:w="667" w:type="pct"/>
                  <w:vAlign w:val="center"/>
                </w:tcPr>
                <w:p w14:paraId="263BF670">
                  <w:pPr>
                    <w:widowControl/>
                    <w:jc w:val="center"/>
                    <w:rPr>
                      <w:kern w:val="0"/>
                      <w:szCs w:val="21"/>
                    </w:rPr>
                  </w:pPr>
                  <w:r>
                    <w:rPr>
                      <w:kern w:val="0"/>
                      <w:szCs w:val="21"/>
                    </w:rPr>
                    <w:t>2</w:t>
                  </w:r>
                </w:p>
              </w:tc>
              <w:tc>
                <w:tcPr>
                  <w:tcW w:w="515" w:type="pct"/>
                  <w:vAlign w:val="center"/>
                </w:tcPr>
                <w:p w14:paraId="6569EDB8">
                  <w:pPr>
                    <w:widowControl/>
                    <w:jc w:val="center"/>
                    <w:rPr>
                      <w:kern w:val="0"/>
                      <w:szCs w:val="21"/>
                    </w:rPr>
                  </w:pPr>
                  <w:r>
                    <w:rPr>
                      <w:kern w:val="0"/>
                      <w:szCs w:val="21"/>
                    </w:rPr>
                    <w:t>1.26</w:t>
                  </w:r>
                </w:p>
              </w:tc>
              <w:tc>
                <w:tcPr>
                  <w:tcW w:w="515" w:type="pct"/>
                  <w:vAlign w:val="center"/>
                </w:tcPr>
                <w:p w14:paraId="2BD18D2D">
                  <w:pPr>
                    <w:widowControl/>
                    <w:jc w:val="center"/>
                    <w:rPr>
                      <w:kern w:val="0"/>
                      <w:szCs w:val="21"/>
                    </w:rPr>
                  </w:pPr>
                  <w:r>
                    <w:rPr>
                      <w:kern w:val="0"/>
                      <w:szCs w:val="21"/>
                    </w:rPr>
                    <w:t>1.63</w:t>
                  </w:r>
                </w:p>
              </w:tc>
              <w:tc>
                <w:tcPr>
                  <w:tcW w:w="517" w:type="pct"/>
                  <w:vAlign w:val="center"/>
                </w:tcPr>
                <w:p w14:paraId="2121CF51">
                  <w:pPr>
                    <w:widowControl/>
                    <w:jc w:val="center"/>
                    <w:rPr>
                      <w:kern w:val="0"/>
                      <w:szCs w:val="21"/>
                    </w:rPr>
                  </w:pPr>
                  <w:r>
                    <w:rPr>
                      <w:kern w:val="0"/>
                      <w:szCs w:val="21"/>
                    </w:rPr>
                    <w:t>1.49</w:t>
                  </w:r>
                </w:p>
              </w:tc>
            </w:tr>
            <w:tr w14:paraId="0D1E22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23" w:type="pct"/>
                  <w:vMerge w:val="restart"/>
                  <w:vAlign w:val="center"/>
                </w:tcPr>
                <w:p w14:paraId="0EC1E44C">
                  <w:pPr>
                    <w:widowControl/>
                    <w:jc w:val="center"/>
                    <w:rPr>
                      <w:kern w:val="0"/>
                      <w:szCs w:val="21"/>
                    </w:rPr>
                  </w:pPr>
                  <w:r>
                    <w:rPr>
                      <w:kern w:val="0"/>
                      <w:szCs w:val="21"/>
                    </w:rPr>
                    <w:t>DA005</w:t>
                  </w:r>
                </w:p>
              </w:tc>
              <w:tc>
                <w:tcPr>
                  <w:tcW w:w="552" w:type="pct"/>
                  <w:vMerge w:val="restart"/>
                  <w:vAlign w:val="center"/>
                </w:tcPr>
                <w:p w14:paraId="3F5FFC78">
                  <w:pPr>
                    <w:widowControl/>
                    <w:jc w:val="center"/>
                    <w:rPr>
                      <w:kern w:val="0"/>
                      <w:szCs w:val="21"/>
                    </w:rPr>
                  </w:pPr>
                  <w:r>
                    <w:rPr>
                      <w:kern w:val="0"/>
                      <w:szCs w:val="21"/>
                    </w:rPr>
                    <w:t>热媒站排口</w:t>
                  </w:r>
                </w:p>
              </w:tc>
              <w:tc>
                <w:tcPr>
                  <w:tcW w:w="828" w:type="pct"/>
                  <w:vAlign w:val="center"/>
                </w:tcPr>
                <w:p w14:paraId="60655EA9">
                  <w:pPr>
                    <w:widowControl/>
                    <w:jc w:val="center"/>
                    <w:rPr>
                      <w:kern w:val="0"/>
                      <w:szCs w:val="21"/>
                    </w:rPr>
                  </w:pPr>
                  <w:r>
                    <w:rPr>
                      <w:kern w:val="0"/>
                      <w:szCs w:val="21"/>
                    </w:rPr>
                    <w:t>乙二醇</w:t>
                  </w:r>
                </w:p>
              </w:tc>
              <w:tc>
                <w:tcPr>
                  <w:tcW w:w="468" w:type="pct"/>
                  <w:vAlign w:val="center"/>
                </w:tcPr>
                <w:p w14:paraId="2BED55C8">
                  <w:pPr>
                    <w:widowControl/>
                    <w:jc w:val="center"/>
                    <w:rPr>
                      <w:kern w:val="0"/>
                      <w:szCs w:val="21"/>
                    </w:rPr>
                  </w:pPr>
                  <w:r>
                    <w:rPr>
                      <w:kern w:val="0"/>
                      <w:szCs w:val="21"/>
                    </w:rPr>
                    <w:t>手工</w:t>
                  </w:r>
                </w:p>
              </w:tc>
              <w:tc>
                <w:tcPr>
                  <w:tcW w:w="515" w:type="pct"/>
                  <w:vAlign w:val="center"/>
                </w:tcPr>
                <w:p w14:paraId="4B00B212">
                  <w:pPr>
                    <w:widowControl/>
                    <w:jc w:val="center"/>
                    <w:rPr>
                      <w:kern w:val="0"/>
                      <w:szCs w:val="21"/>
                    </w:rPr>
                  </w:pPr>
                  <w:r>
                    <w:rPr>
                      <w:kern w:val="0"/>
                      <w:szCs w:val="21"/>
                    </w:rPr>
                    <w:t>0.6</w:t>
                  </w:r>
                </w:p>
              </w:tc>
              <w:tc>
                <w:tcPr>
                  <w:tcW w:w="667" w:type="pct"/>
                  <w:vAlign w:val="center"/>
                </w:tcPr>
                <w:p w14:paraId="74BC4343">
                  <w:pPr>
                    <w:widowControl/>
                    <w:jc w:val="center"/>
                    <w:rPr>
                      <w:kern w:val="0"/>
                      <w:szCs w:val="21"/>
                    </w:rPr>
                  </w:pPr>
                  <w:r>
                    <w:rPr>
                      <w:kern w:val="0"/>
                      <w:szCs w:val="21"/>
                    </w:rPr>
                    <w:t>4</w:t>
                  </w:r>
                </w:p>
              </w:tc>
              <w:tc>
                <w:tcPr>
                  <w:tcW w:w="515" w:type="pct"/>
                  <w:vAlign w:val="center"/>
                </w:tcPr>
                <w:p w14:paraId="756D62AA">
                  <w:pPr>
                    <w:widowControl/>
                    <w:jc w:val="center"/>
                    <w:rPr>
                      <w:kern w:val="0"/>
                      <w:szCs w:val="21"/>
                    </w:rPr>
                  </w:pPr>
                  <w:r>
                    <w:rPr>
                      <w:kern w:val="0"/>
                      <w:szCs w:val="21"/>
                    </w:rPr>
                    <w:t>0</w:t>
                  </w:r>
                </w:p>
              </w:tc>
              <w:tc>
                <w:tcPr>
                  <w:tcW w:w="515" w:type="pct"/>
                  <w:vAlign w:val="center"/>
                </w:tcPr>
                <w:p w14:paraId="006F0162">
                  <w:pPr>
                    <w:widowControl/>
                    <w:jc w:val="center"/>
                    <w:rPr>
                      <w:kern w:val="0"/>
                      <w:szCs w:val="21"/>
                    </w:rPr>
                  </w:pPr>
                  <w:r>
                    <w:rPr>
                      <w:kern w:val="0"/>
                      <w:szCs w:val="21"/>
                    </w:rPr>
                    <w:t>0</w:t>
                  </w:r>
                </w:p>
              </w:tc>
              <w:tc>
                <w:tcPr>
                  <w:tcW w:w="517" w:type="pct"/>
                  <w:vAlign w:val="center"/>
                </w:tcPr>
                <w:p w14:paraId="3D94B630">
                  <w:pPr>
                    <w:widowControl/>
                    <w:jc w:val="center"/>
                    <w:rPr>
                      <w:kern w:val="0"/>
                      <w:szCs w:val="21"/>
                    </w:rPr>
                  </w:pPr>
                  <w:r>
                    <w:rPr>
                      <w:kern w:val="0"/>
                      <w:szCs w:val="21"/>
                    </w:rPr>
                    <w:t>0</w:t>
                  </w:r>
                </w:p>
              </w:tc>
            </w:tr>
            <w:tr w14:paraId="364119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23" w:type="pct"/>
                  <w:vMerge w:val="continue"/>
                  <w:vAlign w:val="center"/>
                </w:tcPr>
                <w:p w14:paraId="580B9279">
                  <w:pPr>
                    <w:widowControl/>
                    <w:jc w:val="left"/>
                    <w:rPr>
                      <w:kern w:val="0"/>
                      <w:szCs w:val="21"/>
                    </w:rPr>
                  </w:pPr>
                </w:p>
              </w:tc>
              <w:tc>
                <w:tcPr>
                  <w:tcW w:w="552" w:type="pct"/>
                  <w:vMerge w:val="continue"/>
                  <w:vAlign w:val="center"/>
                </w:tcPr>
                <w:p w14:paraId="4EFF0D70">
                  <w:pPr>
                    <w:widowControl/>
                    <w:jc w:val="left"/>
                    <w:rPr>
                      <w:kern w:val="0"/>
                      <w:szCs w:val="21"/>
                    </w:rPr>
                  </w:pPr>
                </w:p>
              </w:tc>
              <w:tc>
                <w:tcPr>
                  <w:tcW w:w="828" w:type="pct"/>
                  <w:vAlign w:val="center"/>
                </w:tcPr>
                <w:p w14:paraId="29B36797">
                  <w:pPr>
                    <w:widowControl/>
                    <w:jc w:val="center"/>
                    <w:rPr>
                      <w:kern w:val="0"/>
                      <w:szCs w:val="21"/>
                    </w:rPr>
                  </w:pPr>
                  <w:r>
                    <w:rPr>
                      <w:kern w:val="0"/>
                      <w:szCs w:val="21"/>
                    </w:rPr>
                    <w:t>乙醛</w:t>
                  </w:r>
                </w:p>
              </w:tc>
              <w:tc>
                <w:tcPr>
                  <w:tcW w:w="468" w:type="pct"/>
                  <w:vAlign w:val="center"/>
                </w:tcPr>
                <w:p w14:paraId="6299E6E4">
                  <w:pPr>
                    <w:widowControl/>
                    <w:jc w:val="center"/>
                    <w:rPr>
                      <w:kern w:val="0"/>
                      <w:szCs w:val="21"/>
                    </w:rPr>
                  </w:pPr>
                  <w:r>
                    <w:rPr>
                      <w:kern w:val="0"/>
                      <w:szCs w:val="21"/>
                    </w:rPr>
                    <w:t>手工</w:t>
                  </w:r>
                </w:p>
              </w:tc>
              <w:tc>
                <w:tcPr>
                  <w:tcW w:w="515" w:type="pct"/>
                  <w:vAlign w:val="center"/>
                </w:tcPr>
                <w:p w14:paraId="453BAD44">
                  <w:pPr>
                    <w:widowControl/>
                    <w:jc w:val="center"/>
                    <w:rPr>
                      <w:kern w:val="0"/>
                      <w:szCs w:val="21"/>
                    </w:rPr>
                  </w:pPr>
                  <w:r>
                    <w:rPr>
                      <w:kern w:val="0"/>
                      <w:szCs w:val="21"/>
                    </w:rPr>
                    <w:t>20</w:t>
                  </w:r>
                </w:p>
              </w:tc>
              <w:tc>
                <w:tcPr>
                  <w:tcW w:w="667" w:type="pct"/>
                  <w:vAlign w:val="center"/>
                </w:tcPr>
                <w:p w14:paraId="1D72EDE2">
                  <w:pPr>
                    <w:widowControl/>
                    <w:jc w:val="center"/>
                    <w:rPr>
                      <w:kern w:val="0"/>
                      <w:szCs w:val="21"/>
                    </w:rPr>
                  </w:pPr>
                  <w:r>
                    <w:rPr>
                      <w:kern w:val="0"/>
                      <w:szCs w:val="21"/>
                    </w:rPr>
                    <w:t>4</w:t>
                  </w:r>
                </w:p>
              </w:tc>
              <w:tc>
                <w:tcPr>
                  <w:tcW w:w="515" w:type="pct"/>
                  <w:vAlign w:val="center"/>
                </w:tcPr>
                <w:p w14:paraId="5D1CCB52">
                  <w:pPr>
                    <w:widowControl/>
                    <w:jc w:val="center"/>
                    <w:rPr>
                      <w:kern w:val="0"/>
                      <w:szCs w:val="21"/>
                    </w:rPr>
                  </w:pPr>
                  <w:r>
                    <w:rPr>
                      <w:kern w:val="0"/>
                      <w:szCs w:val="21"/>
                    </w:rPr>
                    <w:t>0</w:t>
                  </w:r>
                </w:p>
              </w:tc>
              <w:tc>
                <w:tcPr>
                  <w:tcW w:w="515" w:type="pct"/>
                  <w:vAlign w:val="center"/>
                </w:tcPr>
                <w:p w14:paraId="34B0E8EC">
                  <w:pPr>
                    <w:widowControl/>
                    <w:jc w:val="center"/>
                    <w:rPr>
                      <w:kern w:val="0"/>
                      <w:szCs w:val="21"/>
                    </w:rPr>
                  </w:pPr>
                  <w:r>
                    <w:rPr>
                      <w:kern w:val="0"/>
                      <w:szCs w:val="21"/>
                    </w:rPr>
                    <w:t>0</w:t>
                  </w:r>
                </w:p>
              </w:tc>
              <w:tc>
                <w:tcPr>
                  <w:tcW w:w="517" w:type="pct"/>
                  <w:vAlign w:val="center"/>
                </w:tcPr>
                <w:p w14:paraId="01E4814D">
                  <w:pPr>
                    <w:widowControl/>
                    <w:jc w:val="center"/>
                    <w:rPr>
                      <w:kern w:val="0"/>
                      <w:szCs w:val="21"/>
                    </w:rPr>
                  </w:pPr>
                  <w:r>
                    <w:rPr>
                      <w:kern w:val="0"/>
                      <w:szCs w:val="21"/>
                    </w:rPr>
                    <w:t>0</w:t>
                  </w:r>
                </w:p>
              </w:tc>
            </w:tr>
            <w:tr w14:paraId="5EA4F8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23" w:type="pct"/>
                  <w:vMerge w:val="continue"/>
                  <w:vAlign w:val="center"/>
                </w:tcPr>
                <w:p w14:paraId="7A6CC1C7">
                  <w:pPr>
                    <w:widowControl/>
                    <w:jc w:val="left"/>
                    <w:rPr>
                      <w:kern w:val="0"/>
                      <w:szCs w:val="21"/>
                    </w:rPr>
                  </w:pPr>
                </w:p>
              </w:tc>
              <w:tc>
                <w:tcPr>
                  <w:tcW w:w="552" w:type="pct"/>
                  <w:vMerge w:val="continue"/>
                  <w:vAlign w:val="center"/>
                </w:tcPr>
                <w:p w14:paraId="3952DD23">
                  <w:pPr>
                    <w:widowControl/>
                    <w:jc w:val="left"/>
                    <w:rPr>
                      <w:kern w:val="0"/>
                      <w:szCs w:val="21"/>
                    </w:rPr>
                  </w:pPr>
                </w:p>
              </w:tc>
              <w:tc>
                <w:tcPr>
                  <w:tcW w:w="828" w:type="pct"/>
                  <w:vAlign w:val="center"/>
                </w:tcPr>
                <w:p w14:paraId="3AFA6CA5">
                  <w:pPr>
                    <w:widowControl/>
                    <w:jc w:val="center"/>
                    <w:rPr>
                      <w:kern w:val="0"/>
                      <w:szCs w:val="21"/>
                    </w:rPr>
                  </w:pPr>
                  <w:r>
                    <w:rPr>
                      <w:kern w:val="0"/>
                      <w:szCs w:val="21"/>
                    </w:rPr>
                    <w:t>二氧化硫</w:t>
                  </w:r>
                </w:p>
              </w:tc>
              <w:tc>
                <w:tcPr>
                  <w:tcW w:w="468" w:type="pct"/>
                  <w:vAlign w:val="center"/>
                </w:tcPr>
                <w:p w14:paraId="3426C31E">
                  <w:pPr>
                    <w:widowControl/>
                    <w:jc w:val="center"/>
                    <w:rPr>
                      <w:kern w:val="0"/>
                      <w:szCs w:val="21"/>
                    </w:rPr>
                  </w:pPr>
                  <w:r>
                    <w:rPr>
                      <w:kern w:val="0"/>
                      <w:szCs w:val="21"/>
                    </w:rPr>
                    <w:t>自动</w:t>
                  </w:r>
                </w:p>
              </w:tc>
              <w:tc>
                <w:tcPr>
                  <w:tcW w:w="515" w:type="pct"/>
                  <w:vAlign w:val="center"/>
                </w:tcPr>
                <w:p w14:paraId="4E18332F">
                  <w:pPr>
                    <w:widowControl/>
                    <w:jc w:val="center"/>
                    <w:rPr>
                      <w:kern w:val="0"/>
                      <w:szCs w:val="21"/>
                    </w:rPr>
                  </w:pPr>
                  <w:r>
                    <w:rPr>
                      <w:kern w:val="0"/>
                      <w:szCs w:val="21"/>
                    </w:rPr>
                    <w:t>35</w:t>
                  </w:r>
                </w:p>
              </w:tc>
              <w:tc>
                <w:tcPr>
                  <w:tcW w:w="667" w:type="pct"/>
                  <w:vAlign w:val="center"/>
                </w:tcPr>
                <w:p w14:paraId="11707163">
                  <w:pPr>
                    <w:widowControl/>
                    <w:jc w:val="center"/>
                    <w:rPr>
                      <w:kern w:val="0"/>
                      <w:szCs w:val="21"/>
                    </w:rPr>
                  </w:pPr>
                  <w:r>
                    <w:rPr>
                      <w:kern w:val="0"/>
                      <w:szCs w:val="21"/>
                    </w:rPr>
                    <w:t>8760</w:t>
                  </w:r>
                </w:p>
              </w:tc>
              <w:tc>
                <w:tcPr>
                  <w:tcW w:w="515" w:type="pct"/>
                  <w:vAlign w:val="center"/>
                </w:tcPr>
                <w:p w14:paraId="21BA983E">
                  <w:pPr>
                    <w:widowControl/>
                    <w:jc w:val="center"/>
                    <w:rPr>
                      <w:kern w:val="0"/>
                      <w:szCs w:val="21"/>
                    </w:rPr>
                  </w:pPr>
                  <w:r>
                    <w:rPr>
                      <w:kern w:val="0"/>
                      <w:szCs w:val="21"/>
                    </w:rPr>
                    <w:t>2.732</w:t>
                  </w:r>
                </w:p>
              </w:tc>
              <w:tc>
                <w:tcPr>
                  <w:tcW w:w="515" w:type="pct"/>
                  <w:vAlign w:val="center"/>
                </w:tcPr>
                <w:p w14:paraId="0E6F3B9F">
                  <w:pPr>
                    <w:widowControl/>
                    <w:jc w:val="center"/>
                    <w:rPr>
                      <w:kern w:val="0"/>
                      <w:szCs w:val="21"/>
                    </w:rPr>
                  </w:pPr>
                  <w:r>
                    <w:rPr>
                      <w:kern w:val="0"/>
                      <w:szCs w:val="21"/>
                    </w:rPr>
                    <w:t>10.666</w:t>
                  </w:r>
                </w:p>
              </w:tc>
              <w:tc>
                <w:tcPr>
                  <w:tcW w:w="517" w:type="pct"/>
                  <w:vAlign w:val="center"/>
                </w:tcPr>
                <w:p w14:paraId="5C4F05F9">
                  <w:pPr>
                    <w:widowControl/>
                    <w:jc w:val="center"/>
                    <w:rPr>
                      <w:kern w:val="0"/>
                      <w:szCs w:val="21"/>
                    </w:rPr>
                  </w:pPr>
                  <w:r>
                    <w:rPr>
                      <w:kern w:val="0"/>
                      <w:szCs w:val="21"/>
                    </w:rPr>
                    <w:t>5.565</w:t>
                  </w:r>
                </w:p>
              </w:tc>
            </w:tr>
            <w:tr w14:paraId="0C11AF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23" w:type="pct"/>
                  <w:vMerge w:val="continue"/>
                  <w:vAlign w:val="center"/>
                </w:tcPr>
                <w:p w14:paraId="79E4C8CE">
                  <w:pPr>
                    <w:widowControl/>
                    <w:jc w:val="left"/>
                    <w:rPr>
                      <w:kern w:val="0"/>
                      <w:szCs w:val="21"/>
                    </w:rPr>
                  </w:pPr>
                </w:p>
              </w:tc>
              <w:tc>
                <w:tcPr>
                  <w:tcW w:w="552" w:type="pct"/>
                  <w:vMerge w:val="continue"/>
                  <w:vAlign w:val="center"/>
                </w:tcPr>
                <w:p w14:paraId="58F87D5F">
                  <w:pPr>
                    <w:widowControl/>
                    <w:jc w:val="left"/>
                    <w:rPr>
                      <w:kern w:val="0"/>
                      <w:szCs w:val="21"/>
                    </w:rPr>
                  </w:pPr>
                </w:p>
              </w:tc>
              <w:tc>
                <w:tcPr>
                  <w:tcW w:w="828" w:type="pct"/>
                  <w:vAlign w:val="center"/>
                </w:tcPr>
                <w:p w14:paraId="4FEE8D23">
                  <w:pPr>
                    <w:widowControl/>
                    <w:jc w:val="center"/>
                    <w:rPr>
                      <w:kern w:val="0"/>
                      <w:szCs w:val="21"/>
                    </w:rPr>
                  </w:pPr>
                  <w:r>
                    <w:rPr>
                      <w:kern w:val="0"/>
                      <w:szCs w:val="21"/>
                    </w:rPr>
                    <w:t>氨（氨气）</w:t>
                  </w:r>
                </w:p>
              </w:tc>
              <w:tc>
                <w:tcPr>
                  <w:tcW w:w="468" w:type="pct"/>
                  <w:vAlign w:val="center"/>
                </w:tcPr>
                <w:p w14:paraId="0DA95993">
                  <w:pPr>
                    <w:widowControl/>
                    <w:jc w:val="center"/>
                    <w:rPr>
                      <w:kern w:val="0"/>
                      <w:szCs w:val="21"/>
                    </w:rPr>
                  </w:pPr>
                  <w:r>
                    <w:rPr>
                      <w:kern w:val="0"/>
                      <w:szCs w:val="21"/>
                    </w:rPr>
                    <w:t>手工</w:t>
                  </w:r>
                </w:p>
              </w:tc>
              <w:tc>
                <w:tcPr>
                  <w:tcW w:w="515" w:type="pct"/>
                  <w:vAlign w:val="center"/>
                </w:tcPr>
                <w:p w14:paraId="34DE186C">
                  <w:pPr>
                    <w:widowControl/>
                    <w:jc w:val="center"/>
                    <w:rPr>
                      <w:kern w:val="0"/>
                      <w:szCs w:val="21"/>
                    </w:rPr>
                  </w:pPr>
                  <w:r>
                    <w:rPr>
                      <w:kern w:val="0"/>
                      <w:szCs w:val="21"/>
                    </w:rPr>
                    <w:t>/</w:t>
                  </w:r>
                </w:p>
              </w:tc>
              <w:tc>
                <w:tcPr>
                  <w:tcW w:w="667" w:type="pct"/>
                  <w:vAlign w:val="center"/>
                </w:tcPr>
                <w:p w14:paraId="475BADAB">
                  <w:pPr>
                    <w:widowControl/>
                    <w:jc w:val="center"/>
                    <w:rPr>
                      <w:kern w:val="0"/>
                      <w:szCs w:val="21"/>
                    </w:rPr>
                  </w:pPr>
                  <w:r>
                    <w:rPr>
                      <w:kern w:val="0"/>
                      <w:szCs w:val="21"/>
                    </w:rPr>
                    <w:t>4</w:t>
                  </w:r>
                </w:p>
              </w:tc>
              <w:tc>
                <w:tcPr>
                  <w:tcW w:w="515" w:type="pct"/>
                  <w:vAlign w:val="center"/>
                </w:tcPr>
                <w:p w14:paraId="23224912">
                  <w:pPr>
                    <w:widowControl/>
                    <w:jc w:val="center"/>
                    <w:rPr>
                      <w:kern w:val="0"/>
                      <w:szCs w:val="21"/>
                    </w:rPr>
                  </w:pPr>
                  <w:r>
                    <w:rPr>
                      <w:kern w:val="0"/>
                      <w:szCs w:val="21"/>
                    </w:rPr>
                    <w:t>0.5</w:t>
                  </w:r>
                </w:p>
              </w:tc>
              <w:tc>
                <w:tcPr>
                  <w:tcW w:w="515" w:type="pct"/>
                  <w:vAlign w:val="center"/>
                </w:tcPr>
                <w:p w14:paraId="755A0A1B">
                  <w:pPr>
                    <w:widowControl/>
                    <w:jc w:val="center"/>
                    <w:rPr>
                      <w:kern w:val="0"/>
                      <w:szCs w:val="21"/>
                    </w:rPr>
                  </w:pPr>
                  <w:r>
                    <w:rPr>
                      <w:kern w:val="0"/>
                      <w:szCs w:val="21"/>
                    </w:rPr>
                    <w:t>0.86</w:t>
                  </w:r>
                </w:p>
              </w:tc>
              <w:tc>
                <w:tcPr>
                  <w:tcW w:w="517" w:type="pct"/>
                  <w:vAlign w:val="center"/>
                </w:tcPr>
                <w:p w14:paraId="1A42B475">
                  <w:pPr>
                    <w:widowControl/>
                    <w:jc w:val="center"/>
                    <w:rPr>
                      <w:kern w:val="0"/>
                      <w:szCs w:val="21"/>
                    </w:rPr>
                  </w:pPr>
                  <w:r>
                    <w:rPr>
                      <w:kern w:val="0"/>
                      <w:szCs w:val="21"/>
                    </w:rPr>
                    <w:t>0.7</w:t>
                  </w:r>
                </w:p>
              </w:tc>
            </w:tr>
            <w:tr w14:paraId="1CE02D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23" w:type="pct"/>
                  <w:vMerge w:val="continue"/>
                  <w:vAlign w:val="center"/>
                </w:tcPr>
                <w:p w14:paraId="1D8ED6B3">
                  <w:pPr>
                    <w:widowControl/>
                    <w:jc w:val="left"/>
                    <w:rPr>
                      <w:kern w:val="0"/>
                      <w:szCs w:val="21"/>
                    </w:rPr>
                  </w:pPr>
                </w:p>
              </w:tc>
              <w:tc>
                <w:tcPr>
                  <w:tcW w:w="552" w:type="pct"/>
                  <w:vMerge w:val="continue"/>
                  <w:vAlign w:val="center"/>
                </w:tcPr>
                <w:p w14:paraId="0BCF54FE">
                  <w:pPr>
                    <w:widowControl/>
                    <w:jc w:val="left"/>
                    <w:rPr>
                      <w:kern w:val="0"/>
                      <w:szCs w:val="21"/>
                    </w:rPr>
                  </w:pPr>
                </w:p>
              </w:tc>
              <w:tc>
                <w:tcPr>
                  <w:tcW w:w="828" w:type="pct"/>
                  <w:vAlign w:val="center"/>
                </w:tcPr>
                <w:p w14:paraId="2BFC3E16">
                  <w:pPr>
                    <w:widowControl/>
                    <w:jc w:val="center"/>
                    <w:rPr>
                      <w:kern w:val="0"/>
                      <w:szCs w:val="21"/>
                    </w:rPr>
                  </w:pPr>
                  <w:r>
                    <w:rPr>
                      <w:kern w:val="0"/>
                      <w:szCs w:val="21"/>
                    </w:rPr>
                    <w:t>氮氧化物</w:t>
                  </w:r>
                </w:p>
              </w:tc>
              <w:tc>
                <w:tcPr>
                  <w:tcW w:w="468" w:type="pct"/>
                  <w:vAlign w:val="center"/>
                </w:tcPr>
                <w:p w14:paraId="06E6931C">
                  <w:pPr>
                    <w:widowControl/>
                    <w:jc w:val="center"/>
                    <w:rPr>
                      <w:kern w:val="0"/>
                      <w:szCs w:val="21"/>
                    </w:rPr>
                  </w:pPr>
                  <w:r>
                    <w:rPr>
                      <w:kern w:val="0"/>
                      <w:szCs w:val="21"/>
                    </w:rPr>
                    <w:t>自动</w:t>
                  </w:r>
                </w:p>
              </w:tc>
              <w:tc>
                <w:tcPr>
                  <w:tcW w:w="515" w:type="pct"/>
                  <w:vAlign w:val="center"/>
                </w:tcPr>
                <w:p w14:paraId="56A646BA">
                  <w:pPr>
                    <w:widowControl/>
                    <w:jc w:val="center"/>
                    <w:rPr>
                      <w:kern w:val="0"/>
                      <w:szCs w:val="21"/>
                    </w:rPr>
                  </w:pPr>
                  <w:r>
                    <w:rPr>
                      <w:kern w:val="0"/>
                      <w:szCs w:val="21"/>
                    </w:rPr>
                    <w:t>50</w:t>
                  </w:r>
                </w:p>
              </w:tc>
              <w:tc>
                <w:tcPr>
                  <w:tcW w:w="667" w:type="pct"/>
                  <w:vAlign w:val="center"/>
                </w:tcPr>
                <w:p w14:paraId="43F43831">
                  <w:pPr>
                    <w:widowControl/>
                    <w:jc w:val="center"/>
                    <w:rPr>
                      <w:kern w:val="0"/>
                      <w:szCs w:val="21"/>
                    </w:rPr>
                  </w:pPr>
                  <w:r>
                    <w:rPr>
                      <w:kern w:val="0"/>
                      <w:szCs w:val="21"/>
                    </w:rPr>
                    <w:t>8760</w:t>
                  </w:r>
                </w:p>
              </w:tc>
              <w:tc>
                <w:tcPr>
                  <w:tcW w:w="515" w:type="pct"/>
                  <w:vAlign w:val="center"/>
                </w:tcPr>
                <w:p w14:paraId="0B1C9BDA">
                  <w:pPr>
                    <w:widowControl/>
                    <w:jc w:val="center"/>
                    <w:rPr>
                      <w:kern w:val="0"/>
                      <w:szCs w:val="21"/>
                    </w:rPr>
                  </w:pPr>
                  <w:r>
                    <w:rPr>
                      <w:kern w:val="0"/>
                      <w:szCs w:val="21"/>
                    </w:rPr>
                    <w:t>13.891</w:t>
                  </w:r>
                </w:p>
              </w:tc>
              <w:tc>
                <w:tcPr>
                  <w:tcW w:w="515" w:type="pct"/>
                  <w:vAlign w:val="center"/>
                </w:tcPr>
                <w:p w14:paraId="6393AAD2">
                  <w:pPr>
                    <w:widowControl/>
                    <w:jc w:val="center"/>
                    <w:rPr>
                      <w:kern w:val="0"/>
                      <w:szCs w:val="21"/>
                    </w:rPr>
                  </w:pPr>
                  <w:r>
                    <w:rPr>
                      <w:kern w:val="0"/>
                      <w:szCs w:val="21"/>
                    </w:rPr>
                    <w:t>23.721</w:t>
                  </w:r>
                </w:p>
              </w:tc>
              <w:tc>
                <w:tcPr>
                  <w:tcW w:w="517" w:type="pct"/>
                  <w:vAlign w:val="center"/>
                </w:tcPr>
                <w:p w14:paraId="330D3612">
                  <w:pPr>
                    <w:widowControl/>
                    <w:jc w:val="center"/>
                    <w:rPr>
                      <w:kern w:val="0"/>
                      <w:szCs w:val="21"/>
                    </w:rPr>
                  </w:pPr>
                  <w:r>
                    <w:rPr>
                      <w:kern w:val="0"/>
                      <w:szCs w:val="21"/>
                    </w:rPr>
                    <w:t>17.986</w:t>
                  </w:r>
                </w:p>
              </w:tc>
            </w:tr>
            <w:tr w14:paraId="490586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23" w:type="pct"/>
                  <w:vMerge w:val="continue"/>
                  <w:vAlign w:val="center"/>
                </w:tcPr>
                <w:p w14:paraId="5F2E1841">
                  <w:pPr>
                    <w:widowControl/>
                    <w:jc w:val="left"/>
                    <w:rPr>
                      <w:kern w:val="0"/>
                      <w:szCs w:val="21"/>
                    </w:rPr>
                  </w:pPr>
                </w:p>
              </w:tc>
              <w:tc>
                <w:tcPr>
                  <w:tcW w:w="552" w:type="pct"/>
                  <w:vMerge w:val="continue"/>
                  <w:vAlign w:val="center"/>
                </w:tcPr>
                <w:p w14:paraId="0665541A">
                  <w:pPr>
                    <w:widowControl/>
                    <w:jc w:val="left"/>
                    <w:rPr>
                      <w:kern w:val="0"/>
                      <w:szCs w:val="21"/>
                    </w:rPr>
                  </w:pPr>
                </w:p>
              </w:tc>
              <w:tc>
                <w:tcPr>
                  <w:tcW w:w="828" w:type="pct"/>
                  <w:vAlign w:val="center"/>
                </w:tcPr>
                <w:p w14:paraId="78581ECB">
                  <w:pPr>
                    <w:widowControl/>
                    <w:jc w:val="center"/>
                    <w:rPr>
                      <w:kern w:val="0"/>
                      <w:szCs w:val="21"/>
                    </w:rPr>
                  </w:pPr>
                  <w:r>
                    <w:rPr>
                      <w:kern w:val="0"/>
                      <w:szCs w:val="21"/>
                    </w:rPr>
                    <w:t>汞及其化合物</w:t>
                  </w:r>
                </w:p>
              </w:tc>
              <w:tc>
                <w:tcPr>
                  <w:tcW w:w="468" w:type="pct"/>
                  <w:vAlign w:val="center"/>
                </w:tcPr>
                <w:p w14:paraId="67A2382C">
                  <w:pPr>
                    <w:widowControl/>
                    <w:jc w:val="center"/>
                    <w:rPr>
                      <w:kern w:val="0"/>
                      <w:szCs w:val="21"/>
                    </w:rPr>
                  </w:pPr>
                  <w:r>
                    <w:rPr>
                      <w:kern w:val="0"/>
                      <w:szCs w:val="21"/>
                    </w:rPr>
                    <w:t>手工</w:t>
                  </w:r>
                </w:p>
              </w:tc>
              <w:tc>
                <w:tcPr>
                  <w:tcW w:w="515" w:type="pct"/>
                  <w:vAlign w:val="center"/>
                </w:tcPr>
                <w:p w14:paraId="5551D583">
                  <w:pPr>
                    <w:widowControl/>
                    <w:jc w:val="center"/>
                    <w:rPr>
                      <w:kern w:val="0"/>
                      <w:szCs w:val="21"/>
                    </w:rPr>
                  </w:pPr>
                  <w:r>
                    <w:rPr>
                      <w:kern w:val="0"/>
                      <w:szCs w:val="21"/>
                    </w:rPr>
                    <w:t>0.03</w:t>
                  </w:r>
                </w:p>
              </w:tc>
              <w:tc>
                <w:tcPr>
                  <w:tcW w:w="667" w:type="pct"/>
                  <w:vAlign w:val="center"/>
                </w:tcPr>
                <w:p w14:paraId="3F78E126">
                  <w:pPr>
                    <w:widowControl/>
                    <w:jc w:val="center"/>
                    <w:rPr>
                      <w:kern w:val="0"/>
                      <w:szCs w:val="21"/>
                    </w:rPr>
                  </w:pPr>
                  <w:r>
                    <w:rPr>
                      <w:kern w:val="0"/>
                      <w:szCs w:val="21"/>
                    </w:rPr>
                    <w:t>4</w:t>
                  </w:r>
                </w:p>
              </w:tc>
              <w:tc>
                <w:tcPr>
                  <w:tcW w:w="515" w:type="pct"/>
                  <w:vAlign w:val="center"/>
                </w:tcPr>
                <w:p w14:paraId="1B62517D">
                  <w:pPr>
                    <w:widowControl/>
                    <w:jc w:val="center"/>
                    <w:rPr>
                      <w:kern w:val="0"/>
                      <w:szCs w:val="21"/>
                    </w:rPr>
                  </w:pPr>
                  <w:r>
                    <w:rPr>
                      <w:kern w:val="0"/>
                      <w:szCs w:val="21"/>
                    </w:rPr>
                    <w:t>0</w:t>
                  </w:r>
                </w:p>
              </w:tc>
              <w:tc>
                <w:tcPr>
                  <w:tcW w:w="515" w:type="pct"/>
                  <w:vAlign w:val="center"/>
                </w:tcPr>
                <w:p w14:paraId="25DCE45B">
                  <w:pPr>
                    <w:widowControl/>
                    <w:jc w:val="center"/>
                    <w:rPr>
                      <w:kern w:val="0"/>
                      <w:szCs w:val="21"/>
                    </w:rPr>
                  </w:pPr>
                  <w:r>
                    <w:rPr>
                      <w:kern w:val="0"/>
                      <w:szCs w:val="21"/>
                    </w:rPr>
                    <w:t>0</w:t>
                  </w:r>
                </w:p>
              </w:tc>
              <w:tc>
                <w:tcPr>
                  <w:tcW w:w="517" w:type="pct"/>
                  <w:vAlign w:val="center"/>
                </w:tcPr>
                <w:p w14:paraId="26313686">
                  <w:pPr>
                    <w:widowControl/>
                    <w:jc w:val="center"/>
                    <w:rPr>
                      <w:kern w:val="0"/>
                      <w:szCs w:val="21"/>
                    </w:rPr>
                  </w:pPr>
                  <w:r>
                    <w:rPr>
                      <w:kern w:val="0"/>
                      <w:szCs w:val="21"/>
                    </w:rPr>
                    <w:t>0</w:t>
                  </w:r>
                </w:p>
              </w:tc>
            </w:tr>
            <w:tr w14:paraId="4BD266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23" w:type="pct"/>
                  <w:vMerge w:val="continue"/>
                  <w:vAlign w:val="center"/>
                </w:tcPr>
                <w:p w14:paraId="740F45F2">
                  <w:pPr>
                    <w:widowControl/>
                    <w:jc w:val="left"/>
                    <w:rPr>
                      <w:kern w:val="0"/>
                      <w:szCs w:val="21"/>
                    </w:rPr>
                  </w:pPr>
                </w:p>
              </w:tc>
              <w:tc>
                <w:tcPr>
                  <w:tcW w:w="552" w:type="pct"/>
                  <w:vMerge w:val="continue"/>
                  <w:vAlign w:val="center"/>
                </w:tcPr>
                <w:p w14:paraId="08FB38B9">
                  <w:pPr>
                    <w:widowControl/>
                    <w:jc w:val="left"/>
                    <w:rPr>
                      <w:kern w:val="0"/>
                      <w:szCs w:val="21"/>
                    </w:rPr>
                  </w:pPr>
                </w:p>
              </w:tc>
              <w:tc>
                <w:tcPr>
                  <w:tcW w:w="828" w:type="pct"/>
                  <w:vAlign w:val="center"/>
                </w:tcPr>
                <w:p w14:paraId="28BBC296">
                  <w:pPr>
                    <w:widowControl/>
                    <w:jc w:val="center"/>
                    <w:rPr>
                      <w:kern w:val="0"/>
                      <w:szCs w:val="21"/>
                    </w:rPr>
                  </w:pPr>
                  <w:r>
                    <w:rPr>
                      <w:kern w:val="0"/>
                      <w:szCs w:val="21"/>
                    </w:rPr>
                    <w:t>非甲烷总烃</w:t>
                  </w:r>
                </w:p>
              </w:tc>
              <w:tc>
                <w:tcPr>
                  <w:tcW w:w="468" w:type="pct"/>
                  <w:vAlign w:val="center"/>
                </w:tcPr>
                <w:p w14:paraId="4624C2DE">
                  <w:pPr>
                    <w:widowControl/>
                    <w:jc w:val="center"/>
                    <w:rPr>
                      <w:kern w:val="0"/>
                      <w:szCs w:val="21"/>
                    </w:rPr>
                  </w:pPr>
                  <w:r>
                    <w:rPr>
                      <w:kern w:val="0"/>
                      <w:szCs w:val="21"/>
                    </w:rPr>
                    <w:t>手工</w:t>
                  </w:r>
                </w:p>
              </w:tc>
              <w:tc>
                <w:tcPr>
                  <w:tcW w:w="515" w:type="pct"/>
                  <w:vAlign w:val="center"/>
                </w:tcPr>
                <w:p w14:paraId="0B549857">
                  <w:pPr>
                    <w:widowControl/>
                    <w:jc w:val="center"/>
                    <w:rPr>
                      <w:kern w:val="0"/>
                      <w:szCs w:val="21"/>
                    </w:rPr>
                  </w:pPr>
                  <w:r>
                    <w:rPr>
                      <w:kern w:val="0"/>
                      <w:szCs w:val="21"/>
                    </w:rPr>
                    <w:t>60</w:t>
                  </w:r>
                </w:p>
              </w:tc>
              <w:tc>
                <w:tcPr>
                  <w:tcW w:w="667" w:type="pct"/>
                  <w:vAlign w:val="center"/>
                </w:tcPr>
                <w:p w14:paraId="47650557">
                  <w:pPr>
                    <w:widowControl/>
                    <w:jc w:val="center"/>
                    <w:rPr>
                      <w:kern w:val="0"/>
                      <w:szCs w:val="21"/>
                    </w:rPr>
                  </w:pPr>
                  <w:r>
                    <w:rPr>
                      <w:kern w:val="0"/>
                      <w:szCs w:val="21"/>
                    </w:rPr>
                    <w:t>12</w:t>
                  </w:r>
                </w:p>
              </w:tc>
              <w:tc>
                <w:tcPr>
                  <w:tcW w:w="515" w:type="pct"/>
                  <w:vAlign w:val="center"/>
                </w:tcPr>
                <w:p w14:paraId="098ABC3E">
                  <w:pPr>
                    <w:widowControl/>
                    <w:jc w:val="center"/>
                    <w:rPr>
                      <w:kern w:val="0"/>
                      <w:szCs w:val="21"/>
                    </w:rPr>
                  </w:pPr>
                  <w:r>
                    <w:rPr>
                      <w:kern w:val="0"/>
                      <w:szCs w:val="21"/>
                    </w:rPr>
                    <w:t>1.21</w:t>
                  </w:r>
                </w:p>
              </w:tc>
              <w:tc>
                <w:tcPr>
                  <w:tcW w:w="515" w:type="pct"/>
                  <w:vAlign w:val="center"/>
                </w:tcPr>
                <w:p w14:paraId="2A643DA3">
                  <w:pPr>
                    <w:widowControl/>
                    <w:jc w:val="center"/>
                    <w:rPr>
                      <w:kern w:val="0"/>
                      <w:szCs w:val="21"/>
                    </w:rPr>
                  </w:pPr>
                  <w:r>
                    <w:rPr>
                      <w:kern w:val="0"/>
                      <w:szCs w:val="21"/>
                    </w:rPr>
                    <w:t>1.03</w:t>
                  </w:r>
                </w:p>
              </w:tc>
              <w:tc>
                <w:tcPr>
                  <w:tcW w:w="517" w:type="pct"/>
                  <w:vAlign w:val="center"/>
                </w:tcPr>
                <w:p w14:paraId="629D6902">
                  <w:pPr>
                    <w:widowControl/>
                    <w:jc w:val="center"/>
                    <w:rPr>
                      <w:kern w:val="0"/>
                      <w:szCs w:val="21"/>
                    </w:rPr>
                  </w:pPr>
                  <w:r>
                    <w:rPr>
                      <w:kern w:val="0"/>
                      <w:szCs w:val="21"/>
                    </w:rPr>
                    <w:t>1.11</w:t>
                  </w:r>
                </w:p>
              </w:tc>
            </w:tr>
            <w:tr w14:paraId="7CECD3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23" w:type="pct"/>
                  <w:vMerge w:val="continue"/>
                  <w:vAlign w:val="center"/>
                </w:tcPr>
                <w:p w14:paraId="61C2FC24">
                  <w:pPr>
                    <w:widowControl/>
                    <w:jc w:val="left"/>
                    <w:rPr>
                      <w:kern w:val="0"/>
                      <w:szCs w:val="21"/>
                    </w:rPr>
                  </w:pPr>
                </w:p>
              </w:tc>
              <w:tc>
                <w:tcPr>
                  <w:tcW w:w="552" w:type="pct"/>
                  <w:vMerge w:val="continue"/>
                  <w:vAlign w:val="center"/>
                </w:tcPr>
                <w:p w14:paraId="104FE8D1">
                  <w:pPr>
                    <w:widowControl/>
                    <w:jc w:val="left"/>
                    <w:rPr>
                      <w:kern w:val="0"/>
                      <w:szCs w:val="21"/>
                    </w:rPr>
                  </w:pPr>
                </w:p>
              </w:tc>
              <w:tc>
                <w:tcPr>
                  <w:tcW w:w="828" w:type="pct"/>
                  <w:vAlign w:val="center"/>
                </w:tcPr>
                <w:p w14:paraId="64A35771">
                  <w:pPr>
                    <w:widowControl/>
                    <w:jc w:val="center"/>
                    <w:rPr>
                      <w:kern w:val="0"/>
                      <w:szCs w:val="21"/>
                    </w:rPr>
                  </w:pPr>
                  <w:r>
                    <w:rPr>
                      <w:kern w:val="0"/>
                      <w:szCs w:val="21"/>
                    </w:rPr>
                    <w:t>颗粒物</w:t>
                  </w:r>
                </w:p>
              </w:tc>
              <w:tc>
                <w:tcPr>
                  <w:tcW w:w="468" w:type="pct"/>
                  <w:vAlign w:val="center"/>
                </w:tcPr>
                <w:p w14:paraId="695E68C2">
                  <w:pPr>
                    <w:widowControl/>
                    <w:jc w:val="center"/>
                    <w:rPr>
                      <w:kern w:val="0"/>
                      <w:szCs w:val="21"/>
                    </w:rPr>
                  </w:pPr>
                  <w:r>
                    <w:rPr>
                      <w:kern w:val="0"/>
                      <w:szCs w:val="21"/>
                    </w:rPr>
                    <w:t>自动</w:t>
                  </w:r>
                </w:p>
              </w:tc>
              <w:tc>
                <w:tcPr>
                  <w:tcW w:w="515" w:type="pct"/>
                  <w:vAlign w:val="center"/>
                </w:tcPr>
                <w:p w14:paraId="65E5CB17">
                  <w:pPr>
                    <w:widowControl/>
                    <w:jc w:val="center"/>
                    <w:rPr>
                      <w:kern w:val="0"/>
                      <w:szCs w:val="21"/>
                    </w:rPr>
                  </w:pPr>
                  <w:r>
                    <w:rPr>
                      <w:kern w:val="0"/>
                      <w:szCs w:val="21"/>
                    </w:rPr>
                    <w:t>10</w:t>
                  </w:r>
                </w:p>
              </w:tc>
              <w:tc>
                <w:tcPr>
                  <w:tcW w:w="667" w:type="pct"/>
                  <w:vAlign w:val="center"/>
                </w:tcPr>
                <w:p w14:paraId="3BAD31C8">
                  <w:pPr>
                    <w:widowControl/>
                    <w:jc w:val="center"/>
                    <w:rPr>
                      <w:kern w:val="0"/>
                      <w:szCs w:val="21"/>
                    </w:rPr>
                  </w:pPr>
                  <w:r>
                    <w:rPr>
                      <w:kern w:val="0"/>
                      <w:szCs w:val="21"/>
                    </w:rPr>
                    <w:t>8760</w:t>
                  </w:r>
                </w:p>
              </w:tc>
              <w:tc>
                <w:tcPr>
                  <w:tcW w:w="515" w:type="pct"/>
                  <w:vAlign w:val="center"/>
                </w:tcPr>
                <w:p w14:paraId="7E5BAC3B">
                  <w:pPr>
                    <w:widowControl/>
                    <w:jc w:val="center"/>
                    <w:rPr>
                      <w:kern w:val="0"/>
                      <w:szCs w:val="21"/>
                    </w:rPr>
                  </w:pPr>
                  <w:r>
                    <w:rPr>
                      <w:kern w:val="0"/>
                      <w:szCs w:val="21"/>
                    </w:rPr>
                    <w:t>0.145</w:t>
                  </w:r>
                </w:p>
              </w:tc>
              <w:tc>
                <w:tcPr>
                  <w:tcW w:w="515" w:type="pct"/>
                  <w:vAlign w:val="center"/>
                </w:tcPr>
                <w:p w14:paraId="1DEB46D3">
                  <w:pPr>
                    <w:widowControl/>
                    <w:jc w:val="center"/>
                    <w:rPr>
                      <w:kern w:val="0"/>
                      <w:szCs w:val="21"/>
                    </w:rPr>
                  </w:pPr>
                  <w:r>
                    <w:rPr>
                      <w:kern w:val="0"/>
                      <w:szCs w:val="21"/>
                    </w:rPr>
                    <w:t>2.845</w:t>
                  </w:r>
                </w:p>
              </w:tc>
              <w:tc>
                <w:tcPr>
                  <w:tcW w:w="517" w:type="pct"/>
                  <w:vAlign w:val="center"/>
                </w:tcPr>
                <w:p w14:paraId="6608DC00">
                  <w:pPr>
                    <w:widowControl/>
                    <w:jc w:val="center"/>
                    <w:rPr>
                      <w:kern w:val="0"/>
                      <w:szCs w:val="21"/>
                    </w:rPr>
                  </w:pPr>
                  <w:r>
                    <w:rPr>
                      <w:kern w:val="0"/>
                      <w:szCs w:val="21"/>
                    </w:rPr>
                    <w:t>1.353</w:t>
                  </w:r>
                </w:p>
              </w:tc>
            </w:tr>
            <w:tr w14:paraId="2047EA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23" w:type="pct"/>
                  <w:vAlign w:val="center"/>
                </w:tcPr>
                <w:p w14:paraId="247CA31D">
                  <w:pPr>
                    <w:widowControl/>
                    <w:jc w:val="center"/>
                    <w:rPr>
                      <w:kern w:val="0"/>
                      <w:szCs w:val="21"/>
                    </w:rPr>
                  </w:pPr>
                  <w:r>
                    <w:rPr>
                      <w:kern w:val="0"/>
                      <w:szCs w:val="21"/>
                    </w:rPr>
                    <w:t>DA 006</w:t>
                  </w:r>
                </w:p>
              </w:tc>
              <w:tc>
                <w:tcPr>
                  <w:tcW w:w="552" w:type="pct"/>
                  <w:vAlign w:val="center"/>
                </w:tcPr>
                <w:p w14:paraId="5C8A4FBF">
                  <w:pPr>
                    <w:widowControl/>
                    <w:jc w:val="center"/>
                    <w:rPr>
                      <w:kern w:val="0"/>
                      <w:szCs w:val="21"/>
                    </w:rPr>
                  </w:pPr>
                  <w:r>
                    <w:rPr>
                      <w:kern w:val="0"/>
                      <w:szCs w:val="21"/>
                    </w:rPr>
                    <w:t>化验中心</w:t>
                  </w:r>
                </w:p>
              </w:tc>
              <w:tc>
                <w:tcPr>
                  <w:tcW w:w="828" w:type="pct"/>
                  <w:vAlign w:val="center"/>
                </w:tcPr>
                <w:p w14:paraId="412245C7">
                  <w:pPr>
                    <w:widowControl/>
                    <w:jc w:val="center"/>
                    <w:rPr>
                      <w:kern w:val="0"/>
                      <w:szCs w:val="21"/>
                    </w:rPr>
                  </w:pPr>
                  <w:r>
                    <w:rPr>
                      <w:kern w:val="0"/>
                      <w:szCs w:val="21"/>
                    </w:rPr>
                    <w:t>非甲烷总烃</w:t>
                  </w:r>
                </w:p>
              </w:tc>
              <w:tc>
                <w:tcPr>
                  <w:tcW w:w="468" w:type="pct"/>
                  <w:vAlign w:val="center"/>
                </w:tcPr>
                <w:p w14:paraId="5ADBB2A4">
                  <w:pPr>
                    <w:widowControl/>
                    <w:jc w:val="center"/>
                    <w:rPr>
                      <w:kern w:val="0"/>
                      <w:szCs w:val="21"/>
                    </w:rPr>
                  </w:pPr>
                  <w:r>
                    <w:rPr>
                      <w:kern w:val="0"/>
                      <w:szCs w:val="21"/>
                    </w:rPr>
                    <w:t>手工</w:t>
                  </w:r>
                </w:p>
              </w:tc>
              <w:tc>
                <w:tcPr>
                  <w:tcW w:w="515" w:type="pct"/>
                  <w:vAlign w:val="center"/>
                </w:tcPr>
                <w:p w14:paraId="39612521">
                  <w:pPr>
                    <w:widowControl/>
                    <w:jc w:val="center"/>
                    <w:rPr>
                      <w:kern w:val="0"/>
                      <w:szCs w:val="21"/>
                    </w:rPr>
                  </w:pPr>
                  <w:r>
                    <w:rPr>
                      <w:kern w:val="0"/>
                      <w:szCs w:val="21"/>
                    </w:rPr>
                    <w:t>60</w:t>
                  </w:r>
                </w:p>
              </w:tc>
              <w:tc>
                <w:tcPr>
                  <w:tcW w:w="667" w:type="pct"/>
                  <w:vAlign w:val="center"/>
                </w:tcPr>
                <w:p w14:paraId="5EDA3DE0">
                  <w:pPr>
                    <w:widowControl/>
                    <w:jc w:val="center"/>
                    <w:rPr>
                      <w:kern w:val="0"/>
                      <w:szCs w:val="21"/>
                    </w:rPr>
                  </w:pPr>
                  <w:r>
                    <w:rPr>
                      <w:kern w:val="0"/>
                      <w:szCs w:val="21"/>
                    </w:rPr>
                    <w:t>2</w:t>
                  </w:r>
                </w:p>
              </w:tc>
              <w:tc>
                <w:tcPr>
                  <w:tcW w:w="515" w:type="pct"/>
                  <w:vAlign w:val="center"/>
                </w:tcPr>
                <w:p w14:paraId="7584A0E0">
                  <w:pPr>
                    <w:widowControl/>
                    <w:jc w:val="center"/>
                    <w:rPr>
                      <w:kern w:val="0"/>
                      <w:szCs w:val="21"/>
                    </w:rPr>
                  </w:pPr>
                  <w:r>
                    <w:rPr>
                      <w:kern w:val="0"/>
                      <w:szCs w:val="21"/>
                    </w:rPr>
                    <w:t>1.25</w:t>
                  </w:r>
                </w:p>
              </w:tc>
              <w:tc>
                <w:tcPr>
                  <w:tcW w:w="515" w:type="pct"/>
                  <w:vAlign w:val="center"/>
                </w:tcPr>
                <w:p w14:paraId="7C1C9DCB">
                  <w:pPr>
                    <w:widowControl/>
                    <w:jc w:val="center"/>
                    <w:rPr>
                      <w:kern w:val="0"/>
                      <w:szCs w:val="21"/>
                    </w:rPr>
                  </w:pPr>
                  <w:r>
                    <w:rPr>
                      <w:kern w:val="0"/>
                      <w:szCs w:val="21"/>
                    </w:rPr>
                    <w:t>1.46</w:t>
                  </w:r>
                </w:p>
              </w:tc>
              <w:tc>
                <w:tcPr>
                  <w:tcW w:w="517" w:type="pct"/>
                  <w:vAlign w:val="center"/>
                </w:tcPr>
                <w:p w14:paraId="70DE6EA7">
                  <w:pPr>
                    <w:widowControl/>
                    <w:jc w:val="center"/>
                    <w:rPr>
                      <w:kern w:val="0"/>
                      <w:szCs w:val="21"/>
                    </w:rPr>
                  </w:pPr>
                  <w:r>
                    <w:rPr>
                      <w:kern w:val="0"/>
                      <w:szCs w:val="21"/>
                    </w:rPr>
                    <w:t>1.36</w:t>
                  </w:r>
                </w:p>
              </w:tc>
            </w:tr>
          </w:tbl>
          <w:p w14:paraId="020AE7CD">
            <w:pPr>
              <w:pStyle w:val="42"/>
              <w:spacing w:before="40" w:beforeAutospacing="0" w:after="0" w:afterAutospacing="0" w:line="480" w:lineRule="exact"/>
              <w:jc w:val="center"/>
              <w:rPr>
                <w:rFonts w:ascii="Times New Roman" w:hAnsi="Times New Roman"/>
                <w:b/>
                <w:bCs/>
              </w:rPr>
            </w:pPr>
            <w:r>
              <w:rPr>
                <w:rFonts w:ascii="Times New Roman" w:hAnsi="Times New Roman"/>
                <w:b/>
                <w:bCs/>
              </w:rPr>
              <w:t>表2-1</w:t>
            </w:r>
            <w:r>
              <w:rPr>
                <w:rFonts w:hint="eastAsia" w:ascii="Times New Roman" w:hAnsi="Times New Roman"/>
                <w:b/>
                <w:bCs/>
              </w:rPr>
              <w:t>9</w:t>
            </w:r>
            <w:r>
              <w:rPr>
                <w:rFonts w:ascii="Times New Roman" w:hAnsi="Times New Roman"/>
                <w:b/>
                <w:bCs/>
              </w:rPr>
              <w:t xml:space="preserve">  2024年现有项目无组织废气监测结果统计表</w:t>
            </w:r>
          </w:p>
          <w:tbl>
            <w:tblPr>
              <w:tblStyle w:val="9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1458"/>
              <w:gridCol w:w="1315"/>
              <w:gridCol w:w="1899"/>
              <w:gridCol w:w="2447"/>
            </w:tblGrid>
            <w:tr w14:paraId="5C8DF7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Align w:val="center"/>
                </w:tcPr>
                <w:p w14:paraId="776B5512">
                  <w:pPr>
                    <w:widowControl/>
                    <w:jc w:val="center"/>
                    <w:rPr>
                      <w:b/>
                      <w:bCs/>
                      <w:kern w:val="0"/>
                      <w:szCs w:val="21"/>
                    </w:rPr>
                  </w:pPr>
                  <w:r>
                    <w:rPr>
                      <w:b/>
                      <w:bCs/>
                      <w:kern w:val="0"/>
                      <w:szCs w:val="21"/>
                    </w:rPr>
                    <w:t>类型</w:t>
                  </w:r>
                </w:p>
              </w:tc>
              <w:tc>
                <w:tcPr>
                  <w:tcW w:w="918" w:type="pct"/>
                  <w:vAlign w:val="center"/>
                </w:tcPr>
                <w:p w14:paraId="6BAB9D2F">
                  <w:pPr>
                    <w:widowControl/>
                    <w:jc w:val="center"/>
                    <w:rPr>
                      <w:b/>
                      <w:bCs/>
                      <w:kern w:val="0"/>
                      <w:szCs w:val="21"/>
                    </w:rPr>
                  </w:pPr>
                  <w:r>
                    <w:rPr>
                      <w:b/>
                      <w:bCs/>
                      <w:kern w:val="0"/>
                      <w:szCs w:val="21"/>
                    </w:rPr>
                    <w:t>污染物种类</w:t>
                  </w:r>
                </w:p>
              </w:tc>
              <w:tc>
                <w:tcPr>
                  <w:tcW w:w="828" w:type="pct"/>
                  <w:vAlign w:val="center"/>
                </w:tcPr>
                <w:p w14:paraId="31B9F868">
                  <w:pPr>
                    <w:widowControl/>
                    <w:jc w:val="center"/>
                    <w:rPr>
                      <w:b/>
                      <w:bCs/>
                      <w:kern w:val="0"/>
                      <w:szCs w:val="21"/>
                    </w:rPr>
                  </w:pPr>
                  <w:r>
                    <w:rPr>
                      <w:b/>
                      <w:bCs/>
                      <w:kern w:val="0"/>
                      <w:szCs w:val="21"/>
                    </w:rPr>
                    <w:t>许可排放浓度限值（mg/m³）</w:t>
                  </w:r>
                </w:p>
              </w:tc>
              <w:tc>
                <w:tcPr>
                  <w:tcW w:w="1196" w:type="pct"/>
                  <w:vAlign w:val="center"/>
                </w:tcPr>
                <w:p w14:paraId="467B69A6">
                  <w:pPr>
                    <w:widowControl/>
                    <w:jc w:val="center"/>
                    <w:rPr>
                      <w:b/>
                      <w:bCs/>
                      <w:kern w:val="0"/>
                      <w:szCs w:val="21"/>
                    </w:rPr>
                  </w:pPr>
                  <w:r>
                    <w:rPr>
                      <w:b/>
                      <w:bCs/>
                      <w:kern w:val="0"/>
                      <w:szCs w:val="21"/>
                    </w:rPr>
                    <w:t>监测点位</w:t>
                  </w:r>
                </w:p>
              </w:tc>
              <w:tc>
                <w:tcPr>
                  <w:tcW w:w="1541" w:type="pct"/>
                  <w:vAlign w:val="center"/>
                </w:tcPr>
                <w:p w14:paraId="0790E42B">
                  <w:pPr>
                    <w:widowControl/>
                    <w:jc w:val="center"/>
                    <w:rPr>
                      <w:b/>
                      <w:bCs/>
                      <w:kern w:val="0"/>
                      <w:szCs w:val="21"/>
                    </w:rPr>
                  </w:pPr>
                  <w:r>
                    <w:rPr>
                      <w:b/>
                      <w:bCs/>
                      <w:kern w:val="0"/>
                      <w:szCs w:val="21"/>
                    </w:rPr>
                    <w:t>浓度监测结果（折标，小时浓度，mg/m³）</w:t>
                  </w:r>
                </w:p>
              </w:tc>
            </w:tr>
            <w:tr w14:paraId="524928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restart"/>
                  <w:vAlign w:val="center"/>
                </w:tcPr>
                <w:p w14:paraId="4D5AC899">
                  <w:pPr>
                    <w:widowControl/>
                    <w:jc w:val="center"/>
                    <w:rPr>
                      <w:kern w:val="0"/>
                      <w:sz w:val="20"/>
                      <w:szCs w:val="20"/>
                    </w:rPr>
                  </w:pPr>
                  <w:r>
                    <w:rPr>
                      <w:kern w:val="0"/>
                      <w:sz w:val="20"/>
                      <w:szCs w:val="20"/>
                    </w:rPr>
                    <w:t>厂界内</w:t>
                  </w:r>
                </w:p>
              </w:tc>
              <w:tc>
                <w:tcPr>
                  <w:tcW w:w="918" w:type="pct"/>
                  <w:vMerge w:val="restart"/>
                  <w:vAlign w:val="center"/>
                </w:tcPr>
                <w:p w14:paraId="2ECE7CE9">
                  <w:pPr>
                    <w:widowControl/>
                    <w:jc w:val="center"/>
                    <w:rPr>
                      <w:kern w:val="0"/>
                      <w:szCs w:val="21"/>
                    </w:rPr>
                  </w:pPr>
                  <w:r>
                    <w:rPr>
                      <w:kern w:val="0"/>
                      <w:szCs w:val="21"/>
                    </w:rPr>
                    <w:t>非甲烷总烃</w:t>
                  </w:r>
                </w:p>
              </w:tc>
              <w:tc>
                <w:tcPr>
                  <w:tcW w:w="828" w:type="pct"/>
                  <w:vMerge w:val="restart"/>
                  <w:vAlign w:val="center"/>
                </w:tcPr>
                <w:p w14:paraId="429ABCA1">
                  <w:pPr>
                    <w:widowControl/>
                    <w:jc w:val="center"/>
                    <w:rPr>
                      <w:kern w:val="0"/>
                      <w:szCs w:val="21"/>
                    </w:rPr>
                  </w:pPr>
                  <w:r>
                    <w:rPr>
                      <w:kern w:val="0"/>
                      <w:szCs w:val="21"/>
                    </w:rPr>
                    <w:t>6</w:t>
                  </w:r>
                </w:p>
              </w:tc>
              <w:tc>
                <w:tcPr>
                  <w:tcW w:w="1196" w:type="pct"/>
                  <w:vAlign w:val="center"/>
                </w:tcPr>
                <w:p w14:paraId="454338FD">
                  <w:pPr>
                    <w:widowControl/>
                    <w:jc w:val="center"/>
                    <w:rPr>
                      <w:kern w:val="0"/>
                      <w:szCs w:val="21"/>
                    </w:rPr>
                  </w:pPr>
                  <w:r>
                    <w:rPr>
                      <w:kern w:val="0"/>
                      <w:szCs w:val="21"/>
                    </w:rPr>
                    <w:t>纺丝车间门外1</w:t>
                  </w:r>
                </w:p>
              </w:tc>
              <w:tc>
                <w:tcPr>
                  <w:tcW w:w="1541" w:type="pct"/>
                  <w:vAlign w:val="center"/>
                </w:tcPr>
                <w:p w14:paraId="3EEE2D35">
                  <w:pPr>
                    <w:widowControl/>
                    <w:jc w:val="center"/>
                    <w:rPr>
                      <w:kern w:val="0"/>
                      <w:szCs w:val="21"/>
                    </w:rPr>
                  </w:pPr>
                  <w:r>
                    <w:rPr>
                      <w:kern w:val="0"/>
                      <w:szCs w:val="21"/>
                    </w:rPr>
                    <w:t>1.65</w:t>
                  </w:r>
                </w:p>
              </w:tc>
            </w:tr>
            <w:tr w14:paraId="6F4D17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vAlign w:val="center"/>
                </w:tcPr>
                <w:p w14:paraId="5B9B7726">
                  <w:pPr>
                    <w:widowControl/>
                    <w:jc w:val="left"/>
                    <w:rPr>
                      <w:kern w:val="0"/>
                      <w:sz w:val="20"/>
                      <w:szCs w:val="20"/>
                    </w:rPr>
                  </w:pPr>
                </w:p>
              </w:tc>
              <w:tc>
                <w:tcPr>
                  <w:tcW w:w="918" w:type="pct"/>
                  <w:vMerge w:val="continue"/>
                  <w:vAlign w:val="center"/>
                </w:tcPr>
                <w:p w14:paraId="7636C597">
                  <w:pPr>
                    <w:widowControl/>
                    <w:jc w:val="left"/>
                    <w:rPr>
                      <w:kern w:val="0"/>
                      <w:szCs w:val="21"/>
                    </w:rPr>
                  </w:pPr>
                </w:p>
              </w:tc>
              <w:tc>
                <w:tcPr>
                  <w:tcW w:w="828" w:type="pct"/>
                  <w:vMerge w:val="continue"/>
                  <w:vAlign w:val="center"/>
                </w:tcPr>
                <w:p w14:paraId="2E473B6D">
                  <w:pPr>
                    <w:widowControl/>
                    <w:jc w:val="left"/>
                    <w:rPr>
                      <w:kern w:val="0"/>
                      <w:szCs w:val="21"/>
                    </w:rPr>
                  </w:pPr>
                </w:p>
              </w:tc>
              <w:tc>
                <w:tcPr>
                  <w:tcW w:w="1196" w:type="pct"/>
                  <w:vAlign w:val="center"/>
                </w:tcPr>
                <w:p w14:paraId="7DBF8AF4">
                  <w:pPr>
                    <w:widowControl/>
                    <w:jc w:val="center"/>
                    <w:rPr>
                      <w:kern w:val="0"/>
                      <w:szCs w:val="21"/>
                    </w:rPr>
                  </w:pPr>
                  <w:r>
                    <w:rPr>
                      <w:kern w:val="0"/>
                      <w:szCs w:val="21"/>
                    </w:rPr>
                    <w:t>罐区1G10</w:t>
                  </w:r>
                </w:p>
              </w:tc>
              <w:tc>
                <w:tcPr>
                  <w:tcW w:w="1541" w:type="pct"/>
                  <w:vAlign w:val="center"/>
                </w:tcPr>
                <w:p w14:paraId="3842A1FC">
                  <w:pPr>
                    <w:widowControl/>
                    <w:jc w:val="center"/>
                    <w:rPr>
                      <w:kern w:val="0"/>
                      <w:szCs w:val="21"/>
                    </w:rPr>
                  </w:pPr>
                  <w:r>
                    <w:rPr>
                      <w:kern w:val="0"/>
                      <w:szCs w:val="21"/>
                    </w:rPr>
                    <w:t>0.52</w:t>
                  </w:r>
                </w:p>
              </w:tc>
            </w:tr>
            <w:tr w14:paraId="1E8A04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vAlign w:val="center"/>
                </w:tcPr>
                <w:p w14:paraId="7B871ECE">
                  <w:pPr>
                    <w:widowControl/>
                    <w:jc w:val="left"/>
                    <w:rPr>
                      <w:kern w:val="0"/>
                      <w:sz w:val="20"/>
                      <w:szCs w:val="20"/>
                    </w:rPr>
                  </w:pPr>
                </w:p>
              </w:tc>
              <w:tc>
                <w:tcPr>
                  <w:tcW w:w="918" w:type="pct"/>
                  <w:vMerge w:val="continue"/>
                  <w:vAlign w:val="center"/>
                </w:tcPr>
                <w:p w14:paraId="09B5D022">
                  <w:pPr>
                    <w:widowControl/>
                    <w:jc w:val="left"/>
                    <w:rPr>
                      <w:kern w:val="0"/>
                      <w:szCs w:val="21"/>
                    </w:rPr>
                  </w:pPr>
                </w:p>
              </w:tc>
              <w:tc>
                <w:tcPr>
                  <w:tcW w:w="828" w:type="pct"/>
                  <w:vMerge w:val="continue"/>
                  <w:vAlign w:val="center"/>
                </w:tcPr>
                <w:p w14:paraId="1EFE4F3E">
                  <w:pPr>
                    <w:widowControl/>
                    <w:jc w:val="left"/>
                    <w:rPr>
                      <w:kern w:val="0"/>
                      <w:szCs w:val="21"/>
                    </w:rPr>
                  </w:pPr>
                </w:p>
              </w:tc>
              <w:tc>
                <w:tcPr>
                  <w:tcW w:w="1196" w:type="pct"/>
                  <w:vAlign w:val="center"/>
                </w:tcPr>
                <w:p w14:paraId="1D32BB6B">
                  <w:pPr>
                    <w:widowControl/>
                    <w:jc w:val="center"/>
                    <w:rPr>
                      <w:kern w:val="0"/>
                      <w:szCs w:val="21"/>
                    </w:rPr>
                  </w:pPr>
                  <w:r>
                    <w:rPr>
                      <w:kern w:val="0"/>
                      <w:szCs w:val="21"/>
                    </w:rPr>
                    <w:t>罐区1G11</w:t>
                  </w:r>
                </w:p>
              </w:tc>
              <w:tc>
                <w:tcPr>
                  <w:tcW w:w="1541" w:type="pct"/>
                  <w:vAlign w:val="center"/>
                </w:tcPr>
                <w:p w14:paraId="3E4CACB2">
                  <w:pPr>
                    <w:widowControl/>
                    <w:jc w:val="center"/>
                    <w:rPr>
                      <w:kern w:val="0"/>
                      <w:szCs w:val="21"/>
                    </w:rPr>
                  </w:pPr>
                  <w:r>
                    <w:rPr>
                      <w:kern w:val="0"/>
                      <w:szCs w:val="21"/>
                    </w:rPr>
                    <w:t>1.11</w:t>
                  </w:r>
                </w:p>
              </w:tc>
            </w:tr>
            <w:tr w14:paraId="53B4DB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restart"/>
                  <w:vAlign w:val="center"/>
                </w:tcPr>
                <w:p w14:paraId="2FE23CC9">
                  <w:pPr>
                    <w:widowControl/>
                    <w:jc w:val="center"/>
                    <w:rPr>
                      <w:kern w:val="0"/>
                      <w:szCs w:val="21"/>
                    </w:rPr>
                  </w:pPr>
                  <w:r>
                    <w:rPr>
                      <w:kern w:val="0"/>
                      <w:szCs w:val="21"/>
                    </w:rPr>
                    <w:t>厂界</w:t>
                  </w:r>
                </w:p>
              </w:tc>
              <w:tc>
                <w:tcPr>
                  <w:tcW w:w="918" w:type="pct"/>
                  <w:vMerge w:val="restart"/>
                  <w:vAlign w:val="center"/>
                </w:tcPr>
                <w:p w14:paraId="1542BFFE">
                  <w:pPr>
                    <w:widowControl/>
                    <w:jc w:val="center"/>
                    <w:rPr>
                      <w:kern w:val="0"/>
                      <w:szCs w:val="21"/>
                    </w:rPr>
                  </w:pPr>
                  <w:r>
                    <w:rPr>
                      <w:kern w:val="0"/>
                      <w:szCs w:val="21"/>
                    </w:rPr>
                    <w:t>氨（氨气）</w:t>
                  </w:r>
                </w:p>
              </w:tc>
              <w:tc>
                <w:tcPr>
                  <w:tcW w:w="828" w:type="pct"/>
                  <w:vMerge w:val="restart"/>
                  <w:vAlign w:val="center"/>
                </w:tcPr>
                <w:p w14:paraId="3CCC2600">
                  <w:pPr>
                    <w:widowControl/>
                    <w:jc w:val="center"/>
                    <w:rPr>
                      <w:kern w:val="0"/>
                      <w:szCs w:val="21"/>
                    </w:rPr>
                  </w:pPr>
                  <w:r>
                    <w:rPr>
                      <w:kern w:val="0"/>
                      <w:szCs w:val="21"/>
                    </w:rPr>
                    <w:t>1.5</w:t>
                  </w:r>
                </w:p>
              </w:tc>
              <w:tc>
                <w:tcPr>
                  <w:tcW w:w="1196" w:type="pct"/>
                  <w:vAlign w:val="center"/>
                </w:tcPr>
                <w:p w14:paraId="7EDAA6B6">
                  <w:pPr>
                    <w:widowControl/>
                    <w:jc w:val="center"/>
                    <w:rPr>
                      <w:kern w:val="0"/>
                      <w:szCs w:val="21"/>
                    </w:rPr>
                  </w:pPr>
                  <w:r>
                    <w:rPr>
                      <w:kern w:val="0"/>
                      <w:szCs w:val="21"/>
                    </w:rPr>
                    <w:t>上风向 G1</w:t>
                  </w:r>
                </w:p>
              </w:tc>
              <w:tc>
                <w:tcPr>
                  <w:tcW w:w="1541" w:type="pct"/>
                  <w:vAlign w:val="center"/>
                </w:tcPr>
                <w:p w14:paraId="253A96B8">
                  <w:pPr>
                    <w:widowControl/>
                    <w:jc w:val="center"/>
                    <w:rPr>
                      <w:kern w:val="0"/>
                      <w:szCs w:val="21"/>
                    </w:rPr>
                  </w:pPr>
                  <w:r>
                    <w:rPr>
                      <w:kern w:val="0"/>
                      <w:szCs w:val="21"/>
                    </w:rPr>
                    <w:t>0.22</w:t>
                  </w:r>
                </w:p>
              </w:tc>
            </w:tr>
            <w:tr w14:paraId="238E03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vAlign w:val="center"/>
                </w:tcPr>
                <w:p w14:paraId="5C51A7A1">
                  <w:pPr>
                    <w:widowControl/>
                    <w:jc w:val="left"/>
                    <w:rPr>
                      <w:kern w:val="0"/>
                      <w:szCs w:val="21"/>
                    </w:rPr>
                  </w:pPr>
                </w:p>
              </w:tc>
              <w:tc>
                <w:tcPr>
                  <w:tcW w:w="918" w:type="pct"/>
                  <w:vMerge w:val="continue"/>
                  <w:vAlign w:val="center"/>
                </w:tcPr>
                <w:p w14:paraId="4398A195">
                  <w:pPr>
                    <w:widowControl/>
                    <w:jc w:val="left"/>
                    <w:rPr>
                      <w:kern w:val="0"/>
                      <w:szCs w:val="21"/>
                    </w:rPr>
                  </w:pPr>
                </w:p>
              </w:tc>
              <w:tc>
                <w:tcPr>
                  <w:tcW w:w="828" w:type="pct"/>
                  <w:vMerge w:val="continue"/>
                  <w:vAlign w:val="center"/>
                </w:tcPr>
                <w:p w14:paraId="517B9FA7">
                  <w:pPr>
                    <w:widowControl/>
                    <w:jc w:val="left"/>
                    <w:rPr>
                      <w:kern w:val="0"/>
                      <w:szCs w:val="21"/>
                    </w:rPr>
                  </w:pPr>
                </w:p>
              </w:tc>
              <w:tc>
                <w:tcPr>
                  <w:tcW w:w="1196" w:type="pct"/>
                  <w:vAlign w:val="center"/>
                </w:tcPr>
                <w:p w14:paraId="0EA8B14C">
                  <w:pPr>
                    <w:widowControl/>
                    <w:jc w:val="center"/>
                    <w:rPr>
                      <w:kern w:val="0"/>
                      <w:szCs w:val="21"/>
                    </w:rPr>
                  </w:pPr>
                  <w:r>
                    <w:rPr>
                      <w:kern w:val="0"/>
                      <w:szCs w:val="21"/>
                    </w:rPr>
                    <w:t>下风向 G2</w:t>
                  </w:r>
                </w:p>
              </w:tc>
              <w:tc>
                <w:tcPr>
                  <w:tcW w:w="1541" w:type="pct"/>
                  <w:vAlign w:val="center"/>
                </w:tcPr>
                <w:p w14:paraId="78A66C19">
                  <w:pPr>
                    <w:widowControl/>
                    <w:jc w:val="center"/>
                    <w:rPr>
                      <w:kern w:val="0"/>
                      <w:szCs w:val="21"/>
                    </w:rPr>
                  </w:pPr>
                  <w:r>
                    <w:rPr>
                      <w:kern w:val="0"/>
                      <w:szCs w:val="21"/>
                    </w:rPr>
                    <w:t>0.68</w:t>
                  </w:r>
                </w:p>
              </w:tc>
            </w:tr>
            <w:tr w14:paraId="516CB6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vAlign w:val="center"/>
                </w:tcPr>
                <w:p w14:paraId="1A35A287">
                  <w:pPr>
                    <w:widowControl/>
                    <w:jc w:val="left"/>
                    <w:rPr>
                      <w:kern w:val="0"/>
                      <w:szCs w:val="21"/>
                    </w:rPr>
                  </w:pPr>
                </w:p>
              </w:tc>
              <w:tc>
                <w:tcPr>
                  <w:tcW w:w="918" w:type="pct"/>
                  <w:vMerge w:val="continue"/>
                  <w:vAlign w:val="center"/>
                </w:tcPr>
                <w:p w14:paraId="16A8C599">
                  <w:pPr>
                    <w:widowControl/>
                    <w:jc w:val="left"/>
                    <w:rPr>
                      <w:kern w:val="0"/>
                      <w:szCs w:val="21"/>
                    </w:rPr>
                  </w:pPr>
                </w:p>
              </w:tc>
              <w:tc>
                <w:tcPr>
                  <w:tcW w:w="828" w:type="pct"/>
                  <w:vMerge w:val="continue"/>
                  <w:vAlign w:val="center"/>
                </w:tcPr>
                <w:p w14:paraId="63B14D08">
                  <w:pPr>
                    <w:widowControl/>
                    <w:jc w:val="left"/>
                    <w:rPr>
                      <w:kern w:val="0"/>
                      <w:szCs w:val="21"/>
                    </w:rPr>
                  </w:pPr>
                </w:p>
              </w:tc>
              <w:tc>
                <w:tcPr>
                  <w:tcW w:w="1196" w:type="pct"/>
                  <w:vAlign w:val="center"/>
                </w:tcPr>
                <w:p w14:paraId="23E50C91">
                  <w:pPr>
                    <w:widowControl/>
                    <w:jc w:val="center"/>
                    <w:rPr>
                      <w:kern w:val="0"/>
                      <w:szCs w:val="21"/>
                    </w:rPr>
                  </w:pPr>
                  <w:r>
                    <w:rPr>
                      <w:kern w:val="0"/>
                      <w:szCs w:val="21"/>
                    </w:rPr>
                    <w:t>上风向 G3</w:t>
                  </w:r>
                </w:p>
              </w:tc>
              <w:tc>
                <w:tcPr>
                  <w:tcW w:w="1541" w:type="pct"/>
                  <w:vAlign w:val="center"/>
                </w:tcPr>
                <w:p w14:paraId="251FD64B">
                  <w:pPr>
                    <w:widowControl/>
                    <w:jc w:val="center"/>
                    <w:rPr>
                      <w:kern w:val="0"/>
                      <w:szCs w:val="21"/>
                    </w:rPr>
                  </w:pPr>
                  <w:r>
                    <w:rPr>
                      <w:kern w:val="0"/>
                      <w:szCs w:val="21"/>
                    </w:rPr>
                    <w:t>0.72</w:t>
                  </w:r>
                </w:p>
              </w:tc>
            </w:tr>
            <w:tr w14:paraId="75A282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vAlign w:val="center"/>
                </w:tcPr>
                <w:p w14:paraId="52B112C8">
                  <w:pPr>
                    <w:widowControl/>
                    <w:jc w:val="left"/>
                    <w:rPr>
                      <w:kern w:val="0"/>
                      <w:szCs w:val="21"/>
                    </w:rPr>
                  </w:pPr>
                </w:p>
              </w:tc>
              <w:tc>
                <w:tcPr>
                  <w:tcW w:w="918" w:type="pct"/>
                  <w:vMerge w:val="continue"/>
                  <w:vAlign w:val="center"/>
                </w:tcPr>
                <w:p w14:paraId="6E2A6735">
                  <w:pPr>
                    <w:widowControl/>
                    <w:jc w:val="left"/>
                    <w:rPr>
                      <w:kern w:val="0"/>
                      <w:szCs w:val="21"/>
                    </w:rPr>
                  </w:pPr>
                </w:p>
              </w:tc>
              <w:tc>
                <w:tcPr>
                  <w:tcW w:w="828" w:type="pct"/>
                  <w:vMerge w:val="continue"/>
                  <w:vAlign w:val="center"/>
                </w:tcPr>
                <w:p w14:paraId="6BC65350">
                  <w:pPr>
                    <w:widowControl/>
                    <w:jc w:val="left"/>
                    <w:rPr>
                      <w:kern w:val="0"/>
                      <w:szCs w:val="21"/>
                    </w:rPr>
                  </w:pPr>
                </w:p>
              </w:tc>
              <w:tc>
                <w:tcPr>
                  <w:tcW w:w="1196" w:type="pct"/>
                  <w:vAlign w:val="center"/>
                </w:tcPr>
                <w:p w14:paraId="32771608">
                  <w:pPr>
                    <w:widowControl/>
                    <w:jc w:val="center"/>
                    <w:rPr>
                      <w:kern w:val="0"/>
                      <w:szCs w:val="21"/>
                    </w:rPr>
                  </w:pPr>
                  <w:r>
                    <w:rPr>
                      <w:kern w:val="0"/>
                      <w:szCs w:val="21"/>
                    </w:rPr>
                    <w:t>下风向 G4</w:t>
                  </w:r>
                </w:p>
              </w:tc>
              <w:tc>
                <w:tcPr>
                  <w:tcW w:w="1541" w:type="pct"/>
                  <w:vAlign w:val="center"/>
                </w:tcPr>
                <w:p w14:paraId="1D94EF06">
                  <w:pPr>
                    <w:widowControl/>
                    <w:jc w:val="center"/>
                    <w:rPr>
                      <w:kern w:val="0"/>
                      <w:szCs w:val="21"/>
                    </w:rPr>
                  </w:pPr>
                  <w:r>
                    <w:rPr>
                      <w:kern w:val="0"/>
                      <w:szCs w:val="21"/>
                    </w:rPr>
                    <w:t>0.6</w:t>
                  </w:r>
                </w:p>
              </w:tc>
            </w:tr>
            <w:tr w14:paraId="49403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vAlign w:val="center"/>
                </w:tcPr>
                <w:p w14:paraId="7684F44A">
                  <w:pPr>
                    <w:widowControl/>
                    <w:jc w:val="left"/>
                    <w:rPr>
                      <w:kern w:val="0"/>
                      <w:szCs w:val="21"/>
                    </w:rPr>
                  </w:pPr>
                </w:p>
              </w:tc>
              <w:tc>
                <w:tcPr>
                  <w:tcW w:w="918" w:type="pct"/>
                  <w:vMerge w:val="restart"/>
                  <w:vAlign w:val="center"/>
                </w:tcPr>
                <w:p w14:paraId="659CBE61">
                  <w:pPr>
                    <w:widowControl/>
                    <w:jc w:val="center"/>
                    <w:rPr>
                      <w:kern w:val="0"/>
                      <w:szCs w:val="21"/>
                    </w:rPr>
                  </w:pPr>
                  <w:r>
                    <w:rPr>
                      <w:kern w:val="0"/>
                      <w:szCs w:val="21"/>
                    </w:rPr>
                    <w:t>汞及其化合物</w:t>
                  </w:r>
                </w:p>
              </w:tc>
              <w:tc>
                <w:tcPr>
                  <w:tcW w:w="828" w:type="pct"/>
                  <w:vMerge w:val="restart"/>
                  <w:vAlign w:val="center"/>
                </w:tcPr>
                <w:p w14:paraId="4940870C">
                  <w:pPr>
                    <w:widowControl/>
                    <w:jc w:val="center"/>
                    <w:rPr>
                      <w:kern w:val="0"/>
                      <w:szCs w:val="21"/>
                    </w:rPr>
                  </w:pPr>
                  <w:r>
                    <w:rPr>
                      <w:kern w:val="0"/>
                      <w:szCs w:val="21"/>
                    </w:rPr>
                    <w:t>0.0003</w:t>
                  </w:r>
                </w:p>
              </w:tc>
              <w:tc>
                <w:tcPr>
                  <w:tcW w:w="1196" w:type="pct"/>
                  <w:vAlign w:val="center"/>
                </w:tcPr>
                <w:p w14:paraId="4B89C235">
                  <w:pPr>
                    <w:widowControl/>
                    <w:jc w:val="center"/>
                    <w:rPr>
                      <w:kern w:val="0"/>
                      <w:szCs w:val="21"/>
                    </w:rPr>
                  </w:pPr>
                  <w:r>
                    <w:rPr>
                      <w:kern w:val="0"/>
                      <w:szCs w:val="21"/>
                    </w:rPr>
                    <w:t>上风向 G1</w:t>
                  </w:r>
                </w:p>
              </w:tc>
              <w:tc>
                <w:tcPr>
                  <w:tcW w:w="1541" w:type="pct"/>
                  <w:vAlign w:val="center"/>
                </w:tcPr>
                <w:p w14:paraId="7EEC45D7">
                  <w:pPr>
                    <w:widowControl/>
                    <w:jc w:val="center"/>
                    <w:rPr>
                      <w:kern w:val="0"/>
                      <w:szCs w:val="21"/>
                    </w:rPr>
                  </w:pPr>
                  <w:r>
                    <w:rPr>
                      <w:kern w:val="0"/>
                      <w:szCs w:val="21"/>
                    </w:rPr>
                    <w:t>0</w:t>
                  </w:r>
                </w:p>
              </w:tc>
            </w:tr>
            <w:tr w14:paraId="7F410F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vAlign w:val="center"/>
                </w:tcPr>
                <w:p w14:paraId="4001A7A0">
                  <w:pPr>
                    <w:widowControl/>
                    <w:jc w:val="left"/>
                    <w:rPr>
                      <w:kern w:val="0"/>
                      <w:szCs w:val="21"/>
                    </w:rPr>
                  </w:pPr>
                </w:p>
              </w:tc>
              <w:tc>
                <w:tcPr>
                  <w:tcW w:w="918" w:type="pct"/>
                  <w:vMerge w:val="continue"/>
                  <w:vAlign w:val="center"/>
                </w:tcPr>
                <w:p w14:paraId="1A887719">
                  <w:pPr>
                    <w:widowControl/>
                    <w:jc w:val="left"/>
                    <w:rPr>
                      <w:kern w:val="0"/>
                      <w:szCs w:val="21"/>
                    </w:rPr>
                  </w:pPr>
                </w:p>
              </w:tc>
              <w:tc>
                <w:tcPr>
                  <w:tcW w:w="828" w:type="pct"/>
                  <w:vMerge w:val="continue"/>
                  <w:vAlign w:val="center"/>
                </w:tcPr>
                <w:p w14:paraId="004DC8FC">
                  <w:pPr>
                    <w:widowControl/>
                    <w:jc w:val="left"/>
                    <w:rPr>
                      <w:kern w:val="0"/>
                      <w:szCs w:val="21"/>
                    </w:rPr>
                  </w:pPr>
                </w:p>
              </w:tc>
              <w:tc>
                <w:tcPr>
                  <w:tcW w:w="1196" w:type="pct"/>
                  <w:vAlign w:val="center"/>
                </w:tcPr>
                <w:p w14:paraId="4324294A">
                  <w:pPr>
                    <w:widowControl/>
                    <w:jc w:val="center"/>
                    <w:rPr>
                      <w:kern w:val="0"/>
                      <w:szCs w:val="21"/>
                    </w:rPr>
                  </w:pPr>
                  <w:r>
                    <w:rPr>
                      <w:kern w:val="0"/>
                      <w:szCs w:val="21"/>
                    </w:rPr>
                    <w:t>下风向 G2</w:t>
                  </w:r>
                </w:p>
              </w:tc>
              <w:tc>
                <w:tcPr>
                  <w:tcW w:w="1541" w:type="pct"/>
                  <w:vAlign w:val="center"/>
                </w:tcPr>
                <w:p w14:paraId="5D50C922">
                  <w:pPr>
                    <w:widowControl/>
                    <w:jc w:val="center"/>
                    <w:rPr>
                      <w:kern w:val="0"/>
                      <w:szCs w:val="21"/>
                    </w:rPr>
                  </w:pPr>
                  <w:r>
                    <w:rPr>
                      <w:kern w:val="0"/>
                      <w:szCs w:val="21"/>
                    </w:rPr>
                    <w:t>0.000006</w:t>
                  </w:r>
                </w:p>
              </w:tc>
            </w:tr>
            <w:tr w14:paraId="083996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vAlign w:val="center"/>
                </w:tcPr>
                <w:p w14:paraId="7E0F59AA">
                  <w:pPr>
                    <w:widowControl/>
                    <w:jc w:val="left"/>
                    <w:rPr>
                      <w:kern w:val="0"/>
                      <w:szCs w:val="21"/>
                    </w:rPr>
                  </w:pPr>
                </w:p>
              </w:tc>
              <w:tc>
                <w:tcPr>
                  <w:tcW w:w="918" w:type="pct"/>
                  <w:vMerge w:val="continue"/>
                  <w:vAlign w:val="center"/>
                </w:tcPr>
                <w:p w14:paraId="2DEFB93B">
                  <w:pPr>
                    <w:widowControl/>
                    <w:jc w:val="left"/>
                    <w:rPr>
                      <w:kern w:val="0"/>
                      <w:szCs w:val="21"/>
                    </w:rPr>
                  </w:pPr>
                </w:p>
              </w:tc>
              <w:tc>
                <w:tcPr>
                  <w:tcW w:w="828" w:type="pct"/>
                  <w:vMerge w:val="continue"/>
                  <w:vAlign w:val="center"/>
                </w:tcPr>
                <w:p w14:paraId="60A1EA9E">
                  <w:pPr>
                    <w:widowControl/>
                    <w:jc w:val="left"/>
                    <w:rPr>
                      <w:kern w:val="0"/>
                      <w:szCs w:val="21"/>
                    </w:rPr>
                  </w:pPr>
                </w:p>
              </w:tc>
              <w:tc>
                <w:tcPr>
                  <w:tcW w:w="1196" w:type="pct"/>
                  <w:vAlign w:val="center"/>
                </w:tcPr>
                <w:p w14:paraId="3EB2959A">
                  <w:pPr>
                    <w:widowControl/>
                    <w:jc w:val="center"/>
                    <w:rPr>
                      <w:kern w:val="0"/>
                      <w:szCs w:val="21"/>
                    </w:rPr>
                  </w:pPr>
                  <w:r>
                    <w:rPr>
                      <w:kern w:val="0"/>
                      <w:szCs w:val="21"/>
                    </w:rPr>
                    <w:t>上风向 G3</w:t>
                  </w:r>
                </w:p>
              </w:tc>
              <w:tc>
                <w:tcPr>
                  <w:tcW w:w="1541" w:type="pct"/>
                  <w:vAlign w:val="center"/>
                </w:tcPr>
                <w:p w14:paraId="6422057E">
                  <w:pPr>
                    <w:widowControl/>
                    <w:jc w:val="center"/>
                    <w:rPr>
                      <w:kern w:val="0"/>
                      <w:szCs w:val="21"/>
                    </w:rPr>
                  </w:pPr>
                  <w:r>
                    <w:rPr>
                      <w:kern w:val="0"/>
                      <w:szCs w:val="21"/>
                    </w:rPr>
                    <w:t>0.000006</w:t>
                  </w:r>
                </w:p>
              </w:tc>
            </w:tr>
            <w:tr w14:paraId="4D3968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vAlign w:val="center"/>
                </w:tcPr>
                <w:p w14:paraId="24584340">
                  <w:pPr>
                    <w:widowControl/>
                    <w:jc w:val="left"/>
                    <w:rPr>
                      <w:kern w:val="0"/>
                      <w:szCs w:val="21"/>
                    </w:rPr>
                  </w:pPr>
                </w:p>
              </w:tc>
              <w:tc>
                <w:tcPr>
                  <w:tcW w:w="918" w:type="pct"/>
                  <w:vMerge w:val="continue"/>
                  <w:vAlign w:val="center"/>
                </w:tcPr>
                <w:p w14:paraId="6918B461">
                  <w:pPr>
                    <w:widowControl/>
                    <w:jc w:val="left"/>
                    <w:rPr>
                      <w:kern w:val="0"/>
                      <w:szCs w:val="21"/>
                    </w:rPr>
                  </w:pPr>
                </w:p>
              </w:tc>
              <w:tc>
                <w:tcPr>
                  <w:tcW w:w="828" w:type="pct"/>
                  <w:vMerge w:val="continue"/>
                  <w:vAlign w:val="center"/>
                </w:tcPr>
                <w:p w14:paraId="73CCEE0A">
                  <w:pPr>
                    <w:widowControl/>
                    <w:jc w:val="left"/>
                    <w:rPr>
                      <w:kern w:val="0"/>
                      <w:szCs w:val="21"/>
                    </w:rPr>
                  </w:pPr>
                </w:p>
              </w:tc>
              <w:tc>
                <w:tcPr>
                  <w:tcW w:w="1196" w:type="pct"/>
                  <w:vAlign w:val="center"/>
                </w:tcPr>
                <w:p w14:paraId="17D4D8B1">
                  <w:pPr>
                    <w:widowControl/>
                    <w:jc w:val="center"/>
                    <w:rPr>
                      <w:kern w:val="0"/>
                      <w:szCs w:val="21"/>
                    </w:rPr>
                  </w:pPr>
                  <w:r>
                    <w:rPr>
                      <w:kern w:val="0"/>
                      <w:szCs w:val="21"/>
                    </w:rPr>
                    <w:t>下风向 G4</w:t>
                  </w:r>
                </w:p>
              </w:tc>
              <w:tc>
                <w:tcPr>
                  <w:tcW w:w="1541" w:type="pct"/>
                  <w:vAlign w:val="center"/>
                </w:tcPr>
                <w:p w14:paraId="5B89B6DF">
                  <w:pPr>
                    <w:widowControl/>
                    <w:jc w:val="center"/>
                    <w:rPr>
                      <w:kern w:val="0"/>
                      <w:szCs w:val="21"/>
                    </w:rPr>
                  </w:pPr>
                  <w:r>
                    <w:rPr>
                      <w:kern w:val="0"/>
                      <w:szCs w:val="21"/>
                    </w:rPr>
                    <w:t>0.000009</w:t>
                  </w:r>
                </w:p>
              </w:tc>
            </w:tr>
            <w:tr w14:paraId="7B0884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vAlign w:val="center"/>
                </w:tcPr>
                <w:p w14:paraId="2E5E2DB0">
                  <w:pPr>
                    <w:widowControl/>
                    <w:jc w:val="left"/>
                    <w:rPr>
                      <w:kern w:val="0"/>
                      <w:szCs w:val="21"/>
                    </w:rPr>
                  </w:pPr>
                </w:p>
              </w:tc>
              <w:tc>
                <w:tcPr>
                  <w:tcW w:w="918" w:type="pct"/>
                  <w:vMerge w:val="restart"/>
                  <w:vAlign w:val="center"/>
                </w:tcPr>
                <w:p w14:paraId="6E0B7A46">
                  <w:pPr>
                    <w:widowControl/>
                    <w:jc w:val="center"/>
                    <w:rPr>
                      <w:kern w:val="0"/>
                      <w:szCs w:val="21"/>
                    </w:rPr>
                  </w:pPr>
                  <w:r>
                    <w:rPr>
                      <w:kern w:val="0"/>
                      <w:szCs w:val="21"/>
                    </w:rPr>
                    <w:t>硫化氢</w:t>
                  </w:r>
                </w:p>
              </w:tc>
              <w:tc>
                <w:tcPr>
                  <w:tcW w:w="828" w:type="pct"/>
                  <w:vMerge w:val="restart"/>
                  <w:vAlign w:val="center"/>
                </w:tcPr>
                <w:p w14:paraId="495EB841">
                  <w:pPr>
                    <w:widowControl/>
                    <w:jc w:val="center"/>
                    <w:rPr>
                      <w:kern w:val="0"/>
                      <w:szCs w:val="21"/>
                    </w:rPr>
                  </w:pPr>
                  <w:r>
                    <w:rPr>
                      <w:kern w:val="0"/>
                      <w:szCs w:val="21"/>
                    </w:rPr>
                    <w:t>0.06</w:t>
                  </w:r>
                </w:p>
              </w:tc>
              <w:tc>
                <w:tcPr>
                  <w:tcW w:w="1196" w:type="pct"/>
                  <w:vAlign w:val="center"/>
                </w:tcPr>
                <w:p w14:paraId="51CF73F2">
                  <w:pPr>
                    <w:widowControl/>
                    <w:jc w:val="center"/>
                    <w:rPr>
                      <w:kern w:val="0"/>
                      <w:szCs w:val="21"/>
                    </w:rPr>
                  </w:pPr>
                  <w:r>
                    <w:rPr>
                      <w:kern w:val="0"/>
                      <w:szCs w:val="21"/>
                    </w:rPr>
                    <w:t>上风向 G1</w:t>
                  </w:r>
                </w:p>
              </w:tc>
              <w:tc>
                <w:tcPr>
                  <w:tcW w:w="1541" w:type="pct"/>
                  <w:vAlign w:val="center"/>
                </w:tcPr>
                <w:p w14:paraId="1E9FFF0E">
                  <w:pPr>
                    <w:widowControl/>
                    <w:jc w:val="center"/>
                    <w:rPr>
                      <w:kern w:val="0"/>
                      <w:szCs w:val="21"/>
                    </w:rPr>
                  </w:pPr>
                  <w:r>
                    <w:rPr>
                      <w:kern w:val="0"/>
                      <w:szCs w:val="21"/>
                    </w:rPr>
                    <w:t>0.003</w:t>
                  </w:r>
                </w:p>
              </w:tc>
            </w:tr>
            <w:tr w14:paraId="45306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vAlign w:val="center"/>
                </w:tcPr>
                <w:p w14:paraId="10CBD509">
                  <w:pPr>
                    <w:widowControl/>
                    <w:jc w:val="left"/>
                    <w:rPr>
                      <w:kern w:val="0"/>
                      <w:szCs w:val="21"/>
                    </w:rPr>
                  </w:pPr>
                </w:p>
              </w:tc>
              <w:tc>
                <w:tcPr>
                  <w:tcW w:w="918" w:type="pct"/>
                  <w:vMerge w:val="continue"/>
                  <w:vAlign w:val="center"/>
                </w:tcPr>
                <w:p w14:paraId="76B8728A">
                  <w:pPr>
                    <w:widowControl/>
                    <w:jc w:val="left"/>
                    <w:rPr>
                      <w:kern w:val="0"/>
                      <w:szCs w:val="21"/>
                    </w:rPr>
                  </w:pPr>
                </w:p>
              </w:tc>
              <w:tc>
                <w:tcPr>
                  <w:tcW w:w="828" w:type="pct"/>
                  <w:vMerge w:val="continue"/>
                  <w:vAlign w:val="center"/>
                </w:tcPr>
                <w:p w14:paraId="1D0F01C9">
                  <w:pPr>
                    <w:widowControl/>
                    <w:jc w:val="left"/>
                    <w:rPr>
                      <w:kern w:val="0"/>
                      <w:szCs w:val="21"/>
                    </w:rPr>
                  </w:pPr>
                </w:p>
              </w:tc>
              <w:tc>
                <w:tcPr>
                  <w:tcW w:w="1196" w:type="pct"/>
                  <w:vAlign w:val="center"/>
                </w:tcPr>
                <w:p w14:paraId="63C433FD">
                  <w:pPr>
                    <w:widowControl/>
                    <w:jc w:val="center"/>
                    <w:rPr>
                      <w:kern w:val="0"/>
                      <w:szCs w:val="21"/>
                    </w:rPr>
                  </w:pPr>
                  <w:r>
                    <w:rPr>
                      <w:kern w:val="0"/>
                      <w:szCs w:val="21"/>
                    </w:rPr>
                    <w:t>下风向 G2</w:t>
                  </w:r>
                </w:p>
              </w:tc>
              <w:tc>
                <w:tcPr>
                  <w:tcW w:w="1541" w:type="pct"/>
                  <w:vAlign w:val="center"/>
                </w:tcPr>
                <w:p w14:paraId="790B650C">
                  <w:pPr>
                    <w:widowControl/>
                    <w:jc w:val="center"/>
                    <w:rPr>
                      <w:kern w:val="0"/>
                      <w:szCs w:val="21"/>
                    </w:rPr>
                  </w:pPr>
                  <w:r>
                    <w:rPr>
                      <w:kern w:val="0"/>
                      <w:szCs w:val="21"/>
                    </w:rPr>
                    <w:t>0.005</w:t>
                  </w:r>
                </w:p>
              </w:tc>
            </w:tr>
            <w:tr w14:paraId="16D2EA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vAlign w:val="center"/>
                </w:tcPr>
                <w:p w14:paraId="6DAD2D52">
                  <w:pPr>
                    <w:widowControl/>
                    <w:jc w:val="left"/>
                    <w:rPr>
                      <w:kern w:val="0"/>
                      <w:szCs w:val="21"/>
                    </w:rPr>
                  </w:pPr>
                </w:p>
              </w:tc>
              <w:tc>
                <w:tcPr>
                  <w:tcW w:w="918" w:type="pct"/>
                  <w:vMerge w:val="continue"/>
                  <w:vAlign w:val="center"/>
                </w:tcPr>
                <w:p w14:paraId="27B08865">
                  <w:pPr>
                    <w:widowControl/>
                    <w:jc w:val="left"/>
                    <w:rPr>
                      <w:kern w:val="0"/>
                      <w:szCs w:val="21"/>
                    </w:rPr>
                  </w:pPr>
                </w:p>
              </w:tc>
              <w:tc>
                <w:tcPr>
                  <w:tcW w:w="828" w:type="pct"/>
                  <w:vMerge w:val="continue"/>
                  <w:vAlign w:val="center"/>
                </w:tcPr>
                <w:p w14:paraId="3A6D49DB">
                  <w:pPr>
                    <w:widowControl/>
                    <w:jc w:val="left"/>
                    <w:rPr>
                      <w:kern w:val="0"/>
                      <w:szCs w:val="21"/>
                    </w:rPr>
                  </w:pPr>
                </w:p>
              </w:tc>
              <w:tc>
                <w:tcPr>
                  <w:tcW w:w="1196" w:type="pct"/>
                  <w:vAlign w:val="center"/>
                </w:tcPr>
                <w:p w14:paraId="0DB7351F">
                  <w:pPr>
                    <w:widowControl/>
                    <w:jc w:val="center"/>
                    <w:rPr>
                      <w:kern w:val="0"/>
                      <w:szCs w:val="21"/>
                    </w:rPr>
                  </w:pPr>
                  <w:r>
                    <w:rPr>
                      <w:kern w:val="0"/>
                      <w:szCs w:val="21"/>
                    </w:rPr>
                    <w:t>上风向 G3</w:t>
                  </w:r>
                </w:p>
              </w:tc>
              <w:tc>
                <w:tcPr>
                  <w:tcW w:w="1541" w:type="pct"/>
                  <w:vAlign w:val="center"/>
                </w:tcPr>
                <w:p w14:paraId="487DA294">
                  <w:pPr>
                    <w:widowControl/>
                    <w:jc w:val="center"/>
                    <w:rPr>
                      <w:kern w:val="0"/>
                      <w:szCs w:val="21"/>
                    </w:rPr>
                  </w:pPr>
                  <w:r>
                    <w:rPr>
                      <w:kern w:val="0"/>
                      <w:szCs w:val="21"/>
                    </w:rPr>
                    <w:t>0.005</w:t>
                  </w:r>
                </w:p>
              </w:tc>
            </w:tr>
            <w:tr w14:paraId="39AF3B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vAlign w:val="center"/>
                </w:tcPr>
                <w:p w14:paraId="346A9A5E">
                  <w:pPr>
                    <w:widowControl/>
                    <w:jc w:val="left"/>
                    <w:rPr>
                      <w:kern w:val="0"/>
                      <w:szCs w:val="21"/>
                    </w:rPr>
                  </w:pPr>
                </w:p>
              </w:tc>
              <w:tc>
                <w:tcPr>
                  <w:tcW w:w="918" w:type="pct"/>
                  <w:vMerge w:val="continue"/>
                  <w:vAlign w:val="center"/>
                </w:tcPr>
                <w:p w14:paraId="78B0DC37">
                  <w:pPr>
                    <w:widowControl/>
                    <w:jc w:val="left"/>
                    <w:rPr>
                      <w:kern w:val="0"/>
                      <w:szCs w:val="21"/>
                    </w:rPr>
                  </w:pPr>
                </w:p>
              </w:tc>
              <w:tc>
                <w:tcPr>
                  <w:tcW w:w="828" w:type="pct"/>
                  <w:vMerge w:val="continue"/>
                  <w:vAlign w:val="center"/>
                </w:tcPr>
                <w:p w14:paraId="33FD228B">
                  <w:pPr>
                    <w:widowControl/>
                    <w:jc w:val="left"/>
                    <w:rPr>
                      <w:kern w:val="0"/>
                      <w:szCs w:val="21"/>
                    </w:rPr>
                  </w:pPr>
                </w:p>
              </w:tc>
              <w:tc>
                <w:tcPr>
                  <w:tcW w:w="1196" w:type="pct"/>
                  <w:vAlign w:val="center"/>
                </w:tcPr>
                <w:p w14:paraId="1122EC04">
                  <w:pPr>
                    <w:widowControl/>
                    <w:jc w:val="center"/>
                    <w:rPr>
                      <w:kern w:val="0"/>
                      <w:szCs w:val="21"/>
                    </w:rPr>
                  </w:pPr>
                  <w:r>
                    <w:rPr>
                      <w:kern w:val="0"/>
                      <w:szCs w:val="21"/>
                    </w:rPr>
                    <w:t>下风向 G4</w:t>
                  </w:r>
                </w:p>
              </w:tc>
              <w:tc>
                <w:tcPr>
                  <w:tcW w:w="1541" w:type="pct"/>
                  <w:vAlign w:val="center"/>
                </w:tcPr>
                <w:p w14:paraId="03C50DCE">
                  <w:pPr>
                    <w:widowControl/>
                    <w:jc w:val="center"/>
                    <w:rPr>
                      <w:kern w:val="0"/>
                      <w:szCs w:val="21"/>
                    </w:rPr>
                  </w:pPr>
                  <w:r>
                    <w:rPr>
                      <w:kern w:val="0"/>
                      <w:szCs w:val="21"/>
                    </w:rPr>
                    <w:t>0.004</w:t>
                  </w:r>
                </w:p>
              </w:tc>
            </w:tr>
            <w:tr w14:paraId="1AD643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vAlign w:val="center"/>
                </w:tcPr>
                <w:p w14:paraId="129328A3">
                  <w:pPr>
                    <w:widowControl/>
                    <w:jc w:val="left"/>
                    <w:rPr>
                      <w:kern w:val="0"/>
                      <w:szCs w:val="21"/>
                    </w:rPr>
                  </w:pPr>
                </w:p>
              </w:tc>
              <w:tc>
                <w:tcPr>
                  <w:tcW w:w="918" w:type="pct"/>
                  <w:vMerge w:val="restart"/>
                  <w:vAlign w:val="center"/>
                </w:tcPr>
                <w:p w14:paraId="328AB56E">
                  <w:pPr>
                    <w:widowControl/>
                    <w:jc w:val="center"/>
                    <w:rPr>
                      <w:kern w:val="0"/>
                      <w:szCs w:val="21"/>
                    </w:rPr>
                  </w:pPr>
                  <w:r>
                    <w:rPr>
                      <w:kern w:val="0"/>
                      <w:szCs w:val="21"/>
                    </w:rPr>
                    <w:t>臭气浓度</w:t>
                  </w:r>
                </w:p>
              </w:tc>
              <w:tc>
                <w:tcPr>
                  <w:tcW w:w="828" w:type="pct"/>
                  <w:vMerge w:val="restart"/>
                  <w:vAlign w:val="center"/>
                </w:tcPr>
                <w:p w14:paraId="0E5F09FE">
                  <w:pPr>
                    <w:widowControl/>
                    <w:jc w:val="center"/>
                    <w:rPr>
                      <w:kern w:val="0"/>
                      <w:szCs w:val="21"/>
                    </w:rPr>
                  </w:pPr>
                  <w:r>
                    <w:rPr>
                      <w:kern w:val="0"/>
                      <w:szCs w:val="21"/>
                    </w:rPr>
                    <w:t>20</w:t>
                  </w:r>
                </w:p>
              </w:tc>
              <w:tc>
                <w:tcPr>
                  <w:tcW w:w="1196" w:type="pct"/>
                  <w:vAlign w:val="center"/>
                </w:tcPr>
                <w:p w14:paraId="6F0EFE42">
                  <w:pPr>
                    <w:widowControl/>
                    <w:jc w:val="center"/>
                    <w:rPr>
                      <w:kern w:val="0"/>
                      <w:szCs w:val="21"/>
                    </w:rPr>
                  </w:pPr>
                  <w:r>
                    <w:rPr>
                      <w:kern w:val="0"/>
                      <w:szCs w:val="21"/>
                    </w:rPr>
                    <w:t>上风向 G1</w:t>
                  </w:r>
                </w:p>
              </w:tc>
              <w:tc>
                <w:tcPr>
                  <w:tcW w:w="1541" w:type="pct"/>
                  <w:vAlign w:val="center"/>
                </w:tcPr>
                <w:p w14:paraId="2D3D1187">
                  <w:pPr>
                    <w:widowControl/>
                    <w:jc w:val="center"/>
                    <w:rPr>
                      <w:kern w:val="0"/>
                      <w:szCs w:val="21"/>
                    </w:rPr>
                  </w:pPr>
                  <w:r>
                    <w:rPr>
                      <w:kern w:val="0"/>
                      <w:szCs w:val="21"/>
                    </w:rPr>
                    <w:t>小于 10</w:t>
                  </w:r>
                </w:p>
              </w:tc>
            </w:tr>
            <w:tr w14:paraId="63FD19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vAlign w:val="center"/>
                </w:tcPr>
                <w:p w14:paraId="28D84AB5">
                  <w:pPr>
                    <w:widowControl/>
                    <w:jc w:val="left"/>
                    <w:rPr>
                      <w:kern w:val="0"/>
                      <w:szCs w:val="21"/>
                    </w:rPr>
                  </w:pPr>
                </w:p>
              </w:tc>
              <w:tc>
                <w:tcPr>
                  <w:tcW w:w="918" w:type="pct"/>
                  <w:vMerge w:val="continue"/>
                  <w:vAlign w:val="center"/>
                </w:tcPr>
                <w:p w14:paraId="0CB6BF93">
                  <w:pPr>
                    <w:widowControl/>
                    <w:jc w:val="left"/>
                    <w:rPr>
                      <w:kern w:val="0"/>
                      <w:szCs w:val="21"/>
                    </w:rPr>
                  </w:pPr>
                </w:p>
              </w:tc>
              <w:tc>
                <w:tcPr>
                  <w:tcW w:w="828" w:type="pct"/>
                  <w:vMerge w:val="continue"/>
                  <w:vAlign w:val="center"/>
                </w:tcPr>
                <w:p w14:paraId="59E01842">
                  <w:pPr>
                    <w:widowControl/>
                    <w:jc w:val="left"/>
                    <w:rPr>
                      <w:kern w:val="0"/>
                      <w:szCs w:val="21"/>
                    </w:rPr>
                  </w:pPr>
                </w:p>
              </w:tc>
              <w:tc>
                <w:tcPr>
                  <w:tcW w:w="1196" w:type="pct"/>
                  <w:vAlign w:val="center"/>
                </w:tcPr>
                <w:p w14:paraId="050F7C1D">
                  <w:pPr>
                    <w:widowControl/>
                    <w:jc w:val="center"/>
                    <w:rPr>
                      <w:kern w:val="0"/>
                      <w:szCs w:val="21"/>
                    </w:rPr>
                  </w:pPr>
                  <w:r>
                    <w:rPr>
                      <w:kern w:val="0"/>
                      <w:szCs w:val="21"/>
                    </w:rPr>
                    <w:t>下风向 G2</w:t>
                  </w:r>
                </w:p>
              </w:tc>
              <w:tc>
                <w:tcPr>
                  <w:tcW w:w="1541" w:type="pct"/>
                  <w:vAlign w:val="center"/>
                </w:tcPr>
                <w:p w14:paraId="3E1919BC">
                  <w:pPr>
                    <w:widowControl/>
                    <w:jc w:val="center"/>
                    <w:rPr>
                      <w:kern w:val="0"/>
                      <w:szCs w:val="21"/>
                    </w:rPr>
                  </w:pPr>
                  <w:r>
                    <w:rPr>
                      <w:kern w:val="0"/>
                      <w:szCs w:val="21"/>
                    </w:rPr>
                    <w:t>小于 10</w:t>
                  </w:r>
                </w:p>
              </w:tc>
            </w:tr>
            <w:tr w14:paraId="6E9CE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vAlign w:val="center"/>
                </w:tcPr>
                <w:p w14:paraId="7FD321B6">
                  <w:pPr>
                    <w:widowControl/>
                    <w:jc w:val="left"/>
                    <w:rPr>
                      <w:kern w:val="0"/>
                      <w:szCs w:val="21"/>
                    </w:rPr>
                  </w:pPr>
                </w:p>
              </w:tc>
              <w:tc>
                <w:tcPr>
                  <w:tcW w:w="918" w:type="pct"/>
                  <w:vMerge w:val="continue"/>
                  <w:vAlign w:val="center"/>
                </w:tcPr>
                <w:p w14:paraId="61C14052">
                  <w:pPr>
                    <w:widowControl/>
                    <w:jc w:val="left"/>
                    <w:rPr>
                      <w:kern w:val="0"/>
                      <w:szCs w:val="21"/>
                    </w:rPr>
                  </w:pPr>
                </w:p>
              </w:tc>
              <w:tc>
                <w:tcPr>
                  <w:tcW w:w="828" w:type="pct"/>
                  <w:vMerge w:val="continue"/>
                  <w:vAlign w:val="center"/>
                </w:tcPr>
                <w:p w14:paraId="4DCD77B5">
                  <w:pPr>
                    <w:widowControl/>
                    <w:jc w:val="left"/>
                    <w:rPr>
                      <w:kern w:val="0"/>
                      <w:szCs w:val="21"/>
                    </w:rPr>
                  </w:pPr>
                </w:p>
              </w:tc>
              <w:tc>
                <w:tcPr>
                  <w:tcW w:w="1196" w:type="pct"/>
                  <w:vAlign w:val="center"/>
                </w:tcPr>
                <w:p w14:paraId="5E764680">
                  <w:pPr>
                    <w:widowControl/>
                    <w:jc w:val="center"/>
                    <w:rPr>
                      <w:kern w:val="0"/>
                      <w:szCs w:val="21"/>
                    </w:rPr>
                  </w:pPr>
                  <w:r>
                    <w:rPr>
                      <w:kern w:val="0"/>
                      <w:szCs w:val="21"/>
                    </w:rPr>
                    <w:t>上风向 G3</w:t>
                  </w:r>
                </w:p>
              </w:tc>
              <w:tc>
                <w:tcPr>
                  <w:tcW w:w="1541" w:type="pct"/>
                  <w:vAlign w:val="center"/>
                </w:tcPr>
                <w:p w14:paraId="7A7B7DFA">
                  <w:pPr>
                    <w:widowControl/>
                    <w:jc w:val="center"/>
                    <w:rPr>
                      <w:kern w:val="0"/>
                      <w:szCs w:val="21"/>
                    </w:rPr>
                  </w:pPr>
                  <w:r>
                    <w:rPr>
                      <w:kern w:val="0"/>
                      <w:szCs w:val="21"/>
                    </w:rPr>
                    <w:t>小于 10</w:t>
                  </w:r>
                </w:p>
              </w:tc>
            </w:tr>
            <w:tr w14:paraId="08F579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vAlign w:val="center"/>
                </w:tcPr>
                <w:p w14:paraId="1519E308">
                  <w:pPr>
                    <w:widowControl/>
                    <w:jc w:val="left"/>
                    <w:rPr>
                      <w:kern w:val="0"/>
                      <w:szCs w:val="21"/>
                    </w:rPr>
                  </w:pPr>
                </w:p>
              </w:tc>
              <w:tc>
                <w:tcPr>
                  <w:tcW w:w="918" w:type="pct"/>
                  <w:vMerge w:val="continue"/>
                  <w:vAlign w:val="center"/>
                </w:tcPr>
                <w:p w14:paraId="1D27780F">
                  <w:pPr>
                    <w:widowControl/>
                    <w:jc w:val="left"/>
                    <w:rPr>
                      <w:kern w:val="0"/>
                      <w:szCs w:val="21"/>
                    </w:rPr>
                  </w:pPr>
                </w:p>
              </w:tc>
              <w:tc>
                <w:tcPr>
                  <w:tcW w:w="828" w:type="pct"/>
                  <w:vMerge w:val="continue"/>
                  <w:vAlign w:val="center"/>
                </w:tcPr>
                <w:p w14:paraId="0E359C3D">
                  <w:pPr>
                    <w:widowControl/>
                    <w:jc w:val="left"/>
                    <w:rPr>
                      <w:kern w:val="0"/>
                      <w:szCs w:val="21"/>
                    </w:rPr>
                  </w:pPr>
                </w:p>
              </w:tc>
              <w:tc>
                <w:tcPr>
                  <w:tcW w:w="1196" w:type="pct"/>
                  <w:vAlign w:val="center"/>
                </w:tcPr>
                <w:p w14:paraId="39B779E5">
                  <w:pPr>
                    <w:widowControl/>
                    <w:jc w:val="center"/>
                    <w:rPr>
                      <w:kern w:val="0"/>
                      <w:szCs w:val="21"/>
                    </w:rPr>
                  </w:pPr>
                  <w:r>
                    <w:rPr>
                      <w:kern w:val="0"/>
                      <w:szCs w:val="21"/>
                    </w:rPr>
                    <w:t>下风向 G4</w:t>
                  </w:r>
                </w:p>
              </w:tc>
              <w:tc>
                <w:tcPr>
                  <w:tcW w:w="1541" w:type="pct"/>
                  <w:vAlign w:val="center"/>
                </w:tcPr>
                <w:p w14:paraId="4ECC26B3">
                  <w:pPr>
                    <w:widowControl/>
                    <w:jc w:val="center"/>
                    <w:rPr>
                      <w:kern w:val="0"/>
                      <w:szCs w:val="21"/>
                    </w:rPr>
                  </w:pPr>
                  <w:r>
                    <w:rPr>
                      <w:kern w:val="0"/>
                      <w:szCs w:val="21"/>
                    </w:rPr>
                    <w:t>小于 10</w:t>
                  </w:r>
                </w:p>
              </w:tc>
            </w:tr>
            <w:tr w14:paraId="330464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vAlign w:val="center"/>
                </w:tcPr>
                <w:p w14:paraId="4C326B6C">
                  <w:pPr>
                    <w:widowControl/>
                    <w:jc w:val="left"/>
                    <w:rPr>
                      <w:kern w:val="0"/>
                      <w:szCs w:val="21"/>
                    </w:rPr>
                  </w:pPr>
                </w:p>
              </w:tc>
              <w:tc>
                <w:tcPr>
                  <w:tcW w:w="918" w:type="pct"/>
                  <w:vMerge w:val="restart"/>
                  <w:vAlign w:val="center"/>
                </w:tcPr>
                <w:p w14:paraId="454FFDCD">
                  <w:pPr>
                    <w:widowControl/>
                    <w:jc w:val="center"/>
                    <w:rPr>
                      <w:kern w:val="0"/>
                      <w:szCs w:val="21"/>
                    </w:rPr>
                  </w:pPr>
                  <w:r>
                    <w:rPr>
                      <w:kern w:val="0"/>
                      <w:szCs w:val="21"/>
                    </w:rPr>
                    <w:t>非甲烷总烃</w:t>
                  </w:r>
                </w:p>
              </w:tc>
              <w:tc>
                <w:tcPr>
                  <w:tcW w:w="828" w:type="pct"/>
                  <w:vMerge w:val="restart"/>
                  <w:vAlign w:val="center"/>
                </w:tcPr>
                <w:p w14:paraId="28C88D12">
                  <w:pPr>
                    <w:widowControl/>
                    <w:jc w:val="center"/>
                    <w:rPr>
                      <w:kern w:val="0"/>
                      <w:szCs w:val="21"/>
                    </w:rPr>
                  </w:pPr>
                  <w:r>
                    <w:rPr>
                      <w:kern w:val="0"/>
                      <w:szCs w:val="21"/>
                    </w:rPr>
                    <w:t>4</w:t>
                  </w:r>
                </w:p>
              </w:tc>
              <w:tc>
                <w:tcPr>
                  <w:tcW w:w="1196" w:type="pct"/>
                  <w:vAlign w:val="center"/>
                </w:tcPr>
                <w:p w14:paraId="30D8BF16">
                  <w:pPr>
                    <w:widowControl/>
                    <w:jc w:val="center"/>
                    <w:rPr>
                      <w:kern w:val="0"/>
                      <w:szCs w:val="21"/>
                    </w:rPr>
                  </w:pPr>
                  <w:r>
                    <w:rPr>
                      <w:kern w:val="0"/>
                      <w:szCs w:val="21"/>
                    </w:rPr>
                    <w:t>上风向 G1</w:t>
                  </w:r>
                </w:p>
              </w:tc>
              <w:tc>
                <w:tcPr>
                  <w:tcW w:w="1541" w:type="pct"/>
                  <w:vAlign w:val="center"/>
                </w:tcPr>
                <w:p w14:paraId="062776C7">
                  <w:pPr>
                    <w:widowControl/>
                    <w:jc w:val="center"/>
                    <w:rPr>
                      <w:kern w:val="0"/>
                      <w:szCs w:val="21"/>
                    </w:rPr>
                  </w:pPr>
                  <w:r>
                    <w:rPr>
                      <w:kern w:val="0"/>
                      <w:szCs w:val="21"/>
                    </w:rPr>
                    <w:t>0.62</w:t>
                  </w:r>
                </w:p>
              </w:tc>
            </w:tr>
            <w:tr w14:paraId="6DDE23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vAlign w:val="center"/>
                </w:tcPr>
                <w:p w14:paraId="4A858D76">
                  <w:pPr>
                    <w:widowControl/>
                    <w:jc w:val="left"/>
                    <w:rPr>
                      <w:kern w:val="0"/>
                      <w:szCs w:val="21"/>
                    </w:rPr>
                  </w:pPr>
                </w:p>
              </w:tc>
              <w:tc>
                <w:tcPr>
                  <w:tcW w:w="918" w:type="pct"/>
                  <w:vMerge w:val="continue"/>
                  <w:vAlign w:val="center"/>
                </w:tcPr>
                <w:p w14:paraId="0090CEE6">
                  <w:pPr>
                    <w:widowControl/>
                    <w:jc w:val="left"/>
                    <w:rPr>
                      <w:kern w:val="0"/>
                      <w:szCs w:val="21"/>
                    </w:rPr>
                  </w:pPr>
                </w:p>
              </w:tc>
              <w:tc>
                <w:tcPr>
                  <w:tcW w:w="828" w:type="pct"/>
                  <w:vMerge w:val="continue"/>
                  <w:vAlign w:val="center"/>
                </w:tcPr>
                <w:p w14:paraId="4E5DF7AA">
                  <w:pPr>
                    <w:widowControl/>
                    <w:jc w:val="left"/>
                    <w:rPr>
                      <w:kern w:val="0"/>
                      <w:szCs w:val="21"/>
                    </w:rPr>
                  </w:pPr>
                </w:p>
              </w:tc>
              <w:tc>
                <w:tcPr>
                  <w:tcW w:w="1196" w:type="pct"/>
                  <w:vAlign w:val="center"/>
                </w:tcPr>
                <w:p w14:paraId="05F311C0">
                  <w:pPr>
                    <w:widowControl/>
                    <w:jc w:val="center"/>
                    <w:rPr>
                      <w:kern w:val="0"/>
                      <w:szCs w:val="21"/>
                    </w:rPr>
                  </w:pPr>
                  <w:r>
                    <w:rPr>
                      <w:kern w:val="0"/>
                      <w:szCs w:val="21"/>
                    </w:rPr>
                    <w:t>下风向 G2</w:t>
                  </w:r>
                </w:p>
              </w:tc>
              <w:tc>
                <w:tcPr>
                  <w:tcW w:w="1541" w:type="pct"/>
                  <w:vAlign w:val="center"/>
                </w:tcPr>
                <w:p w14:paraId="58FC9B49">
                  <w:pPr>
                    <w:widowControl/>
                    <w:jc w:val="center"/>
                    <w:rPr>
                      <w:kern w:val="0"/>
                      <w:szCs w:val="21"/>
                    </w:rPr>
                  </w:pPr>
                  <w:r>
                    <w:rPr>
                      <w:kern w:val="0"/>
                      <w:szCs w:val="21"/>
                    </w:rPr>
                    <w:t>0.88</w:t>
                  </w:r>
                </w:p>
              </w:tc>
            </w:tr>
            <w:tr w14:paraId="3FF7FE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vAlign w:val="center"/>
                </w:tcPr>
                <w:p w14:paraId="7E097E5F">
                  <w:pPr>
                    <w:widowControl/>
                    <w:jc w:val="left"/>
                    <w:rPr>
                      <w:kern w:val="0"/>
                      <w:szCs w:val="21"/>
                    </w:rPr>
                  </w:pPr>
                </w:p>
              </w:tc>
              <w:tc>
                <w:tcPr>
                  <w:tcW w:w="918" w:type="pct"/>
                  <w:vMerge w:val="continue"/>
                  <w:vAlign w:val="center"/>
                </w:tcPr>
                <w:p w14:paraId="4D420D34">
                  <w:pPr>
                    <w:widowControl/>
                    <w:jc w:val="left"/>
                    <w:rPr>
                      <w:kern w:val="0"/>
                      <w:szCs w:val="21"/>
                    </w:rPr>
                  </w:pPr>
                </w:p>
              </w:tc>
              <w:tc>
                <w:tcPr>
                  <w:tcW w:w="828" w:type="pct"/>
                  <w:vMerge w:val="continue"/>
                  <w:vAlign w:val="center"/>
                </w:tcPr>
                <w:p w14:paraId="7A01661E">
                  <w:pPr>
                    <w:widowControl/>
                    <w:jc w:val="left"/>
                    <w:rPr>
                      <w:kern w:val="0"/>
                      <w:szCs w:val="21"/>
                    </w:rPr>
                  </w:pPr>
                </w:p>
              </w:tc>
              <w:tc>
                <w:tcPr>
                  <w:tcW w:w="1196" w:type="pct"/>
                  <w:vAlign w:val="center"/>
                </w:tcPr>
                <w:p w14:paraId="22B79220">
                  <w:pPr>
                    <w:widowControl/>
                    <w:jc w:val="center"/>
                    <w:rPr>
                      <w:kern w:val="0"/>
                      <w:szCs w:val="21"/>
                    </w:rPr>
                  </w:pPr>
                  <w:r>
                    <w:rPr>
                      <w:kern w:val="0"/>
                      <w:szCs w:val="21"/>
                    </w:rPr>
                    <w:t>上风向 G3</w:t>
                  </w:r>
                </w:p>
              </w:tc>
              <w:tc>
                <w:tcPr>
                  <w:tcW w:w="1541" w:type="pct"/>
                  <w:vAlign w:val="center"/>
                </w:tcPr>
                <w:p w14:paraId="776D8799">
                  <w:pPr>
                    <w:widowControl/>
                    <w:jc w:val="center"/>
                    <w:rPr>
                      <w:kern w:val="0"/>
                      <w:szCs w:val="21"/>
                    </w:rPr>
                  </w:pPr>
                  <w:r>
                    <w:rPr>
                      <w:kern w:val="0"/>
                      <w:szCs w:val="21"/>
                    </w:rPr>
                    <w:t>0.89</w:t>
                  </w:r>
                </w:p>
              </w:tc>
            </w:tr>
            <w:tr w14:paraId="5DCE75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vAlign w:val="center"/>
                </w:tcPr>
                <w:p w14:paraId="27F31EA0">
                  <w:pPr>
                    <w:widowControl/>
                    <w:jc w:val="left"/>
                    <w:rPr>
                      <w:kern w:val="0"/>
                      <w:szCs w:val="21"/>
                    </w:rPr>
                  </w:pPr>
                </w:p>
              </w:tc>
              <w:tc>
                <w:tcPr>
                  <w:tcW w:w="918" w:type="pct"/>
                  <w:vMerge w:val="continue"/>
                  <w:vAlign w:val="center"/>
                </w:tcPr>
                <w:p w14:paraId="34EAB4CC">
                  <w:pPr>
                    <w:widowControl/>
                    <w:jc w:val="left"/>
                    <w:rPr>
                      <w:kern w:val="0"/>
                      <w:szCs w:val="21"/>
                    </w:rPr>
                  </w:pPr>
                </w:p>
              </w:tc>
              <w:tc>
                <w:tcPr>
                  <w:tcW w:w="828" w:type="pct"/>
                  <w:vMerge w:val="continue"/>
                  <w:vAlign w:val="center"/>
                </w:tcPr>
                <w:p w14:paraId="2B26B354">
                  <w:pPr>
                    <w:widowControl/>
                    <w:jc w:val="left"/>
                    <w:rPr>
                      <w:kern w:val="0"/>
                      <w:szCs w:val="21"/>
                    </w:rPr>
                  </w:pPr>
                </w:p>
              </w:tc>
              <w:tc>
                <w:tcPr>
                  <w:tcW w:w="1196" w:type="pct"/>
                  <w:vAlign w:val="center"/>
                </w:tcPr>
                <w:p w14:paraId="06BA605B">
                  <w:pPr>
                    <w:widowControl/>
                    <w:jc w:val="center"/>
                    <w:rPr>
                      <w:kern w:val="0"/>
                      <w:szCs w:val="21"/>
                    </w:rPr>
                  </w:pPr>
                  <w:r>
                    <w:rPr>
                      <w:kern w:val="0"/>
                      <w:szCs w:val="21"/>
                    </w:rPr>
                    <w:t>下风向 G4</w:t>
                  </w:r>
                </w:p>
              </w:tc>
              <w:tc>
                <w:tcPr>
                  <w:tcW w:w="1541" w:type="pct"/>
                  <w:vAlign w:val="center"/>
                </w:tcPr>
                <w:p w14:paraId="370F376F">
                  <w:pPr>
                    <w:widowControl/>
                    <w:jc w:val="center"/>
                    <w:rPr>
                      <w:kern w:val="0"/>
                      <w:szCs w:val="21"/>
                    </w:rPr>
                  </w:pPr>
                  <w:r>
                    <w:rPr>
                      <w:kern w:val="0"/>
                      <w:szCs w:val="21"/>
                    </w:rPr>
                    <w:t>0.97</w:t>
                  </w:r>
                </w:p>
              </w:tc>
            </w:tr>
            <w:tr w14:paraId="4A45C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vAlign w:val="center"/>
                </w:tcPr>
                <w:p w14:paraId="548D7A21">
                  <w:pPr>
                    <w:widowControl/>
                    <w:jc w:val="left"/>
                    <w:rPr>
                      <w:kern w:val="0"/>
                      <w:szCs w:val="21"/>
                    </w:rPr>
                  </w:pPr>
                </w:p>
              </w:tc>
              <w:tc>
                <w:tcPr>
                  <w:tcW w:w="918" w:type="pct"/>
                  <w:vMerge w:val="restart"/>
                  <w:vAlign w:val="center"/>
                </w:tcPr>
                <w:p w14:paraId="529316B5">
                  <w:pPr>
                    <w:widowControl/>
                    <w:jc w:val="center"/>
                    <w:rPr>
                      <w:kern w:val="0"/>
                      <w:szCs w:val="21"/>
                    </w:rPr>
                  </w:pPr>
                  <w:r>
                    <w:rPr>
                      <w:kern w:val="0"/>
                      <w:szCs w:val="21"/>
                    </w:rPr>
                    <w:t>颗粒物</w:t>
                  </w:r>
                </w:p>
              </w:tc>
              <w:tc>
                <w:tcPr>
                  <w:tcW w:w="828" w:type="pct"/>
                  <w:vMerge w:val="restart"/>
                  <w:vAlign w:val="center"/>
                </w:tcPr>
                <w:p w14:paraId="6FDB0BF9">
                  <w:pPr>
                    <w:widowControl/>
                    <w:jc w:val="center"/>
                    <w:rPr>
                      <w:kern w:val="0"/>
                      <w:szCs w:val="21"/>
                    </w:rPr>
                  </w:pPr>
                  <w:r>
                    <w:rPr>
                      <w:kern w:val="0"/>
                      <w:szCs w:val="21"/>
                    </w:rPr>
                    <w:t>1</w:t>
                  </w:r>
                </w:p>
              </w:tc>
              <w:tc>
                <w:tcPr>
                  <w:tcW w:w="1196" w:type="pct"/>
                  <w:vAlign w:val="center"/>
                </w:tcPr>
                <w:p w14:paraId="416730B7">
                  <w:pPr>
                    <w:widowControl/>
                    <w:jc w:val="center"/>
                    <w:rPr>
                      <w:kern w:val="0"/>
                      <w:szCs w:val="21"/>
                    </w:rPr>
                  </w:pPr>
                  <w:r>
                    <w:rPr>
                      <w:kern w:val="0"/>
                      <w:szCs w:val="21"/>
                    </w:rPr>
                    <w:t>上风向 G1</w:t>
                  </w:r>
                </w:p>
              </w:tc>
              <w:tc>
                <w:tcPr>
                  <w:tcW w:w="1541" w:type="pct"/>
                  <w:vAlign w:val="center"/>
                </w:tcPr>
                <w:p w14:paraId="2EC4ADA1">
                  <w:pPr>
                    <w:widowControl/>
                    <w:jc w:val="center"/>
                    <w:rPr>
                      <w:kern w:val="0"/>
                      <w:szCs w:val="21"/>
                    </w:rPr>
                  </w:pPr>
                  <w:r>
                    <w:rPr>
                      <w:kern w:val="0"/>
                      <w:szCs w:val="21"/>
                    </w:rPr>
                    <w:t>0.000219</w:t>
                  </w:r>
                </w:p>
              </w:tc>
            </w:tr>
            <w:tr w14:paraId="2C3C15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vAlign w:val="center"/>
                </w:tcPr>
                <w:p w14:paraId="722841F0">
                  <w:pPr>
                    <w:widowControl/>
                    <w:jc w:val="left"/>
                    <w:rPr>
                      <w:kern w:val="0"/>
                      <w:szCs w:val="21"/>
                    </w:rPr>
                  </w:pPr>
                </w:p>
              </w:tc>
              <w:tc>
                <w:tcPr>
                  <w:tcW w:w="918" w:type="pct"/>
                  <w:vMerge w:val="continue"/>
                  <w:vAlign w:val="center"/>
                </w:tcPr>
                <w:p w14:paraId="0D7683AF">
                  <w:pPr>
                    <w:widowControl/>
                    <w:jc w:val="left"/>
                    <w:rPr>
                      <w:kern w:val="0"/>
                      <w:szCs w:val="21"/>
                    </w:rPr>
                  </w:pPr>
                </w:p>
              </w:tc>
              <w:tc>
                <w:tcPr>
                  <w:tcW w:w="828" w:type="pct"/>
                  <w:vMerge w:val="continue"/>
                  <w:vAlign w:val="center"/>
                </w:tcPr>
                <w:p w14:paraId="16A68ED8">
                  <w:pPr>
                    <w:widowControl/>
                    <w:jc w:val="left"/>
                    <w:rPr>
                      <w:kern w:val="0"/>
                      <w:szCs w:val="21"/>
                    </w:rPr>
                  </w:pPr>
                </w:p>
              </w:tc>
              <w:tc>
                <w:tcPr>
                  <w:tcW w:w="1196" w:type="pct"/>
                  <w:vAlign w:val="center"/>
                </w:tcPr>
                <w:p w14:paraId="0EC2A5C6">
                  <w:pPr>
                    <w:widowControl/>
                    <w:jc w:val="center"/>
                    <w:rPr>
                      <w:kern w:val="0"/>
                      <w:szCs w:val="21"/>
                    </w:rPr>
                  </w:pPr>
                  <w:r>
                    <w:rPr>
                      <w:kern w:val="0"/>
                      <w:szCs w:val="21"/>
                    </w:rPr>
                    <w:t>下风向 G2</w:t>
                  </w:r>
                </w:p>
              </w:tc>
              <w:tc>
                <w:tcPr>
                  <w:tcW w:w="1541" w:type="pct"/>
                  <w:vAlign w:val="center"/>
                </w:tcPr>
                <w:p w14:paraId="5C5E6456">
                  <w:pPr>
                    <w:widowControl/>
                    <w:jc w:val="center"/>
                    <w:rPr>
                      <w:kern w:val="0"/>
                      <w:szCs w:val="21"/>
                    </w:rPr>
                  </w:pPr>
                  <w:r>
                    <w:rPr>
                      <w:kern w:val="0"/>
                      <w:szCs w:val="21"/>
                    </w:rPr>
                    <w:t>0.000301</w:t>
                  </w:r>
                </w:p>
              </w:tc>
            </w:tr>
            <w:tr w14:paraId="62C68B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vAlign w:val="center"/>
                </w:tcPr>
                <w:p w14:paraId="18007D73">
                  <w:pPr>
                    <w:widowControl/>
                    <w:jc w:val="left"/>
                    <w:rPr>
                      <w:kern w:val="0"/>
                      <w:szCs w:val="21"/>
                    </w:rPr>
                  </w:pPr>
                </w:p>
              </w:tc>
              <w:tc>
                <w:tcPr>
                  <w:tcW w:w="918" w:type="pct"/>
                  <w:vMerge w:val="continue"/>
                  <w:vAlign w:val="center"/>
                </w:tcPr>
                <w:p w14:paraId="65D96391">
                  <w:pPr>
                    <w:widowControl/>
                    <w:jc w:val="left"/>
                    <w:rPr>
                      <w:kern w:val="0"/>
                      <w:szCs w:val="21"/>
                    </w:rPr>
                  </w:pPr>
                </w:p>
              </w:tc>
              <w:tc>
                <w:tcPr>
                  <w:tcW w:w="828" w:type="pct"/>
                  <w:vMerge w:val="continue"/>
                  <w:vAlign w:val="center"/>
                </w:tcPr>
                <w:p w14:paraId="5FCD93C1">
                  <w:pPr>
                    <w:widowControl/>
                    <w:jc w:val="left"/>
                    <w:rPr>
                      <w:kern w:val="0"/>
                      <w:szCs w:val="21"/>
                    </w:rPr>
                  </w:pPr>
                </w:p>
              </w:tc>
              <w:tc>
                <w:tcPr>
                  <w:tcW w:w="1196" w:type="pct"/>
                  <w:vAlign w:val="center"/>
                </w:tcPr>
                <w:p w14:paraId="6CAA4A66">
                  <w:pPr>
                    <w:widowControl/>
                    <w:jc w:val="center"/>
                    <w:rPr>
                      <w:kern w:val="0"/>
                      <w:szCs w:val="21"/>
                    </w:rPr>
                  </w:pPr>
                  <w:r>
                    <w:rPr>
                      <w:kern w:val="0"/>
                      <w:szCs w:val="21"/>
                    </w:rPr>
                    <w:t>上风向 G3</w:t>
                  </w:r>
                </w:p>
              </w:tc>
              <w:tc>
                <w:tcPr>
                  <w:tcW w:w="1541" w:type="pct"/>
                  <w:vAlign w:val="center"/>
                </w:tcPr>
                <w:p w14:paraId="5BF50B7C">
                  <w:pPr>
                    <w:widowControl/>
                    <w:jc w:val="center"/>
                    <w:rPr>
                      <w:kern w:val="0"/>
                      <w:szCs w:val="21"/>
                    </w:rPr>
                  </w:pPr>
                  <w:r>
                    <w:rPr>
                      <w:kern w:val="0"/>
                      <w:szCs w:val="21"/>
                    </w:rPr>
                    <w:t>0.000317</w:t>
                  </w:r>
                </w:p>
              </w:tc>
            </w:tr>
            <w:tr w14:paraId="6CD0C0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vAlign w:val="center"/>
                </w:tcPr>
                <w:p w14:paraId="75E4BBEC">
                  <w:pPr>
                    <w:widowControl/>
                    <w:jc w:val="left"/>
                    <w:rPr>
                      <w:kern w:val="0"/>
                      <w:szCs w:val="21"/>
                    </w:rPr>
                  </w:pPr>
                </w:p>
              </w:tc>
              <w:tc>
                <w:tcPr>
                  <w:tcW w:w="918" w:type="pct"/>
                  <w:vMerge w:val="continue"/>
                  <w:vAlign w:val="center"/>
                </w:tcPr>
                <w:p w14:paraId="630A37CE">
                  <w:pPr>
                    <w:widowControl/>
                    <w:jc w:val="left"/>
                    <w:rPr>
                      <w:kern w:val="0"/>
                      <w:szCs w:val="21"/>
                    </w:rPr>
                  </w:pPr>
                </w:p>
              </w:tc>
              <w:tc>
                <w:tcPr>
                  <w:tcW w:w="828" w:type="pct"/>
                  <w:vMerge w:val="continue"/>
                  <w:vAlign w:val="center"/>
                </w:tcPr>
                <w:p w14:paraId="1A0BC968">
                  <w:pPr>
                    <w:widowControl/>
                    <w:jc w:val="left"/>
                    <w:rPr>
                      <w:kern w:val="0"/>
                      <w:szCs w:val="21"/>
                    </w:rPr>
                  </w:pPr>
                </w:p>
              </w:tc>
              <w:tc>
                <w:tcPr>
                  <w:tcW w:w="1196" w:type="pct"/>
                  <w:vAlign w:val="center"/>
                </w:tcPr>
                <w:p w14:paraId="513A6004">
                  <w:pPr>
                    <w:widowControl/>
                    <w:jc w:val="center"/>
                    <w:rPr>
                      <w:kern w:val="0"/>
                      <w:szCs w:val="21"/>
                    </w:rPr>
                  </w:pPr>
                  <w:r>
                    <w:rPr>
                      <w:kern w:val="0"/>
                      <w:szCs w:val="21"/>
                    </w:rPr>
                    <w:t>下风向 G4</w:t>
                  </w:r>
                </w:p>
              </w:tc>
              <w:tc>
                <w:tcPr>
                  <w:tcW w:w="1541" w:type="pct"/>
                  <w:vAlign w:val="center"/>
                </w:tcPr>
                <w:p w14:paraId="47824CFF">
                  <w:pPr>
                    <w:widowControl/>
                    <w:jc w:val="center"/>
                    <w:rPr>
                      <w:kern w:val="0"/>
                      <w:szCs w:val="21"/>
                    </w:rPr>
                  </w:pPr>
                  <w:r>
                    <w:rPr>
                      <w:kern w:val="0"/>
                      <w:szCs w:val="21"/>
                    </w:rPr>
                    <w:t>0.000317</w:t>
                  </w:r>
                </w:p>
              </w:tc>
            </w:tr>
          </w:tbl>
          <w:p w14:paraId="1F8092F2">
            <w:pPr>
              <w:pStyle w:val="22"/>
              <w:spacing w:line="500" w:lineRule="exact"/>
              <w:ind w:firstLine="482" w:firstLineChars="200"/>
              <w:jc w:val="both"/>
              <w:rPr>
                <w:b/>
                <w:szCs w:val="24"/>
              </w:rPr>
            </w:pPr>
            <w:r>
              <w:rPr>
                <w:b/>
                <w:szCs w:val="24"/>
              </w:rPr>
              <w:t>（3）噪声排放及达标情况</w:t>
            </w:r>
          </w:p>
          <w:p w14:paraId="2292231C">
            <w:pPr>
              <w:pStyle w:val="22"/>
              <w:spacing w:line="500" w:lineRule="exact"/>
              <w:ind w:firstLine="480" w:firstLineChars="200"/>
              <w:jc w:val="both"/>
              <w:rPr>
                <w:bCs/>
                <w:szCs w:val="24"/>
              </w:rPr>
            </w:pPr>
            <w:r>
              <w:rPr>
                <w:bCs/>
                <w:szCs w:val="24"/>
              </w:rPr>
              <w:t>根据厂界噪声例行监测结果显示，监测期间厂界噪声均符合《工业企业厂界环境噪声排放标准》（GB12348-2008）中3类标准限值的要求。</w:t>
            </w:r>
          </w:p>
          <w:p w14:paraId="5B59B0CD">
            <w:pPr>
              <w:pStyle w:val="42"/>
              <w:spacing w:before="0" w:beforeAutospacing="0" w:after="0" w:afterAutospacing="0" w:line="500" w:lineRule="exact"/>
              <w:jc w:val="center"/>
              <w:rPr>
                <w:rFonts w:ascii="Times New Roman" w:hAnsi="Times New Roman"/>
                <w:b/>
                <w:bCs/>
              </w:rPr>
            </w:pPr>
            <w:r>
              <w:rPr>
                <w:rFonts w:ascii="Times New Roman" w:hAnsi="Times New Roman"/>
                <w:b/>
                <w:bCs/>
              </w:rPr>
              <w:t>表2-</w:t>
            </w:r>
            <w:r>
              <w:rPr>
                <w:rFonts w:hint="eastAsia" w:ascii="Times New Roman" w:hAnsi="Times New Roman"/>
                <w:b/>
                <w:bCs/>
              </w:rPr>
              <w:t>20</w:t>
            </w:r>
            <w:r>
              <w:rPr>
                <w:rFonts w:ascii="Times New Roman" w:hAnsi="Times New Roman"/>
                <w:b/>
                <w:bCs/>
              </w:rPr>
              <w:t xml:space="preserve">  2024年现有项目厂界噪声监测结果统计表</w:t>
            </w:r>
          </w:p>
          <w:tbl>
            <w:tblPr>
              <w:tblStyle w:val="9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6"/>
            </w:tblGrid>
            <w:tr w14:paraId="70A430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14" w:type="pct"/>
                  <w:vMerge w:val="restart"/>
                  <w:vAlign w:val="center"/>
                </w:tcPr>
                <w:p w14:paraId="1AE09B31">
                  <w:pPr>
                    <w:widowControl/>
                    <w:jc w:val="center"/>
                    <w:rPr>
                      <w:b/>
                      <w:bCs/>
                      <w:kern w:val="0"/>
                      <w:szCs w:val="21"/>
                    </w:rPr>
                  </w:pPr>
                  <w:r>
                    <w:rPr>
                      <w:b/>
                      <w:bCs/>
                      <w:kern w:val="0"/>
                      <w:szCs w:val="21"/>
                    </w:rPr>
                    <w:t>监测点名称</w:t>
                  </w:r>
                </w:p>
              </w:tc>
              <w:tc>
                <w:tcPr>
                  <w:tcW w:w="714" w:type="pct"/>
                  <w:vMerge w:val="restart"/>
                  <w:vAlign w:val="center"/>
                </w:tcPr>
                <w:p w14:paraId="35AE5DCD">
                  <w:pPr>
                    <w:widowControl/>
                    <w:jc w:val="center"/>
                    <w:rPr>
                      <w:b/>
                      <w:bCs/>
                      <w:kern w:val="0"/>
                      <w:szCs w:val="21"/>
                    </w:rPr>
                  </w:pPr>
                  <w:r>
                    <w:rPr>
                      <w:b/>
                      <w:bCs/>
                      <w:kern w:val="0"/>
                      <w:szCs w:val="21"/>
                    </w:rPr>
                    <w:t>监测点位置</w:t>
                  </w:r>
                </w:p>
              </w:tc>
              <w:tc>
                <w:tcPr>
                  <w:tcW w:w="714" w:type="pct"/>
                  <w:vMerge w:val="restart"/>
                  <w:vAlign w:val="center"/>
                </w:tcPr>
                <w:p w14:paraId="7D514162">
                  <w:pPr>
                    <w:widowControl/>
                    <w:jc w:val="center"/>
                    <w:rPr>
                      <w:b/>
                      <w:bCs/>
                      <w:kern w:val="0"/>
                      <w:szCs w:val="21"/>
                    </w:rPr>
                  </w:pPr>
                  <w:r>
                    <w:rPr>
                      <w:b/>
                      <w:bCs/>
                      <w:kern w:val="0"/>
                      <w:szCs w:val="21"/>
                    </w:rPr>
                    <w:t>厂界外声环境功能区类别</w:t>
                  </w:r>
                </w:p>
              </w:tc>
              <w:tc>
                <w:tcPr>
                  <w:tcW w:w="2857" w:type="pct"/>
                  <w:gridSpan w:val="4"/>
                  <w:vAlign w:val="center"/>
                </w:tcPr>
                <w:p w14:paraId="31464A7B">
                  <w:pPr>
                    <w:widowControl/>
                    <w:jc w:val="left"/>
                    <w:rPr>
                      <w:b/>
                      <w:bCs/>
                      <w:kern w:val="0"/>
                      <w:szCs w:val="21"/>
                    </w:rPr>
                  </w:pPr>
                  <w:r>
                    <w:rPr>
                      <w:b/>
                      <w:bCs/>
                      <w:kern w:val="0"/>
                      <w:szCs w:val="21"/>
                    </w:rPr>
                    <w:t>工业企业厂界噪声监测结果/dB(A)</w:t>
                  </w:r>
                </w:p>
              </w:tc>
            </w:tr>
            <w:tr w14:paraId="5EF1E2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14" w:type="pct"/>
                  <w:vMerge w:val="continue"/>
                  <w:vAlign w:val="center"/>
                </w:tcPr>
                <w:p w14:paraId="65E61E01">
                  <w:pPr>
                    <w:widowControl/>
                    <w:jc w:val="left"/>
                    <w:rPr>
                      <w:b/>
                      <w:bCs/>
                      <w:kern w:val="0"/>
                      <w:szCs w:val="21"/>
                    </w:rPr>
                  </w:pPr>
                </w:p>
              </w:tc>
              <w:tc>
                <w:tcPr>
                  <w:tcW w:w="714" w:type="pct"/>
                  <w:vMerge w:val="continue"/>
                  <w:vAlign w:val="center"/>
                </w:tcPr>
                <w:p w14:paraId="4819F57D">
                  <w:pPr>
                    <w:widowControl/>
                    <w:jc w:val="left"/>
                    <w:rPr>
                      <w:b/>
                      <w:bCs/>
                      <w:kern w:val="0"/>
                      <w:szCs w:val="21"/>
                    </w:rPr>
                  </w:pPr>
                </w:p>
              </w:tc>
              <w:tc>
                <w:tcPr>
                  <w:tcW w:w="714" w:type="pct"/>
                  <w:vMerge w:val="continue"/>
                  <w:vAlign w:val="center"/>
                </w:tcPr>
                <w:p w14:paraId="26EB902F">
                  <w:pPr>
                    <w:widowControl/>
                    <w:jc w:val="left"/>
                    <w:rPr>
                      <w:b/>
                      <w:bCs/>
                      <w:kern w:val="0"/>
                      <w:szCs w:val="21"/>
                    </w:rPr>
                  </w:pPr>
                </w:p>
              </w:tc>
              <w:tc>
                <w:tcPr>
                  <w:tcW w:w="714" w:type="pct"/>
                  <w:vAlign w:val="center"/>
                </w:tcPr>
                <w:p w14:paraId="36071166">
                  <w:pPr>
                    <w:widowControl/>
                    <w:rPr>
                      <w:b/>
                      <w:bCs/>
                      <w:kern w:val="0"/>
                      <w:szCs w:val="21"/>
                    </w:rPr>
                  </w:pPr>
                  <w:r>
                    <w:rPr>
                      <w:b/>
                      <w:bCs/>
                      <w:kern w:val="0"/>
                      <w:szCs w:val="21"/>
                    </w:rPr>
                    <w:t>昼间等效声级</w:t>
                  </w:r>
                </w:p>
              </w:tc>
              <w:tc>
                <w:tcPr>
                  <w:tcW w:w="714" w:type="pct"/>
                  <w:vAlign w:val="center"/>
                </w:tcPr>
                <w:p w14:paraId="483343FB">
                  <w:pPr>
                    <w:widowControl/>
                    <w:jc w:val="center"/>
                    <w:rPr>
                      <w:b/>
                      <w:bCs/>
                      <w:kern w:val="0"/>
                      <w:szCs w:val="21"/>
                    </w:rPr>
                  </w:pPr>
                  <w:r>
                    <w:rPr>
                      <w:b/>
                      <w:bCs/>
                      <w:kern w:val="0"/>
                      <w:szCs w:val="21"/>
                    </w:rPr>
                    <w:t>评价标准</w:t>
                  </w:r>
                </w:p>
              </w:tc>
              <w:tc>
                <w:tcPr>
                  <w:tcW w:w="714" w:type="pct"/>
                  <w:vAlign w:val="center"/>
                </w:tcPr>
                <w:p w14:paraId="71C3CA6C">
                  <w:pPr>
                    <w:widowControl/>
                    <w:rPr>
                      <w:b/>
                      <w:bCs/>
                      <w:kern w:val="0"/>
                      <w:szCs w:val="21"/>
                    </w:rPr>
                  </w:pPr>
                  <w:r>
                    <w:rPr>
                      <w:b/>
                      <w:bCs/>
                      <w:kern w:val="0"/>
                      <w:szCs w:val="21"/>
                    </w:rPr>
                    <w:t>夜间等效声级</w:t>
                  </w:r>
                </w:p>
              </w:tc>
              <w:tc>
                <w:tcPr>
                  <w:tcW w:w="714" w:type="pct"/>
                  <w:vAlign w:val="center"/>
                </w:tcPr>
                <w:p w14:paraId="7F39940E">
                  <w:pPr>
                    <w:widowControl/>
                    <w:jc w:val="center"/>
                    <w:rPr>
                      <w:b/>
                      <w:bCs/>
                      <w:kern w:val="0"/>
                      <w:szCs w:val="21"/>
                    </w:rPr>
                  </w:pPr>
                  <w:r>
                    <w:rPr>
                      <w:b/>
                      <w:bCs/>
                      <w:kern w:val="0"/>
                      <w:szCs w:val="21"/>
                    </w:rPr>
                    <w:t>评价标准</w:t>
                  </w:r>
                </w:p>
              </w:tc>
            </w:tr>
            <w:tr w14:paraId="185BFC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14" w:type="pct"/>
                  <w:vMerge w:val="restart"/>
                  <w:vAlign w:val="center"/>
                </w:tcPr>
                <w:p w14:paraId="009DA7CE">
                  <w:pPr>
                    <w:widowControl/>
                    <w:jc w:val="center"/>
                    <w:rPr>
                      <w:kern w:val="0"/>
                      <w:szCs w:val="21"/>
                    </w:rPr>
                  </w:pPr>
                  <w:r>
                    <w:rPr>
                      <w:kern w:val="0"/>
                      <w:szCs w:val="21"/>
                    </w:rPr>
                    <w:t>厂界东</w:t>
                  </w:r>
                </w:p>
              </w:tc>
              <w:tc>
                <w:tcPr>
                  <w:tcW w:w="714" w:type="pct"/>
                  <w:vAlign w:val="center"/>
                </w:tcPr>
                <w:p w14:paraId="3B3B3D89">
                  <w:pPr>
                    <w:widowControl/>
                    <w:jc w:val="center"/>
                    <w:rPr>
                      <w:kern w:val="0"/>
                      <w:szCs w:val="21"/>
                    </w:rPr>
                  </w:pPr>
                  <w:r>
                    <w:rPr>
                      <w:kern w:val="0"/>
                      <w:szCs w:val="21"/>
                    </w:rPr>
                    <w:t>N1</w:t>
                  </w:r>
                </w:p>
              </w:tc>
              <w:tc>
                <w:tcPr>
                  <w:tcW w:w="714" w:type="pct"/>
                  <w:vAlign w:val="center"/>
                </w:tcPr>
                <w:p w14:paraId="6AB49758">
                  <w:pPr>
                    <w:widowControl/>
                    <w:jc w:val="center"/>
                    <w:rPr>
                      <w:kern w:val="0"/>
                      <w:szCs w:val="21"/>
                    </w:rPr>
                  </w:pPr>
                  <w:r>
                    <w:rPr>
                      <w:kern w:val="0"/>
                      <w:szCs w:val="21"/>
                    </w:rPr>
                    <w:t>3</w:t>
                  </w:r>
                </w:p>
              </w:tc>
              <w:tc>
                <w:tcPr>
                  <w:tcW w:w="714" w:type="pct"/>
                  <w:vAlign w:val="center"/>
                </w:tcPr>
                <w:p w14:paraId="2D1F09D3">
                  <w:pPr>
                    <w:widowControl/>
                    <w:jc w:val="center"/>
                    <w:rPr>
                      <w:kern w:val="0"/>
                      <w:szCs w:val="21"/>
                    </w:rPr>
                  </w:pPr>
                  <w:r>
                    <w:rPr>
                      <w:kern w:val="0"/>
                      <w:szCs w:val="21"/>
                    </w:rPr>
                    <w:t>39.1</w:t>
                  </w:r>
                </w:p>
              </w:tc>
              <w:tc>
                <w:tcPr>
                  <w:tcW w:w="714" w:type="pct"/>
                  <w:vAlign w:val="center"/>
                </w:tcPr>
                <w:p w14:paraId="1AC8AAFD">
                  <w:pPr>
                    <w:widowControl/>
                    <w:jc w:val="center"/>
                    <w:rPr>
                      <w:kern w:val="0"/>
                      <w:szCs w:val="21"/>
                    </w:rPr>
                  </w:pPr>
                  <w:r>
                    <w:rPr>
                      <w:kern w:val="0"/>
                      <w:szCs w:val="21"/>
                    </w:rPr>
                    <w:t>65</w:t>
                  </w:r>
                </w:p>
              </w:tc>
              <w:tc>
                <w:tcPr>
                  <w:tcW w:w="714" w:type="pct"/>
                  <w:vAlign w:val="center"/>
                </w:tcPr>
                <w:p w14:paraId="1F545C64">
                  <w:pPr>
                    <w:widowControl/>
                    <w:jc w:val="center"/>
                    <w:rPr>
                      <w:kern w:val="0"/>
                      <w:szCs w:val="21"/>
                    </w:rPr>
                  </w:pPr>
                  <w:r>
                    <w:rPr>
                      <w:kern w:val="0"/>
                      <w:szCs w:val="21"/>
                    </w:rPr>
                    <w:t>49.6</w:t>
                  </w:r>
                </w:p>
              </w:tc>
              <w:tc>
                <w:tcPr>
                  <w:tcW w:w="714" w:type="pct"/>
                  <w:vAlign w:val="center"/>
                </w:tcPr>
                <w:p w14:paraId="02692FD0">
                  <w:pPr>
                    <w:widowControl/>
                    <w:jc w:val="center"/>
                    <w:rPr>
                      <w:kern w:val="0"/>
                      <w:szCs w:val="21"/>
                    </w:rPr>
                  </w:pPr>
                  <w:r>
                    <w:rPr>
                      <w:kern w:val="0"/>
                      <w:szCs w:val="21"/>
                    </w:rPr>
                    <w:t>55</w:t>
                  </w:r>
                </w:p>
              </w:tc>
            </w:tr>
            <w:tr w14:paraId="633D55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14" w:type="pct"/>
                  <w:vMerge w:val="continue"/>
                  <w:vAlign w:val="center"/>
                </w:tcPr>
                <w:p w14:paraId="1C04E86E">
                  <w:pPr>
                    <w:widowControl/>
                    <w:jc w:val="left"/>
                    <w:rPr>
                      <w:kern w:val="0"/>
                      <w:szCs w:val="21"/>
                    </w:rPr>
                  </w:pPr>
                </w:p>
              </w:tc>
              <w:tc>
                <w:tcPr>
                  <w:tcW w:w="714" w:type="pct"/>
                  <w:vAlign w:val="center"/>
                </w:tcPr>
                <w:p w14:paraId="035573C5">
                  <w:pPr>
                    <w:widowControl/>
                    <w:jc w:val="center"/>
                    <w:rPr>
                      <w:kern w:val="0"/>
                      <w:szCs w:val="21"/>
                    </w:rPr>
                  </w:pPr>
                  <w:r>
                    <w:rPr>
                      <w:kern w:val="0"/>
                      <w:szCs w:val="21"/>
                    </w:rPr>
                    <w:t>N2</w:t>
                  </w:r>
                </w:p>
              </w:tc>
              <w:tc>
                <w:tcPr>
                  <w:tcW w:w="714" w:type="pct"/>
                  <w:vAlign w:val="center"/>
                </w:tcPr>
                <w:p w14:paraId="0046FBB3">
                  <w:pPr>
                    <w:widowControl/>
                    <w:jc w:val="center"/>
                    <w:rPr>
                      <w:kern w:val="0"/>
                      <w:szCs w:val="21"/>
                    </w:rPr>
                  </w:pPr>
                  <w:r>
                    <w:rPr>
                      <w:kern w:val="0"/>
                      <w:szCs w:val="21"/>
                    </w:rPr>
                    <w:t>3</w:t>
                  </w:r>
                </w:p>
              </w:tc>
              <w:tc>
                <w:tcPr>
                  <w:tcW w:w="714" w:type="pct"/>
                  <w:vAlign w:val="center"/>
                </w:tcPr>
                <w:p w14:paraId="3E32BF2B">
                  <w:pPr>
                    <w:widowControl/>
                    <w:jc w:val="center"/>
                    <w:rPr>
                      <w:kern w:val="0"/>
                      <w:szCs w:val="21"/>
                    </w:rPr>
                  </w:pPr>
                  <w:r>
                    <w:rPr>
                      <w:kern w:val="0"/>
                      <w:szCs w:val="21"/>
                    </w:rPr>
                    <w:t>54.1</w:t>
                  </w:r>
                </w:p>
              </w:tc>
              <w:tc>
                <w:tcPr>
                  <w:tcW w:w="714" w:type="pct"/>
                  <w:vAlign w:val="center"/>
                </w:tcPr>
                <w:p w14:paraId="3BDCB6DB">
                  <w:pPr>
                    <w:widowControl/>
                    <w:jc w:val="center"/>
                    <w:rPr>
                      <w:kern w:val="0"/>
                      <w:szCs w:val="21"/>
                    </w:rPr>
                  </w:pPr>
                  <w:r>
                    <w:rPr>
                      <w:kern w:val="0"/>
                      <w:szCs w:val="21"/>
                    </w:rPr>
                    <w:t>65</w:t>
                  </w:r>
                </w:p>
              </w:tc>
              <w:tc>
                <w:tcPr>
                  <w:tcW w:w="714" w:type="pct"/>
                  <w:vAlign w:val="center"/>
                </w:tcPr>
                <w:p w14:paraId="1D5FB671">
                  <w:pPr>
                    <w:widowControl/>
                    <w:jc w:val="center"/>
                    <w:rPr>
                      <w:kern w:val="0"/>
                      <w:szCs w:val="21"/>
                    </w:rPr>
                  </w:pPr>
                  <w:r>
                    <w:rPr>
                      <w:kern w:val="0"/>
                      <w:szCs w:val="21"/>
                    </w:rPr>
                    <w:t>48.1</w:t>
                  </w:r>
                </w:p>
              </w:tc>
              <w:tc>
                <w:tcPr>
                  <w:tcW w:w="714" w:type="pct"/>
                  <w:vAlign w:val="center"/>
                </w:tcPr>
                <w:p w14:paraId="7BE6E071">
                  <w:pPr>
                    <w:widowControl/>
                    <w:jc w:val="center"/>
                    <w:rPr>
                      <w:kern w:val="0"/>
                      <w:szCs w:val="21"/>
                    </w:rPr>
                  </w:pPr>
                  <w:r>
                    <w:rPr>
                      <w:kern w:val="0"/>
                      <w:szCs w:val="21"/>
                    </w:rPr>
                    <w:t>55</w:t>
                  </w:r>
                </w:p>
              </w:tc>
            </w:tr>
            <w:tr w14:paraId="15E9C1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14" w:type="pct"/>
                  <w:vMerge w:val="restart"/>
                  <w:vAlign w:val="center"/>
                </w:tcPr>
                <w:p w14:paraId="430A974B">
                  <w:pPr>
                    <w:widowControl/>
                    <w:jc w:val="center"/>
                    <w:rPr>
                      <w:kern w:val="0"/>
                      <w:szCs w:val="21"/>
                    </w:rPr>
                  </w:pPr>
                  <w:r>
                    <w:rPr>
                      <w:kern w:val="0"/>
                      <w:szCs w:val="21"/>
                    </w:rPr>
                    <w:t>厂界北</w:t>
                  </w:r>
                </w:p>
              </w:tc>
              <w:tc>
                <w:tcPr>
                  <w:tcW w:w="714" w:type="pct"/>
                  <w:vAlign w:val="center"/>
                </w:tcPr>
                <w:p w14:paraId="085AEC9E">
                  <w:pPr>
                    <w:widowControl/>
                    <w:jc w:val="center"/>
                    <w:rPr>
                      <w:kern w:val="0"/>
                      <w:szCs w:val="21"/>
                    </w:rPr>
                  </w:pPr>
                  <w:r>
                    <w:rPr>
                      <w:kern w:val="0"/>
                      <w:szCs w:val="21"/>
                    </w:rPr>
                    <w:t>N3</w:t>
                  </w:r>
                </w:p>
              </w:tc>
              <w:tc>
                <w:tcPr>
                  <w:tcW w:w="714" w:type="pct"/>
                  <w:vAlign w:val="center"/>
                </w:tcPr>
                <w:p w14:paraId="2334311B">
                  <w:pPr>
                    <w:widowControl/>
                    <w:jc w:val="center"/>
                    <w:rPr>
                      <w:kern w:val="0"/>
                      <w:szCs w:val="21"/>
                    </w:rPr>
                  </w:pPr>
                  <w:r>
                    <w:rPr>
                      <w:kern w:val="0"/>
                      <w:szCs w:val="21"/>
                    </w:rPr>
                    <w:t>3</w:t>
                  </w:r>
                </w:p>
              </w:tc>
              <w:tc>
                <w:tcPr>
                  <w:tcW w:w="714" w:type="pct"/>
                  <w:vAlign w:val="center"/>
                </w:tcPr>
                <w:p w14:paraId="244CAC22">
                  <w:pPr>
                    <w:widowControl/>
                    <w:jc w:val="center"/>
                    <w:rPr>
                      <w:kern w:val="0"/>
                      <w:szCs w:val="21"/>
                    </w:rPr>
                  </w:pPr>
                  <w:r>
                    <w:rPr>
                      <w:kern w:val="0"/>
                      <w:szCs w:val="21"/>
                    </w:rPr>
                    <w:t>46</w:t>
                  </w:r>
                </w:p>
              </w:tc>
              <w:tc>
                <w:tcPr>
                  <w:tcW w:w="714" w:type="pct"/>
                  <w:vAlign w:val="center"/>
                </w:tcPr>
                <w:p w14:paraId="2C74473B">
                  <w:pPr>
                    <w:widowControl/>
                    <w:jc w:val="center"/>
                    <w:rPr>
                      <w:kern w:val="0"/>
                      <w:szCs w:val="21"/>
                    </w:rPr>
                  </w:pPr>
                  <w:r>
                    <w:rPr>
                      <w:kern w:val="0"/>
                      <w:szCs w:val="21"/>
                    </w:rPr>
                    <w:t>65</w:t>
                  </w:r>
                </w:p>
              </w:tc>
              <w:tc>
                <w:tcPr>
                  <w:tcW w:w="714" w:type="pct"/>
                  <w:vAlign w:val="center"/>
                </w:tcPr>
                <w:p w14:paraId="03DD62BA">
                  <w:pPr>
                    <w:widowControl/>
                    <w:jc w:val="center"/>
                    <w:rPr>
                      <w:kern w:val="0"/>
                      <w:szCs w:val="21"/>
                    </w:rPr>
                  </w:pPr>
                  <w:r>
                    <w:rPr>
                      <w:kern w:val="0"/>
                      <w:szCs w:val="21"/>
                    </w:rPr>
                    <w:t>52.1</w:t>
                  </w:r>
                </w:p>
              </w:tc>
              <w:tc>
                <w:tcPr>
                  <w:tcW w:w="714" w:type="pct"/>
                  <w:vAlign w:val="center"/>
                </w:tcPr>
                <w:p w14:paraId="5F212733">
                  <w:pPr>
                    <w:widowControl/>
                    <w:jc w:val="center"/>
                    <w:rPr>
                      <w:kern w:val="0"/>
                      <w:szCs w:val="21"/>
                    </w:rPr>
                  </w:pPr>
                  <w:r>
                    <w:rPr>
                      <w:kern w:val="0"/>
                      <w:szCs w:val="21"/>
                    </w:rPr>
                    <w:t>55</w:t>
                  </w:r>
                </w:p>
              </w:tc>
            </w:tr>
            <w:tr w14:paraId="4B9C26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14" w:type="pct"/>
                  <w:vMerge w:val="continue"/>
                  <w:vAlign w:val="center"/>
                </w:tcPr>
                <w:p w14:paraId="43A283D3">
                  <w:pPr>
                    <w:widowControl/>
                    <w:jc w:val="left"/>
                    <w:rPr>
                      <w:kern w:val="0"/>
                      <w:szCs w:val="21"/>
                    </w:rPr>
                  </w:pPr>
                </w:p>
              </w:tc>
              <w:tc>
                <w:tcPr>
                  <w:tcW w:w="714" w:type="pct"/>
                  <w:vAlign w:val="center"/>
                </w:tcPr>
                <w:p w14:paraId="4CA80D05">
                  <w:pPr>
                    <w:widowControl/>
                    <w:jc w:val="center"/>
                    <w:rPr>
                      <w:kern w:val="0"/>
                      <w:szCs w:val="21"/>
                    </w:rPr>
                  </w:pPr>
                  <w:r>
                    <w:rPr>
                      <w:kern w:val="0"/>
                      <w:szCs w:val="21"/>
                    </w:rPr>
                    <w:t>N4</w:t>
                  </w:r>
                </w:p>
              </w:tc>
              <w:tc>
                <w:tcPr>
                  <w:tcW w:w="714" w:type="pct"/>
                  <w:vAlign w:val="center"/>
                </w:tcPr>
                <w:p w14:paraId="66084AB6">
                  <w:pPr>
                    <w:widowControl/>
                    <w:jc w:val="center"/>
                    <w:rPr>
                      <w:kern w:val="0"/>
                      <w:szCs w:val="21"/>
                    </w:rPr>
                  </w:pPr>
                  <w:r>
                    <w:rPr>
                      <w:kern w:val="0"/>
                      <w:szCs w:val="21"/>
                    </w:rPr>
                    <w:t>3</w:t>
                  </w:r>
                </w:p>
              </w:tc>
              <w:tc>
                <w:tcPr>
                  <w:tcW w:w="714" w:type="pct"/>
                  <w:vAlign w:val="center"/>
                </w:tcPr>
                <w:p w14:paraId="67271669">
                  <w:pPr>
                    <w:widowControl/>
                    <w:jc w:val="center"/>
                    <w:rPr>
                      <w:kern w:val="0"/>
                      <w:szCs w:val="21"/>
                    </w:rPr>
                  </w:pPr>
                  <w:r>
                    <w:rPr>
                      <w:kern w:val="0"/>
                      <w:szCs w:val="21"/>
                    </w:rPr>
                    <w:t>55.2</w:t>
                  </w:r>
                </w:p>
              </w:tc>
              <w:tc>
                <w:tcPr>
                  <w:tcW w:w="714" w:type="pct"/>
                  <w:vAlign w:val="center"/>
                </w:tcPr>
                <w:p w14:paraId="6193A25E">
                  <w:pPr>
                    <w:widowControl/>
                    <w:jc w:val="center"/>
                    <w:rPr>
                      <w:kern w:val="0"/>
                      <w:szCs w:val="21"/>
                    </w:rPr>
                  </w:pPr>
                  <w:r>
                    <w:rPr>
                      <w:kern w:val="0"/>
                      <w:szCs w:val="21"/>
                    </w:rPr>
                    <w:t>65</w:t>
                  </w:r>
                </w:p>
              </w:tc>
              <w:tc>
                <w:tcPr>
                  <w:tcW w:w="714" w:type="pct"/>
                  <w:vAlign w:val="center"/>
                </w:tcPr>
                <w:p w14:paraId="77C8E363">
                  <w:pPr>
                    <w:widowControl/>
                    <w:jc w:val="center"/>
                    <w:rPr>
                      <w:kern w:val="0"/>
                      <w:szCs w:val="21"/>
                    </w:rPr>
                  </w:pPr>
                  <w:r>
                    <w:rPr>
                      <w:kern w:val="0"/>
                      <w:szCs w:val="21"/>
                    </w:rPr>
                    <w:t>53.8</w:t>
                  </w:r>
                </w:p>
              </w:tc>
              <w:tc>
                <w:tcPr>
                  <w:tcW w:w="714" w:type="pct"/>
                  <w:vAlign w:val="center"/>
                </w:tcPr>
                <w:p w14:paraId="70C834BD">
                  <w:pPr>
                    <w:widowControl/>
                    <w:jc w:val="center"/>
                    <w:rPr>
                      <w:kern w:val="0"/>
                      <w:szCs w:val="21"/>
                    </w:rPr>
                  </w:pPr>
                  <w:r>
                    <w:rPr>
                      <w:kern w:val="0"/>
                      <w:szCs w:val="21"/>
                    </w:rPr>
                    <w:t>55</w:t>
                  </w:r>
                </w:p>
              </w:tc>
            </w:tr>
            <w:tr w14:paraId="2B5CBA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14" w:type="pct"/>
                  <w:vMerge w:val="restart"/>
                  <w:vAlign w:val="center"/>
                </w:tcPr>
                <w:p w14:paraId="407EEA3A">
                  <w:pPr>
                    <w:widowControl/>
                    <w:jc w:val="center"/>
                    <w:rPr>
                      <w:kern w:val="0"/>
                      <w:sz w:val="20"/>
                      <w:szCs w:val="20"/>
                    </w:rPr>
                  </w:pPr>
                  <w:r>
                    <w:rPr>
                      <w:kern w:val="0"/>
                      <w:sz w:val="20"/>
                      <w:szCs w:val="20"/>
                    </w:rPr>
                    <w:t>厂界南</w:t>
                  </w:r>
                </w:p>
              </w:tc>
              <w:tc>
                <w:tcPr>
                  <w:tcW w:w="714" w:type="pct"/>
                  <w:vAlign w:val="center"/>
                </w:tcPr>
                <w:p w14:paraId="5FEC7D19">
                  <w:pPr>
                    <w:widowControl/>
                    <w:jc w:val="center"/>
                    <w:rPr>
                      <w:kern w:val="0"/>
                      <w:szCs w:val="21"/>
                    </w:rPr>
                  </w:pPr>
                  <w:r>
                    <w:rPr>
                      <w:kern w:val="0"/>
                      <w:szCs w:val="21"/>
                    </w:rPr>
                    <w:t>N5</w:t>
                  </w:r>
                </w:p>
              </w:tc>
              <w:tc>
                <w:tcPr>
                  <w:tcW w:w="714" w:type="pct"/>
                  <w:vAlign w:val="center"/>
                </w:tcPr>
                <w:p w14:paraId="0E88139C">
                  <w:pPr>
                    <w:widowControl/>
                    <w:jc w:val="center"/>
                    <w:rPr>
                      <w:kern w:val="0"/>
                      <w:szCs w:val="21"/>
                    </w:rPr>
                  </w:pPr>
                  <w:r>
                    <w:rPr>
                      <w:kern w:val="0"/>
                      <w:szCs w:val="21"/>
                    </w:rPr>
                    <w:t>3</w:t>
                  </w:r>
                </w:p>
              </w:tc>
              <w:tc>
                <w:tcPr>
                  <w:tcW w:w="714" w:type="pct"/>
                  <w:vAlign w:val="center"/>
                </w:tcPr>
                <w:p w14:paraId="1564EDE3">
                  <w:pPr>
                    <w:widowControl/>
                    <w:jc w:val="center"/>
                    <w:rPr>
                      <w:kern w:val="0"/>
                      <w:szCs w:val="21"/>
                    </w:rPr>
                  </w:pPr>
                  <w:r>
                    <w:rPr>
                      <w:kern w:val="0"/>
                      <w:szCs w:val="21"/>
                    </w:rPr>
                    <w:t>59.2</w:t>
                  </w:r>
                </w:p>
              </w:tc>
              <w:tc>
                <w:tcPr>
                  <w:tcW w:w="714" w:type="pct"/>
                  <w:vAlign w:val="center"/>
                </w:tcPr>
                <w:p w14:paraId="5C06E95E">
                  <w:pPr>
                    <w:widowControl/>
                    <w:jc w:val="center"/>
                    <w:rPr>
                      <w:kern w:val="0"/>
                      <w:szCs w:val="21"/>
                    </w:rPr>
                  </w:pPr>
                  <w:r>
                    <w:rPr>
                      <w:kern w:val="0"/>
                      <w:szCs w:val="21"/>
                    </w:rPr>
                    <w:t>65</w:t>
                  </w:r>
                </w:p>
              </w:tc>
              <w:tc>
                <w:tcPr>
                  <w:tcW w:w="714" w:type="pct"/>
                  <w:vAlign w:val="center"/>
                </w:tcPr>
                <w:p w14:paraId="10339511">
                  <w:pPr>
                    <w:widowControl/>
                    <w:jc w:val="center"/>
                    <w:rPr>
                      <w:kern w:val="0"/>
                      <w:szCs w:val="21"/>
                    </w:rPr>
                  </w:pPr>
                  <w:r>
                    <w:rPr>
                      <w:kern w:val="0"/>
                      <w:szCs w:val="21"/>
                    </w:rPr>
                    <w:t>44.1</w:t>
                  </w:r>
                </w:p>
              </w:tc>
              <w:tc>
                <w:tcPr>
                  <w:tcW w:w="714" w:type="pct"/>
                  <w:vAlign w:val="center"/>
                </w:tcPr>
                <w:p w14:paraId="25EA5F74">
                  <w:pPr>
                    <w:widowControl/>
                    <w:jc w:val="center"/>
                    <w:rPr>
                      <w:kern w:val="0"/>
                      <w:szCs w:val="21"/>
                    </w:rPr>
                  </w:pPr>
                  <w:r>
                    <w:rPr>
                      <w:kern w:val="0"/>
                      <w:szCs w:val="21"/>
                    </w:rPr>
                    <w:t>55</w:t>
                  </w:r>
                </w:p>
              </w:tc>
            </w:tr>
            <w:tr w14:paraId="7743BD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14" w:type="pct"/>
                  <w:vMerge w:val="continue"/>
                  <w:vAlign w:val="center"/>
                </w:tcPr>
                <w:p w14:paraId="1F681CBF">
                  <w:pPr>
                    <w:widowControl/>
                    <w:jc w:val="left"/>
                    <w:rPr>
                      <w:kern w:val="0"/>
                      <w:sz w:val="20"/>
                      <w:szCs w:val="20"/>
                    </w:rPr>
                  </w:pPr>
                </w:p>
              </w:tc>
              <w:tc>
                <w:tcPr>
                  <w:tcW w:w="714" w:type="pct"/>
                  <w:vAlign w:val="center"/>
                </w:tcPr>
                <w:p w14:paraId="7823939D">
                  <w:pPr>
                    <w:widowControl/>
                    <w:jc w:val="center"/>
                    <w:rPr>
                      <w:kern w:val="0"/>
                      <w:szCs w:val="21"/>
                    </w:rPr>
                  </w:pPr>
                  <w:r>
                    <w:rPr>
                      <w:kern w:val="0"/>
                      <w:szCs w:val="21"/>
                    </w:rPr>
                    <w:t>N6</w:t>
                  </w:r>
                </w:p>
              </w:tc>
              <w:tc>
                <w:tcPr>
                  <w:tcW w:w="714" w:type="pct"/>
                  <w:vAlign w:val="center"/>
                </w:tcPr>
                <w:p w14:paraId="07E2F223">
                  <w:pPr>
                    <w:widowControl/>
                    <w:jc w:val="center"/>
                    <w:rPr>
                      <w:kern w:val="0"/>
                      <w:szCs w:val="21"/>
                    </w:rPr>
                  </w:pPr>
                  <w:r>
                    <w:rPr>
                      <w:kern w:val="0"/>
                      <w:szCs w:val="21"/>
                    </w:rPr>
                    <w:t>3</w:t>
                  </w:r>
                </w:p>
              </w:tc>
              <w:tc>
                <w:tcPr>
                  <w:tcW w:w="714" w:type="pct"/>
                  <w:vAlign w:val="center"/>
                </w:tcPr>
                <w:p w14:paraId="286FE52F">
                  <w:pPr>
                    <w:widowControl/>
                    <w:jc w:val="center"/>
                    <w:rPr>
                      <w:kern w:val="0"/>
                      <w:szCs w:val="21"/>
                    </w:rPr>
                  </w:pPr>
                  <w:r>
                    <w:rPr>
                      <w:kern w:val="0"/>
                      <w:szCs w:val="21"/>
                    </w:rPr>
                    <w:t>55</w:t>
                  </w:r>
                </w:p>
              </w:tc>
              <w:tc>
                <w:tcPr>
                  <w:tcW w:w="714" w:type="pct"/>
                  <w:vAlign w:val="center"/>
                </w:tcPr>
                <w:p w14:paraId="67B805F4">
                  <w:pPr>
                    <w:widowControl/>
                    <w:jc w:val="center"/>
                    <w:rPr>
                      <w:kern w:val="0"/>
                      <w:szCs w:val="21"/>
                    </w:rPr>
                  </w:pPr>
                  <w:r>
                    <w:rPr>
                      <w:kern w:val="0"/>
                      <w:szCs w:val="21"/>
                    </w:rPr>
                    <w:t>65</w:t>
                  </w:r>
                </w:p>
              </w:tc>
              <w:tc>
                <w:tcPr>
                  <w:tcW w:w="714" w:type="pct"/>
                  <w:vAlign w:val="center"/>
                </w:tcPr>
                <w:p w14:paraId="19C93F3B">
                  <w:pPr>
                    <w:widowControl/>
                    <w:jc w:val="center"/>
                    <w:rPr>
                      <w:kern w:val="0"/>
                      <w:szCs w:val="21"/>
                    </w:rPr>
                  </w:pPr>
                  <w:r>
                    <w:rPr>
                      <w:kern w:val="0"/>
                      <w:szCs w:val="21"/>
                    </w:rPr>
                    <w:t>48.8</w:t>
                  </w:r>
                </w:p>
              </w:tc>
              <w:tc>
                <w:tcPr>
                  <w:tcW w:w="714" w:type="pct"/>
                  <w:vAlign w:val="center"/>
                </w:tcPr>
                <w:p w14:paraId="588B68E3">
                  <w:pPr>
                    <w:widowControl/>
                    <w:jc w:val="center"/>
                    <w:rPr>
                      <w:kern w:val="0"/>
                      <w:szCs w:val="21"/>
                    </w:rPr>
                  </w:pPr>
                  <w:r>
                    <w:rPr>
                      <w:kern w:val="0"/>
                      <w:szCs w:val="21"/>
                    </w:rPr>
                    <w:t>55</w:t>
                  </w:r>
                </w:p>
              </w:tc>
            </w:tr>
            <w:tr w14:paraId="1BB40F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14" w:type="pct"/>
                  <w:vMerge w:val="restart"/>
                  <w:vAlign w:val="center"/>
                </w:tcPr>
                <w:p w14:paraId="7CDC2723">
                  <w:pPr>
                    <w:widowControl/>
                    <w:jc w:val="center"/>
                    <w:rPr>
                      <w:kern w:val="0"/>
                      <w:szCs w:val="21"/>
                    </w:rPr>
                  </w:pPr>
                  <w:r>
                    <w:rPr>
                      <w:kern w:val="0"/>
                      <w:szCs w:val="21"/>
                    </w:rPr>
                    <w:t>厂界西</w:t>
                  </w:r>
                </w:p>
              </w:tc>
              <w:tc>
                <w:tcPr>
                  <w:tcW w:w="714" w:type="pct"/>
                  <w:vAlign w:val="center"/>
                </w:tcPr>
                <w:p w14:paraId="24D66BB8">
                  <w:pPr>
                    <w:widowControl/>
                    <w:jc w:val="center"/>
                    <w:rPr>
                      <w:kern w:val="0"/>
                      <w:szCs w:val="21"/>
                    </w:rPr>
                  </w:pPr>
                  <w:r>
                    <w:rPr>
                      <w:kern w:val="0"/>
                      <w:szCs w:val="21"/>
                    </w:rPr>
                    <w:t>N7</w:t>
                  </w:r>
                </w:p>
              </w:tc>
              <w:tc>
                <w:tcPr>
                  <w:tcW w:w="714" w:type="pct"/>
                  <w:vAlign w:val="center"/>
                </w:tcPr>
                <w:p w14:paraId="50EF2B03">
                  <w:pPr>
                    <w:widowControl/>
                    <w:jc w:val="center"/>
                    <w:rPr>
                      <w:kern w:val="0"/>
                      <w:szCs w:val="21"/>
                    </w:rPr>
                  </w:pPr>
                  <w:r>
                    <w:rPr>
                      <w:kern w:val="0"/>
                      <w:szCs w:val="21"/>
                    </w:rPr>
                    <w:t>3</w:t>
                  </w:r>
                </w:p>
              </w:tc>
              <w:tc>
                <w:tcPr>
                  <w:tcW w:w="714" w:type="pct"/>
                  <w:vAlign w:val="center"/>
                </w:tcPr>
                <w:p w14:paraId="025202A3">
                  <w:pPr>
                    <w:widowControl/>
                    <w:jc w:val="center"/>
                    <w:rPr>
                      <w:kern w:val="0"/>
                      <w:szCs w:val="21"/>
                    </w:rPr>
                  </w:pPr>
                  <w:r>
                    <w:rPr>
                      <w:kern w:val="0"/>
                      <w:szCs w:val="21"/>
                    </w:rPr>
                    <w:t>53</w:t>
                  </w:r>
                </w:p>
              </w:tc>
              <w:tc>
                <w:tcPr>
                  <w:tcW w:w="714" w:type="pct"/>
                  <w:vAlign w:val="center"/>
                </w:tcPr>
                <w:p w14:paraId="1F3BD3F3">
                  <w:pPr>
                    <w:widowControl/>
                    <w:jc w:val="center"/>
                    <w:rPr>
                      <w:kern w:val="0"/>
                      <w:szCs w:val="21"/>
                    </w:rPr>
                  </w:pPr>
                  <w:r>
                    <w:rPr>
                      <w:kern w:val="0"/>
                      <w:szCs w:val="21"/>
                    </w:rPr>
                    <w:t>65</w:t>
                  </w:r>
                </w:p>
              </w:tc>
              <w:tc>
                <w:tcPr>
                  <w:tcW w:w="714" w:type="pct"/>
                  <w:vAlign w:val="center"/>
                </w:tcPr>
                <w:p w14:paraId="553ED59D">
                  <w:pPr>
                    <w:widowControl/>
                    <w:jc w:val="center"/>
                    <w:rPr>
                      <w:kern w:val="0"/>
                      <w:szCs w:val="21"/>
                    </w:rPr>
                  </w:pPr>
                  <w:r>
                    <w:rPr>
                      <w:kern w:val="0"/>
                      <w:szCs w:val="21"/>
                    </w:rPr>
                    <w:t>50.9</w:t>
                  </w:r>
                </w:p>
              </w:tc>
              <w:tc>
                <w:tcPr>
                  <w:tcW w:w="714" w:type="pct"/>
                  <w:vAlign w:val="center"/>
                </w:tcPr>
                <w:p w14:paraId="6695CBB0">
                  <w:pPr>
                    <w:widowControl/>
                    <w:jc w:val="center"/>
                    <w:rPr>
                      <w:kern w:val="0"/>
                      <w:szCs w:val="21"/>
                    </w:rPr>
                  </w:pPr>
                  <w:r>
                    <w:rPr>
                      <w:kern w:val="0"/>
                      <w:szCs w:val="21"/>
                    </w:rPr>
                    <w:t>55</w:t>
                  </w:r>
                </w:p>
              </w:tc>
            </w:tr>
            <w:tr w14:paraId="29E719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14" w:type="pct"/>
                  <w:vMerge w:val="continue"/>
                  <w:vAlign w:val="center"/>
                </w:tcPr>
                <w:p w14:paraId="65B4556C">
                  <w:pPr>
                    <w:widowControl/>
                    <w:jc w:val="left"/>
                    <w:rPr>
                      <w:kern w:val="0"/>
                      <w:szCs w:val="21"/>
                    </w:rPr>
                  </w:pPr>
                </w:p>
              </w:tc>
              <w:tc>
                <w:tcPr>
                  <w:tcW w:w="714" w:type="pct"/>
                  <w:vAlign w:val="center"/>
                </w:tcPr>
                <w:p w14:paraId="523E0F89">
                  <w:pPr>
                    <w:widowControl/>
                    <w:jc w:val="center"/>
                    <w:rPr>
                      <w:kern w:val="0"/>
                      <w:szCs w:val="21"/>
                    </w:rPr>
                  </w:pPr>
                  <w:r>
                    <w:rPr>
                      <w:kern w:val="0"/>
                      <w:szCs w:val="21"/>
                    </w:rPr>
                    <w:t>N8</w:t>
                  </w:r>
                </w:p>
              </w:tc>
              <w:tc>
                <w:tcPr>
                  <w:tcW w:w="714" w:type="pct"/>
                  <w:vAlign w:val="center"/>
                </w:tcPr>
                <w:p w14:paraId="31E6EBEA">
                  <w:pPr>
                    <w:widowControl/>
                    <w:jc w:val="center"/>
                    <w:rPr>
                      <w:kern w:val="0"/>
                      <w:szCs w:val="21"/>
                    </w:rPr>
                  </w:pPr>
                  <w:r>
                    <w:rPr>
                      <w:kern w:val="0"/>
                      <w:szCs w:val="21"/>
                    </w:rPr>
                    <w:t>3</w:t>
                  </w:r>
                </w:p>
              </w:tc>
              <w:tc>
                <w:tcPr>
                  <w:tcW w:w="714" w:type="pct"/>
                  <w:vAlign w:val="center"/>
                </w:tcPr>
                <w:p w14:paraId="02F52E21">
                  <w:pPr>
                    <w:widowControl/>
                    <w:jc w:val="center"/>
                    <w:rPr>
                      <w:kern w:val="0"/>
                      <w:szCs w:val="21"/>
                    </w:rPr>
                  </w:pPr>
                  <w:r>
                    <w:rPr>
                      <w:kern w:val="0"/>
                      <w:szCs w:val="21"/>
                    </w:rPr>
                    <w:t>46.7</w:t>
                  </w:r>
                </w:p>
              </w:tc>
              <w:tc>
                <w:tcPr>
                  <w:tcW w:w="714" w:type="pct"/>
                  <w:vAlign w:val="center"/>
                </w:tcPr>
                <w:p w14:paraId="12F74B5C">
                  <w:pPr>
                    <w:widowControl/>
                    <w:jc w:val="center"/>
                    <w:rPr>
                      <w:kern w:val="0"/>
                      <w:szCs w:val="21"/>
                    </w:rPr>
                  </w:pPr>
                  <w:r>
                    <w:rPr>
                      <w:kern w:val="0"/>
                      <w:szCs w:val="21"/>
                    </w:rPr>
                    <w:t>65</w:t>
                  </w:r>
                </w:p>
              </w:tc>
              <w:tc>
                <w:tcPr>
                  <w:tcW w:w="714" w:type="pct"/>
                  <w:vAlign w:val="center"/>
                </w:tcPr>
                <w:p w14:paraId="3412B1B6">
                  <w:pPr>
                    <w:widowControl/>
                    <w:jc w:val="center"/>
                    <w:rPr>
                      <w:kern w:val="0"/>
                      <w:szCs w:val="21"/>
                    </w:rPr>
                  </w:pPr>
                  <w:r>
                    <w:rPr>
                      <w:kern w:val="0"/>
                      <w:szCs w:val="21"/>
                    </w:rPr>
                    <w:t>50.4</w:t>
                  </w:r>
                </w:p>
              </w:tc>
              <w:tc>
                <w:tcPr>
                  <w:tcW w:w="714" w:type="pct"/>
                  <w:vAlign w:val="center"/>
                </w:tcPr>
                <w:p w14:paraId="4C3860D1">
                  <w:pPr>
                    <w:widowControl/>
                    <w:jc w:val="center"/>
                    <w:rPr>
                      <w:kern w:val="0"/>
                      <w:szCs w:val="21"/>
                    </w:rPr>
                  </w:pPr>
                  <w:r>
                    <w:rPr>
                      <w:kern w:val="0"/>
                      <w:szCs w:val="21"/>
                    </w:rPr>
                    <w:t>55</w:t>
                  </w:r>
                </w:p>
              </w:tc>
            </w:tr>
          </w:tbl>
          <w:p w14:paraId="21CEF7F4">
            <w:pPr>
              <w:pStyle w:val="22"/>
              <w:spacing w:line="360" w:lineRule="auto"/>
              <w:ind w:firstLine="482" w:firstLineChars="200"/>
              <w:jc w:val="both"/>
              <w:rPr>
                <w:b/>
                <w:szCs w:val="24"/>
              </w:rPr>
            </w:pPr>
            <w:r>
              <w:rPr>
                <w:b/>
                <w:szCs w:val="24"/>
              </w:rPr>
              <w:t>（3）固废产生及处置情况</w:t>
            </w:r>
          </w:p>
          <w:p w14:paraId="1C0B038A">
            <w:pPr>
              <w:pStyle w:val="22"/>
              <w:spacing w:line="360" w:lineRule="auto"/>
              <w:ind w:firstLine="480" w:firstLineChars="200"/>
              <w:jc w:val="both"/>
              <w:rPr>
                <w:bCs/>
                <w:szCs w:val="24"/>
              </w:rPr>
            </w:pPr>
            <w:r>
              <w:t>企业现有项目固体废物包括一般工业废物、危险固体废物和生活垃圾。</w:t>
            </w:r>
            <w:r>
              <w:rPr>
                <w:bCs/>
                <w:szCs w:val="24"/>
              </w:rPr>
              <w:t>其他固体废物均委外综合利用或处置。企业2024年固废产生情况见表2-</w:t>
            </w:r>
            <w:r>
              <w:rPr>
                <w:rFonts w:hint="eastAsia"/>
                <w:bCs/>
                <w:szCs w:val="24"/>
              </w:rPr>
              <w:t>21</w:t>
            </w:r>
            <w:r>
              <w:rPr>
                <w:bCs/>
                <w:szCs w:val="24"/>
              </w:rPr>
              <w:t>。</w:t>
            </w:r>
          </w:p>
          <w:p w14:paraId="3BC54AF6">
            <w:pPr>
              <w:pStyle w:val="42"/>
              <w:spacing w:before="40" w:beforeAutospacing="0" w:after="0" w:afterAutospacing="0" w:line="480" w:lineRule="exact"/>
              <w:jc w:val="center"/>
              <w:rPr>
                <w:rFonts w:ascii="Times New Roman" w:hAnsi="Times New Roman"/>
                <w:b/>
                <w:bCs/>
              </w:rPr>
            </w:pPr>
            <w:r>
              <w:rPr>
                <w:rFonts w:ascii="Times New Roman" w:hAnsi="Times New Roman"/>
                <w:b/>
                <w:bCs/>
              </w:rPr>
              <w:t>表2-</w:t>
            </w:r>
            <w:r>
              <w:rPr>
                <w:rFonts w:hint="eastAsia" w:ascii="Times New Roman" w:hAnsi="Times New Roman"/>
                <w:b/>
                <w:bCs/>
              </w:rPr>
              <w:t>21</w:t>
            </w:r>
            <w:r>
              <w:rPr>
                <w:rFonts w:ascii="Times New Roman" w:hAnsi="Times New Roman"/>
                <w:b/>
                <w:bCs/>
              </w:rPr>
              <w:t xml:space="preserve">  2024年现有项目固废产生情况统计</w:t>
            </w:r>
          </w:p>
          <w:tbl>
            <w:tblPr>
              <w:tblStyle w:val="92"/>
              <w:tblW w:w="74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0"/>
              <w:gridCol w:w="1004"/>
              <w:gridCol w:w="847"/>
              <w:gridCol w:w="1130"/>
              <w:gridCol w:w="427"/>
              <w:gridCol w:w="1129"/>
              <w:gridCol w:w="871"/>
              <w:gridCol w:w="1530"/>
            </w:tblGrid>
            <w:tr w14:paraId="1F2680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vMerge w:val="restart"/>
                  <w:vAlign w:val="center"/>
                </w:tcPr>
                <w:p w14:paraId="1AD99743">
                  <w:pPr>
                    <w:widowControl/>
                    <w:jc w:val="center"/>
                    <w:rPr>
                      <w:b/>
                      <w:bCs/>
                      <w:kern w:val="0"/>
                      <w:szCs w:val="21"/>
                    </w:rPr>
                  </w:pPr>
                  <w:r>
                    <w:rPr>
                      <w:b/>
                      <w:bCs/>
                      <w:kern w:val="0"/>
                      <w:szCs w:val="21"/>
                    </w:rPr>
                    <w:t>序号</w:t>
                  </w:r>
                </w:p>
              </w:tc>
              <w:tc>
                <w:tcPr>
                  <w:tcW w:w="1005" w:type="dxa"/>
                  <w:vMerge w:val="restart"/>
                  <w:vAlign w:val="center"/>
                </w:tcPr>
                <w:p w14:paraId="288C9B4A">
                  <w:pPr>
                    <w:widowControl/>
                    <w:jc w:val="center"/>
                    <w:rPr>
                      <w:b/>
                      <w:bCs/>
                      <w:kern w:val="0"/>
                      <w:szCs w:val="21"/>
                    </w:rPr>
                  </w:pPr>
                  <w:r>
                    <w:rPr>
                      <w:b/>
                      <w:bCs/>
                      <w:kern w:val="0"/>
                      <w:szCs w:val="21"/>
                    </w:rPr>
                    <w:t>副产物名称</w:t>
                  </w:r>
                </w:p>
              </w:tc>
              <w:tc>
                <w:tcPr>
                  <w:tcW w:w="850" w:type="dxa"/>
                  <w:vMerge w:val="restart"/>
                  <w:vAlign w:val="center"/>
                </w:tcPr>
                <w:p w14:paraId="352E3755">
                  <w:pPr>
                    <w:widowControl/>
                    <w:jc w:val="center"/>
                    <w:rPr>
                      <w:b/>
                      <w:bCs/>
                      <w:kern w:val="0"/>
                      <w:szCs w:val="21"/>
                    </w:rPr>
                  </w:pPr>
                  <w:r>
                    <w:rPr>
                      <w:b/>
                      <w:bCs/>
                      <w:kern w:val="0"/>
                      <w:szCs w:val="21"/>
                    </w:rPr>
                    <w:t>属性</w:t>
                  </w:r>
                </w:p>
              </w:tc>
              <w:tc>
                <w:tcPr>
                  <w:tcW w:w="1134" w:type="dxa"/>
                  <w:vMerge w:val="restart"/>
                  <w:vAlign w:val="center"/>
                </w:tcPr>
                <w:p w14:paraId="490D7C5D">
                  <w:pPr>
                    <w:widowControl/>
                    <w:jc w:val="center"/>
                    <w:rPr>
                      <w:b/>
                      <w:bCs/>
                      <w:kern w:val="0"/>
                      <w:szCs w:val="21"/>
                    </w:rPr>
                  </w:pPr>
                  <w:r>
                    <w:rPr>
                      <w:b/>
                      <w:bCs/>
                      <w:kern w:val="0"/>
                      <w:szCs w:val="21"/>
                    </w:rPr>
                    <w:t>产生设备</w:t>
                  </w:r>
                </w:p>
              </w:tc>
              <w:tc>
                <w:tcPr>
                  <w:tcW w:w="427" w:type="dxa"/>
                  <w:vMerge w:val="restart"/>
                  <w:vAlign w:val="center"/>
                </w:tcPr>
                <w:p w14:paraId="2568D660">
                  <w:pPr>
                    <w:widowControl/>
                    <w:jc w:val="center"/>
                    <w:rPr>
                      <w:b/>
                      <w:bCs/>
                      <w:kern w:val="0"/>
                      <w:szCs w:val="21"/>
                    </w:rPr>
                  </w:pPr>
                  <w:r>
                    <w:rPr>
                      <w:b/>
                      <w:bCs/>
                      <w:kern w:val="0"/>
                      <w:szCs w:val="21"/>
                    </w:rPr>
                    <w:t>形态</w:t>
                  </w:r>
                </w:p>
              </w:tc>
              <w:tc>
                <w:tcPr>
                  <w:tcW w:w="1133" w:type="dxa"/>
                  <w:vMerge w:val="restart"/>
                  <w:vAlign w:val="center"/>
                </w:tcPr>
                <w:p w14:paraId="41F4EB81">
                  <w:pPr>
                    <w:widowControl/>
                    <w:jc w:val="center"/>
                    <w:rPr>
                      <w:b/>
                      <w:bCs/>
                      <w:kern w:val="0"/>
                      <w:szCs w:val="21"/>
                    </w:rPr>
                  </w:pPr>
                  <w:r>
                    <w:rPr>
                      <w:b/>
                      <w:bCs/>
                      <w:kern w:val="0"/>
                      <w:szCs w:val="21"/>
                    </w:rPr>
                    <w:t>组分</w:t>
                  </w:r>
                </w:p>
              </w:tc>
              <w:tc>
                <w:tcPr>
                  <w:tcW w:w="851" w:type="dxa"/>
                  <w:vMerge w:val="restart"/>
                  <w:vAlign w:val="center"/>
                </w:tcPr>
                <w:p w14:paraId="6BFB8A67">
                  <w:pPr>
                    <w:widowControl/>
                    <w:jc w:val="center"/>
                    <w:rPr>
                      <w:b/>
                      <w:bCs/>
                      <w:kern w:val="0"/>
                      <w:szCs w:val="21"/>
                    </w:rPr>
                  </w:pPr>
                  <w:r>
                    <w:rPr>
                      <w:b/>
                      <w:bCs/>
                      <w:kern w:val="0"/>
                      <w:szCs w:val="21"/>
                    </w:rPr>
                    <w:t>产生量（t/a）</w:t>
                  </w:r>
                </w:p>
              </w:tc>
              <w:tc>
                <w:tcPr>
                  <w:tcW w:w="1537" w:type="dxa"/>
                  <w:vMerge w:val="restart"/>
                  <w:vAlign w:val="center"/>
                </w:tcPr>
                <w:p w14:paraId="2BF989C1">
                  <w:pPr>
                    <w:widowControl/>
                    <w:jc w:val="center"/>
                    <w:rPr>
                      <w:b/>
                      <w:bCs/>
                      <w:kern w:val="0"/>
                      <w:szCs w:val="21"/>
                    </w:rPr>
                  </w:pPr>
                  <w:r>
                    <w:rPr>
                      <w:b/>
                      <w:bCs/>
                      <w:kern w:val="0"/>
                      <w:szCs w:val="21"/>
                    </w:rPr>
                    <w:t>去向</w:t>
                  </w:r>
                </w:p>
              </w:tc>
            </w:tr>
            <w:tr w14:paraId="1E4A09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vMerge w:val="continue"/>
                  <w:vAlign w:val="center"/>
                </w:tcPr>
                <w:p w14:paraId="230F96F0">
                  <w:pPr>
                    <w:widowControl/>
                    <w:jc w:val="left"/>
                    <w:rPr>
                      <w:b/>
                      <w:bCs/>
                      <w:kern w:val="0"/>
                      <w:szCs w:val="21"/>
                    </w:rPr>
                  </w:pPr>
                </w:p>
              </w:tc>
              <w:tc>
                <w:tcPr>
                  <w:tcW w:w="1005" w:type="dxa"/>
                  <w:vMerge w:val="continue"/>
                  <w:vAlign w:val="center"/>
                </w:tcPr>
                <w:p w14:paraId="281E3A33">
                  <w:pPr>
                    <w:widowControl/>
                    <w:jc w:val="left"/>
                    <w:rPr>
                      <w:b/>
                      <w:bCs/>
                      <w:kern w:val="0"/>
                      <w:szCs w:val="21"/>
                    </w:rPr>
                  </w:pPr>
                </w:p>
              </w:tc>
              <w:tc>
                <w:tcPr>
                  <w:tcW w:w="850" w:type="dxa"/>
                  <w:vMerge w:val="continue"/>
                  <w:vAlign w:val="center"/>
                </w:tcPr>
                <w:p w14:paraId="2AAB752B">
                  <w:pPr>
                    <w:widowControl/>
                    <w:jc w:val="left"/>
                    <w:rPr>
                      <w:b/>
                      <w:bCs/>
                      <w:kern w:val="0"/>
                      <w:szCs w:val="21"/>
                    </w:rPr>
                  </w:pPr>
                </w:p>
              </w:tc>
              <w:tc>
                <w:tcPr>
                  <w:tcW w:w="1134" w:type="dxa"/>
                  <w:vMerge w:val="continue"/>
                  <w:vAlign w:val="center"/>
                </w:tcPr>
                <w:p w14:paraId="0EBAC6C5">
                  <w:pPr>
                    <w:widowControl/>
                    <w:jc w:val="left"/>
                    <w:rPr>
                      <w:b/>
                      <w:bCs/>
                      <w:kern w:val="0"/>
                      <w:szCs w:val="21"/>
                    </w:rPr>
                  </w:pPr>
                </w:p>
              </w:tc>
              <w:tc>
                <w:tcPr>
                  <w:tcW w:w="427" w:type="dxa"/>
                  <w:vMerge w:val="continue"/>
                  <w:vAlign w:val="center"/>
                </w:tcPr>
                <w:p w14:paraId="2E68265F">
                  <w:pPr>
                    <w:widowControl/>
                    <w:jc w:val="left"/>
                    <w:rPr>
                      <w:b/>
                      <w:bCs/>
                      <w:kern w:val="0"/>
                      <w:szCs w:val="21"/>
                    </w:rPr>
                  </w:pPr>
                </w:p>
              </w:tc>
              <w:tc>
                <w:tcPr>
                  <w:tcW w:w="1133" w:type="dxa"/>
                  <w:vMerge w:val="continue"/>
                  <w:vAlign w:val="center"/>
                </w:tcPr>
                <w:p w14:paraId="6C94C3D4">
                  <w:pPr>
                    <w:widowControl/>
                    <w:jc w:val="left"/>
                    <w:rPr>
                      <w:b/>
                      <w:bCs/>
                      <w:kern w:val="0"/>
                      <w:szCs w:val="21"/>
                    </w:rPr>
                  </w:pPr>
                </w:p>
              </w:tc>
              <w:tc>
                <w:tcPr>
                  <w:tcW w:w="851" w:type="dxa"/>
                  <w:vMerge w:val="continue"/>
                  <w:vAlign w:val="center"/>
                </w:tcPr>
                <w:p w14:paraId="22299A7F">
                  <w:pPr>
                    <w:widowControl/>
                    <w:jc w:val="left"/>
                    <w:rPr>
                      <w:b/>
                      <w:bCs/>
                      <w:kern w:val="0"/>
                      <w:szCs w:val="21"/>
                    </w:rPr>
                  </w:pPr>
                </w:p>
              </w:tc>
              <w:tc>
                <w:tcPr>
                  <w:tcW w:w="1537" w:type="dxa"/>
                  <w:vMerge w:val="continue"/>
                  <w:vAlign w:val="center"/>
                </w:tcPr>
                <w:p w14:paraId="3118C4FE">
                  <w:pPr>
                    <w:widowControl/>
                    <w:jc w:val="center"/>
                    <w:rPr>
                      <w:b/>
                      <w:bCs/>
                      <w:kern w:val="0"/>
                      <w:szCs w:val="21"/>
                    </w:rPr>
                  </w:pPr>
                </w:p>
              </w:tc>
            </w:tr>
            <w:tr w14:paraId="109F8F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vAlign w:val="center"/>
                </w:tcPr>
                <w:p w14:paraId="1955D408">
                  <w:pPr>
                    <w:widowControl/>
                    <w:jc w:val="center"/>
                    <w:rPr>
                      <w:kern w:val="0"/>
                      <w:szCs w:val="21"/>
                    </w:rPr>
                  </w:pPr>
                  <w:r>
                    <w:rPr>
                      <w:kern w:val="0"/>
                      <w:szCs w:val="21"/>
                    </w:rPr>
                    <w:t>1</w:t>
                  </w:r>
                </w:p>
              </w:tc>
              <w:tc>
                <w:tcPr>
                  <w:tcW w:w="1005" w:type="dxa"/>
                  <w:vAlign w:val="center"/>
                </w:tcPr>
                <w:p w14:paraId="0CB406EF">
                  <w:pPr>
                    <w:widowControl/>
                    <w:jc w:val="center"/>
                    <w:rPr>
                      <w:kern w:val="0"/>
                      <w:szCs w:val="21"/>
                    </w:rPr>
                  </w:pPr>
                  <w:r>
                    <w:rPr>
                      <w:kern w:val="0"/>
                      <w:szCs w:val="21"/>
                    </w:rPr>
                    <w:t>聚酯废渣</w:t>
                  </w:r>
                </w:p>
              </w:tc>
              <w:tc>
                <w:tcPr>
                  <w:tcW w:w="850" w:type="dxa"/>
                  <w:vMerge w:val="restart"/>
                  <w:vAlign w:val="center"/>
                </w:tcPr>
                <w:p w14:paraId="717AB1FF">
                  <w:pPr>
                    <w:widowControl/>
                    <w:jc w:val="center"/>
                    <w:rPr>
                      <w:kern w:val="0"/>
                      <w:szCs w:val="21"/>
                    </w:rPr>
                  </w:pPr>
                  <w:r>
                    <w:rPr>
                      <w:kern w:val="0"/>
                      <w:szCs w:val="21"/>
                    </w:rPr>
                    <w:t>一般工业固体废物</w:t>
                  </w:r>
                </w:p>
              </w:tc>
              <w:tc>
                <w:tcPr>
                  <w:tcW w:w="1134" w:type="dxa"/>
                  <w:vAlign w:val="center"/>
                </w:tcPr>
                <w:p w14:paraId="0B0B862A">
                  <w:pPr>
                    <w:widowControl/>
                    <w:jc w:val="center"/>
                    <w:rPr>
                      <w:kern w:val="0"/>
                      <w:szCs w:val="21"/>
                    </w:rPr>
                  </w:pPr>
                  <w:r>
                    <w:rPr>
                      <w:kern w:val="0"/>
                      <w:szCs w:val="21"/>
                    </w:rPr>
                    <w:t>缩聚釜</w:t>
                  </w:r>
                </w:p>
              </w:tc>
              <w:tc>
                <w:tcPr>
                  <w:tcW w:w="427" w:type="dxa"/>
                  <w:vAlign w:val="center"/>
                </w:tcPr>
                <w:p w14:paraId="5426BCEB">
                  <w:pPr>
                    <w:widowControl/>
                    <w:jc w:val="center"/>
                    <w:rPr>
                      <w:kern w:val="0"/>
                      <w:szCs w:val="21"/>
                    </w:rPr>
                  </w:pPr>
                  <w:r>
                    <w:rPr>
                      <w:kern w:val="0"/>
                      <w:szCs w:val="21"/>
                    </w:rPr>
                    <w:t>固</w:t>
                  </w:r>
                </w:p>
              </w:tc>
              <w:tc>
                <w:tcPr>
                  <w:tcW w:w="1133" w:type="dxa"/>
                  <w:vAlign w:val="center"/>
                </w:tcPr>
                <w:p w14:paraId="6D2A5E08">
                  <w:pPr>
                    <w:widowControl/>
                    <w:jc w:val="center"/>
                    <w:rPr>
                      <w:kern w:val="0"/>
                      <w:szCs w:val="21"/>
                    </w:rPr>
                  </w:pPr>
                  <w:r>
                    <w:rPr>
                      <w:kern w:val="0"/>
                      <w:szCs w:val="21"/>
                    </w:rPr>
                    <w:t>聚酯</w:t>
                  </w:r>
                </w:p>
              </w:tc>
              <w:tc>
                <w:tcPr>
                  <w:tcW w:w="851" w:type="dxa"/>
                  <w:vAlign w:val="center"/>
                </w:tcPr>
                <w:p w14:paraId="0D6650DF">
                  <w:pPr>
                    <w:widowControl/>
                    <w:jc w:val="center"/>
                    <w:rPr>
                      <w:kern w:val="0"/>
                      <w:szCs w:val="21"/>
                    </w:rPr>
                  </w:pPr>
                  <w:r>
                    <w:rPr>
                      <w:kern w:val="0"/>
                      <w:szCs w:val="21"/>
                    </w:rPr>
                    <w:t>1430</w:t>
                  </w:r>
                </w:p>
              </w:tc>
              <w:tc>
                <w:tcPr>
                  <w:tcW w:w="1537" w:type="dxa"/>
                  <w:vMerge w:val="restart"/>
                  <w:vAlign w:val="center"/>
                </w:tcPr>
                <w:p w14:paraId="29392725">
                  <w:pPr>
                    <w:widowControl/>
                    <w:jc w:val="center"/>
                    <w:rPr>
                      <w:kern w:val="0"/>
                      <w:szCs w:val="21"/>
                    </w:rPr>
                  </w:pPr>
                  <w:r>
                    <w:rPr>
                      <w:kern w:val="0"/>
                      <w:szCs w:val="21"/>
                    </w:rPr>
                    <w:t>外售</w:t>
                  </w:r>
                  <w:r>
                    <w:rPr>
                      <w:bCs/>
                    </w:rPr>
                    <w:t>江苏阿代尔新材料科技有限公司</w:t>
                  </w:r>
                </w:p>
              </w:tc>
            </w:tr>
            <w:tr w14:paraId="7FC7F0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vAlign w:val="center"/>
                </w:tcPr>
                <w:p w14:paraId="545ACCBC">
                  <w:pPr>
                    <w:widowControl/>
                    <w:jc w:val="center"/>
                    <w:rPr>
                      <w:kern w:val="0"/>
                      <w:szCs w:val="21"/>
                    </w:rPr>
                  </w:pPr>
                  <w:r>
                    <w:rPr>
                      <w:kern w:val="0"/>
                      <w:szCs w:val="21"/>
                    </w:rPr>
                    <w:t>2</w:t>
                  </w:r>
                </w:p>
              </w:tc>
              <w:tc>
                <w:tcPr>
                  <w:tcW w:w="1005" w:type="dxa"/>
                  <w:vAlign w:val="center"/>
                </w:tcPr>
                <w:p w14:paraId="3A6D182C">
                  <w:pPr>
                    <w:widowControl/>
                    <w:jc w:val="center"/>
                    <w:rPr>
                      <w:kern w:val="0"/>
                      <w:szCs w:val="21"/>
                    </w:rPr>
                  </w:pPr>
                  <w:r>
                    <w:rPr>
                      <w:kern w:val="0"/>
                      <w:szCs w:val="21"/>
                    </w:rPr>
                    <w:t>废无油丝</w:t>
                  </w:r>
                </w:p>
              </w:tc>
              <w:tc>
                <w:tcPr>
                  <w:tcW w:w="850" w:type="dxa"/>
                  <w:vMerge w:val="continue"/>
                  <w:vAlign w:val="center"/>
                </w:tcPr>
                <w:p w14:paraId="06451B97">
                  <w:pPr>
                    <w:widowControl/>
                    <w:jc w:val="left"/>
                    <w:rPr>
                      <w:kern w:val="0"/>
                      <w:szCs w:val="21"/>
                    </w:rPr>
                  </w:pPr>
                </w:p>
              </w:tc>
              <w:tc>
                <w:tcPr>
                  <w:tcW w:w="1134" w:type="dxa"/>
                  <w:vAlign w:val="center"/>
                </w:tcPr>
                <w:p w14:paraId="24402DE6">
                  <w:pPr>
                    <w:widowControl/>
                    <w:jc w:val="center"/>
                    <w:rPr>
                      <w:kern w:val="0"/>
                      <w:szCs w:val="21"/>
                    </w:rPr>
                  </w:pPr>
                  <w:r>
                    <w:rPr>
                      <w:kern w:val="0"/>
                      <w:szCs w:val="21"/>
                    </w:rPr>
                    <w:t>计量泵</w:t>
                  </w:r>
                </w:p>
              </w:tc>
              <w:tc>
                <w:tcPr>
                  <w:tcW w:w="427" w:type="dxa"/>
                  <w:vAlign w:val="center"/>
                </w:tcPr>
                <w:p w14:paraId="4D2D9351">
                  <w:pPr>
                    <w:widowControl/>
                    <w:jc w:val="center"/>
                    <w:rPr>
                      <w:kern w:val="0"/>
                      <w:szCs w:val="21"/>
                    </w:rPr>
                  </w:pPr>
                  <w:r>
                    <w:rPr>
                      <w:kern w:val="0"/>
                      <w:szCs w:val="21"/>
                    </w:rPr>
                    <w:t>固</w:t>
                  </w:r>
                </w:p>
              </w:tc>
              <w:tc>
                <w:tcPr>
                  <w:tcW w:w="1133" w:type="dxa"/>
                  <w:vAlign w:val="center"/>
                </w:tcPr>
                <w:p w14:paraId="68795E32">
                  <w:pPr>
                    <w:widowControl/>
                    <w:jc w:val="center"/>
                    <w:rPr>
                      <w:kern w:val="0"/>
                      <w:szCs w:val="21"/>
                    </w:rPr>
                  </w:pPr>
                  <w:r>
                    <w:rPr>
                      <w:kern w:val="0"/>
                      <w:szCs w:val="21"/>
                    </w:rPr>
                    <w:t>无油废丝</w:t>
                  </w:r>
                </w:p>
              </w:tc>
              <w:tc>
                <w:tcPr>
                  <w:tcW w:w="851" w:type="dxa"/>
                  <w:vAlign w:val="center"/>
                </w:tcPr>
                <w:p w14:paraId="131F80DA">
                  <w:pPr>
                    <w:widowControl/>
                    <w:jc w:val="center"/>
                    <w:rPr>
                      <w:kern w:val="0"/>
                      <w:szCs w:val="21"/>
                    </w:rPr>
                  </w:pPr>
                  <w:r>
                    <w:rPr>
                      <w:kern w:val="0"/>
                      <w:szCs w:val="21"/>
                    </w:rPr>
                    <w:t>1720</w:t>
                  </w:r>
                </w:p>
              </w:tc>
              <w:tc>
                <w:tcPr>
                  <w:tcW w:w="1537" w:type="dxa"/>
                  <w:vMerge w:val="continue"/>
                  <w:vAlign w:val="center"/>
                </w:tcPr>
                <w:p w14:paraId="3A9EF91F">
                  <w:pPr>
                    <w:widowControl/>
                    <w:jc w:val="center"/>
                    <w:rPr>
                      <w:kern w:val="0"/>
                      <w:szCs w:val="21"/>
                    </w:rPr>
                  </w:pPr>
                </w:p>
              </w:tc>
            </w:tr>
            <w:tr w14:paraId="717D62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vAlign w:val="center"/>
                </w:tcPr>
                <w:p w14:paraId="34626153">
                  <w:pPr>
                    <w:widowControl/>
                    <w:jc w:val="center"/>
                    <w:rPr>
                      <w:kern w:val="0"/>
                      <w:szCs w:val="21"/>
                    </w:rPr>
                  </w:pPr>
                  <w:r>
                    <w:rPr>
                      <w:kern w:val="0"/>
                      <w:szCs w:val="21"/>
                    </w:rPr>
                    <w:t>3</w:t>
                  </w:r>
                </w:p>
              </w:tc>
              <w:tc>
                <w:tcPr>
                  <w:tcW w:w="1005" w:type="dxa"/>
                  <w:vAlign w:val="center"/>
                </w:tcPr>
                <w:p w14:paraId="3D3C8CB0">
                  <w:pPr>
                    <w:widowControl/>
                    <w:jc w:val="center"/>
                    <w:rPr>
                      <w:kern w:val="0"/>
                      <w:szCs w:val="21"/>
                    </w:rPr>
                  </w:pPr>
                  <w:r>
                    <w:rPr>
                      <w:kern w:val="0"/>
                      <w:szCs w:val="21"/>
                    </w:rPr>
                    <w:t>废含油丝</w:t>
                  </w:r>
                </w:p>
              </w:tc>
              <w:tc>
                <w:tcPr>
                  <w:tcW w:w="850" w:type="dxa"/>
                  <w:vMerge w:val="continue"/>
                  <w:vAlign w:val="center"/>
                </w:tcPr>
                <w:p w14:paraId="56EE061E">
                  <w:pPr>
                    <w:widowControl/>
                    <w:jc w:val="left"/>
                    <w:rPr>
                      <w:kern w:val="0"/>
                      <w:szCs w:val="21"/>
                    </w:rPr>
                  </w:pPr>
                </w:p>
              </w:tc>
              <w:tc>
                <w:tcPr>
                  <w:tcW w:w="1134" w:type="dxa"/>
                  <w:vAlign w:val="center"/>
                </w:tcPr>
                <w:p w14:paraId="046D7FFF">
                  <w:pPr>
                    <w:widowControl/>
                    <w:jc w:val="center"/>
                    <w:rPr>
                      <w:kern w:val="0"/>
                      <w:szCs w:val="21"/>
                    </w:rPr>
                  </w:pPr>
                  <w:r>
                    <w:rPr>
                      <w:kern w:val="0"/>
                      <w:szCs w:val="21"/>
                    </w:rPr>
                    <w:t>卷绕机</w:t>
                  </w:r>
                </w:p>
              </w:tc>
              <w:tc>
                <w:tcPr>
                  <w:tcW w:w="427" w:type="dxa"/>
                  <w:vAlign w:val="center"/>
                </w:tcPr>
                <w:p w14:paraId="77D41DF8">
                  <w:pPr>
                    <w:widowControl/>
                    <w:jc w:val="center"/>
                    <w:rPr>
                      <w:kern w:val="0"/>
                      <w:szCs w:val="21"/>
                    </w:rPr>
                  </w:pPr>
                  <w:r>
                    <w:rPr>
                      <w:kern w:val="0"/>
                      <w:szCs w:val="21"/>
                    </w:rPr>
                    <w:t>固</w:t>
                  </w:r>
                </w:p>
              </w:tc>
              <w:tc>
                <w:tcPr>
                  <w:tcW w:w="1133" w:type="dxa"/>
                  <w:vAlign w:val="center"/>
                </w:tcPr>
                <w:p w14:paraId="1F8EA61C">
                  <w:pPr>
                    <w:widowControl/>
                    <w:jc w:val="center"/>
                    <w:rPr>
                      <w:kern w:val="0"/>
                      <w:szCs w:val="21"/>
                    </w:rPr>
                  </w:pPr>
                  <w:r>
                    <w:rPr>
                      <w:kern w:val="0"/>
                      <w:szCs w:val="21"/>
                    </w:rPr>
                    <w:t>含油废丝</w:t>
                  </w:r>
                </w:p>
              </w:tc>
              <w:tc>
                <w:tcPr>
                  <w:tcW w:w="851" w:type="dxa"/>
                  <w:vAlign w:val="center"/>
                </w:tcPr>
                <w:p w14:paraId="3E87531E">
                  <w:pPr>
                    <w:widowControl/>
                    <w:jc w:val="center"/>
                    <w:rPr>
                      <w:kern w:val="0"/>
                      <w:szCs w:val="21"/>
                    </w:rPr>
                  </w:pPr>
                  <w:r>
                    <w:rPr>
                      <w:kern w:val="0"/>
                      <w:szCs w:val="21"/>
                    </w:rPr>
                    <w:t>2580</w:t>
                  </w:r>
                </w:p>
              </w:tc>
              <w:tc>
                <w:tcPr>
                  <w:tcW w:w="1537" w:type="dxa"/>
                  <w:vMerge w:val="continue"/>
                  <w:vAlign w:val="center"/>
                </w:tcPr>
                <w:p w14:paraId="688C82A8">
                  <w:pPr>
                    <w:widowControl/>
                    <w:jc w:val="center"/>
                    <w:rPr>
                      <w:kern w:val="0"/>
                      <w:szCs w:val="21"/>
                    </w:rPr>
                  </w:pPr>
                </w:p>
              </w:tc>
            </w:tr>
            <w:tr w14:paraId="02A365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vAlign w:val="center"/>
                </w:tcPr>
                <w:p w14:paraId="72308300">
                  <w:pPr>
                    <w:widowControl/>
                    <w:jc w:val="center"/>
                    <w:rPr>
                      <w:kern w:val="0"/>
                      <w:szCs w:val="21"/>
                    </w:rPr>
                  </w:pPr>
                  <w:r>
                    <w:rPr>
                      <w:kern w:val="0"/>
                      <w:szCs w:val="21"/>
                    </w:rPr>
                    <w:t>4</w:t>
                  </w:r>
                </w:p>
              </w:tc>
              <w:tc>
                <w:tcPr>
                  <w:tcW w:w="1005" w:type="dxa"/>
                  <w:vAlign w:val="center"/>
                </w:tcPr>
                <w:p w14:paraId="4A1E9A33">
                  <w:pPr>
                    <w:widowControl/>
                    <w:jc w:val="center"/>
                    <w:rPr>
                      <w:kern w:val="0"/>
                      <w:szCs w:val="21"/>
                    </w:rPr>
                  </w:pPr>
                  <w:r>
                    <w:rPr>
                      <w:kern w:val="0"/>
                      <w:szCs w:val="21"/>
                    </w:rPr>
                    <w:t>废碱液</w:t>
                  </w:r>
                </w:p>
              </w:tc>
              <w:tc>
                <w:tcPr>
                  <w:tcW w:w="850" w:type="dxa"/>
                  <w:vMerge w:val="restart"/>
                  <w:vAlign w:val="center"/>
                </w:tcPr>
                <w:p w14:paraId="130E7278">
                  <w:pPr>
                    <w:widowControl/>
                    <w:jc w:val="center"/>
                    <w:rPr>
                      <w:kern w:val="0"/>
                      <w:szCs w:val="21"/>
                    </w:rPr>
                  </w:pPr>
                  <w:r>
                    <w:rPr>
                      <w:kern w:val="0"/>
                      <w:szCs w:val="21"/>
                    </w:rPr>
                    <w:t>危险废物</w:t>
                  </w:r>
                </w:p>
              </w:tc>
              <w:tc>
                <w:tcPr>
                  <w:tcW w:w="1134" w:type="dxa"/>
                  <w:vAlign w:val="center"/>
                </w:tcPr>
                <w:p w14:paraId="2C4A1433">
                  <w:pPr>
                    <w:widowControl/>
                    <w:jc w:val="center"/>
                    <w:rPr>
                      <w:kern w:val="0"/>
                      <w:szCs w:val="21"/>
                    </w:rPr>
                  </w:pPr>
                  <w:r>
                    <w:rPr>
                      <w:kern w:val="0"/>
                      <w:szCs w:val="21"/>
                    </w:rPr>
                    <w:t>碱洗槽</w:t>
                  </w:r>
                </w:p>
              </w:tc>
              <w:tc>
                <w:tcPr>
                  <w:tcW w:w="427" w:type="dxa"/>
                  <w:vAlign w:val="center"/>
                </w:tcPr>
                <w:p w14:paraId="30F5C19E">
                  <w:pPr>
                    <w:widowControl/>
                    <w:jc w:val="center"/>
                    <w:rPr>
                      <w:kern w:val="0"/>
                      <w:szCs w:val="21"/>
                    </w:rPr>
                  </w:pPr>
                  <w:r>
                    <w:rPr>
                      <w:kern w:val="0"/>
                      <w:szCs w:val="21"/>
                    </w:rPr>
                    <w:t>液</w:t>
                  </w:r>
                </w:p>
              </w:tc>
              <w:tc>
                <w:tcPr>
                  <w:tcW w:w="1133" w:type="dxa"/>
                  <w:vAlign w:val="center"/>
                </w:tcPr>
                <w:p w14:paraId="5F11A31D">
                  <w:pPr>
                    <w:widowControl/>
                    <w:jc w:val="center"/>
                    <w:rPr>
                      <w:kern w:val="0"/>
                      <w:szCs w:val="21"/>
                    </w:rPr>
                  </w:pPr>
                  <w:r>
                    <w:rPr>
                      <w:kern w:val="0"/>
                      <w:szCs w:val="21"/>
                    </w:rPr>
                    <w:t>碱液、聚酯等</w:t>
                  </w:r>
                </w:p>
              </w:tc>
              <w:tc>
                <w:tcPr>
                  <w:tcW w:w="851" w:type="dxa"/>
                  <w:vAlign w:val="center"/>
                </w:tcPr>
                <w:p w14:paraId="42AB6BC6">
                  <w:pPr>
                    <w:widowControl/>
                    <w:jc w:val="center"/>
                    <w:rPr>
                      <w:kern w:val="0"/>
                      <w:szCs w:val="21"/>
                    </w:rPr>
                  </w:pPr>
                  <w:r>
                    <w:rPr>
                      <w:kern w:val="0"/>
                      <w:szCs w:val="21"/>
                    </w:rPr>
                    <w:t>300</w:t>
                  </w:r>
                </w:p>
              </w:tc>
              <w:tc>
                <w:tcPr>
                  <w:tcW w:w="1537" w:type="dxa"/>
                  <w:vAlign w:val="center"/>
                </w:tcPr>
                <w:p w14:paraId="45525569">
                  <w:pPr>
                    <w:widowControl/>
                    <w:jc w:val="center"/>
                    <w:rPr>
                      <w:kern w:val="0"/>
                      <w:szCs w:val="21"/>
                    </w:rPr>
                  </w:pPr>
                  <w:r>
                    <w:rPr>
                      <w:kern w:val="0"/>
                      <w:szCs w:val="21"/>
                    </w:rPr>
                    <w:t>委托资质单位</w:t>
                  </w:r>
                  <w:r>
                    <w:rPr>
                      <w:rFonts w:hint="eastAsia"/>
                      <w:kern w:val="0"/>
                      <w:szCs w:val="21"/>
                    </w:rPr>
                    <w:t>安全</w:t>
                  </w:r>
                  <w:r>
                    <w:rPr>
                      <w:kern w:val="0"/>
                      <w:szCs w:val="21"/>
                    </w:rPr>
                    <w:t>处理</w:t>
                  </w:r>
                </w:p>
              </w:tc>
            </w:tr>
            <w:tr w14:paraId="5ED1C7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vAlign w:val="center"/>
                </w:tcPr>
                <w:p w14:paraId="518350F7">
                  <w:pPr>
                    <w:widowControl/>
                    <w:jc w:val="center"/>
                    <w:rPr>
                      <w:kern w:val="0"/>
                      <w:szCs w:val="21"/>
                    </w:rPr>
                  </w:pPr>
                  <w:r>
                    <w:rPr>
                      <w:kern w:val="0"/>
                      <w:szCs w:val="21"/>
                    </w:rPr>
                    <w:t>5</w:t>
                  </w:r>
                </w:p>
              </w:tc>
              <w:tc>
                <w:tcPr>
                  <w:tcW w:w="1005" w:type="dxa"/>
                  <w:vAlign w:val="center"/>
                </w:tcPr>
                <w:p w14:paraId="35C5E1E2">
                  <w:pPr>
                    <w:widowControl/>
                    <w:jc w:val="center"/>
                    <w:rPr>
                      <w:kern w:val="0"/>
                      <w:szCs w:val="21"/>
                    </w:rPr>
                  </w:pPr>
                  <w:r>
                    <w:rPr>
                      <w:kern w:val="0"/>
                      <w:szCs w:val="21"/>
                    </w:rPr>
                    <w:t>废纺丝油剂和废热媒</w:t>
                  </w:r>
                </w:p>
              </w:tc>
              <w:tc>
                <w:tcPr>
                  <w:tcW w:w="850" w:type="dxa"/>
                  <w:vMerge w:val="continue"/>
                  <w:vAlign w:val="center"/>
                </w:tcPr>
                <w:p w14:paraId="037776E5">
                  <w:pPr>
                    <w:widowControl/>
                    <w:jc w:val="left"/>
                    <w:rPr>
                      <w:kern w:val="0"/>
                      <w:szCs w:val="21"/>
                    </w:rPr>
                  </w:pPr>
                </w:p>
              </w:tc>
              <w:tc>
                <w:tcPr>
                  <w:tcW w:w="1134" w:type="dxa"/>
                  <w:vAlign w:val="center"/>
                </w:tcPr>
                <w:p w14:paraId="1918CFDD">
                  <w:pPr>
                    <w:widowControl/>
                    <w:jc w:val="center"/>
                    <w:rPr>
                      <w:kern w:val="0"/>
                      <w:szCs w:val="21"/>
                    </w:rPr>
                  </w:pPr>
                  <w:r>
                    <w:rPr>
                      <w:kern w:val="0"/>
                      <w:szCs w:val="21"/>
                    </w:rPr>
                    <w:t>油气分离装置</w:t>
                  </w:r>
                </w:p>
              </w:tc>
              <w:tc>
                <w:tcPr>
                  <w:tcW w:w="427" w:type="dxa"/>
                  <w:vAlign w:val="center"/>
                </w:tcPr>
                <w:p w14:paraId="67EB0C40">
                  <w:pPr>
                    <w:widowControl/>
                    <w:jc w:val="center"/>
                    <w:rPr>
                      <w:kern w:val="0"/>
                      <w:szCs w:val="21"/>
                    </w:rPr>
                  </w:pPr>
                  <w:r>
                    <w:rPr>
                      <w:kern w:val="0"/>
                      <w:szCs w:val="21"/>
                    </w:rPr>
                    <w:t>液</w:t>
                  </w:r>
                </w:p>
              </w:tc>
              <w:tc>
                <w:tcPr>
                  <w:tcW w:w="1133" w:type="dxa"/>
                  <w:vAlign w:val="center"/>
                </w:tcPr>
                <w:p w14:paraId="3F41F194">
                  <w:pPr>
                    <w:widowControl/>
                    <w:jc w:val="center"/>
                    <w:rPr>
                      <w:kern w:val="0"/>
                      <w:szCs w:val="21"/>
                    </w:rPr>
                  </w:pPr>
                  <w:r>
                    <w:rPr>
                      <w:kern w:val="0"/>
                      <w:szCs w:val="21"/>
                    </w:rPr>
                    <w:t>油剂、热媒</w:t>
                  </w:r>
                </w:p>
              </w:tc>
              <w:tc>
                <w:tcPr>
                  <w:tcW w:w="851" w:type="dxa"/>
                  <w:vAlign w:val="center"/>
                </w:tcPr>
                <w:p w14:paraId="5FDD9E0B">
                  <w:pPr>
                    <w:widowControl/>
                    <w:jc w:val="center"/>
                    <w:rPr>
                      <w:kern w:val="0"/>
                      <w:szCs w:val="21"/>
                    </w:rPr>
                  </w:pPr>
                  <w:r>
                    <w:rPr>
                      <w:kern w:val="0"/>
                      <w:szCs w:val="21"/>
                    </w:rPr>
                    <w:t>60</w:t>
                  </w:r>
                </w:p>
              </w:tc>
              <w:tc>
                <w:tcPr>
                  <w:tcW w:w="1537" w:type="dxa"/>
                  <w:vAlign w:val="center"/>
                </w:tcPr>
                <w:p w14:paraId="5404FFAF">
                  <w:pPr>
                    <w:widowControl/>
                    <w:jc w:val="center"/>
                    <w:rPr>
                      <w:kern w:val="0"/>
                      <w:szCs w:val="21"/>
                    </w:rPr>
                  </w:pPr>
                  <w:r>
                    <w:rPr>
                      <w:kern w:val="0"/>
                      <w:szCs w:val="21"/>
                    </w:rPr>
                    <w:t>委托无锡市三得利石化有限公司</w:t>
                  </w:r>
                  <w:r>
                    <w:rPr>
                      <w:rFonts w:hint="eastAsia"/>
                      <w:kern w:val="0"/>
                      <w:szCs w:val="21"/>
                    </w:rPr>
                    <w:t>安全</w:t>
                  </w:r>
                  <w:r>
                    <w:rPr>
                      <w:kern w:val="0"/>
                      <w:szCs w:val="21"/>
                    </w:rPr>
                    <w:t>处理</w:t>
                  </w:r>
                </w:p>
              </w:tc>
            </w:tr>
            <w:tr w14:paraId="3E12A4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vAlign w:val="center"/>
                </w:tcPr>
                <w:p w14:paraId="30EAB42D">
                  <w:pPr>
                    <w:widowControl/>
                    <w:jc w:val="center"/>
                    <w:rPr>
                      <w:kern w:val="0"/>
                      <w:szCs w:val="21"/>
                    </w:rPr>
                  </w:pPr>
                  <w:r>
                    <w:rPr>
                      <w:kern w:val="0"/>
                      <w:szCs w:val="21"/>
                    </w:rPr>
                    <w:t>6</w:t>
                  </w:r>
                </w:p>
              </w:tc>
              <w:tc>
                <w:tcPr>
                  <w:tcW w:w="1005" w:type="dxa"/>
                  <w:vAlign w:val="center"/>
                </w:tcPr>
                <w:p w14:paraId="370EFEBC">
                  <w:pPr>
                    <w:widowControl/>
                    <w:jc w:val="center"/>
                    <w:rPr>
                      <w:kern w:val="0"/>
                      <w:szCs w:val="21"/>
                    </w:rPr>
                  </w:pPr>
                  <w:r>
                    <w:rPr>
                      <w:kern w:val="0"/>
                      <w:szCs w:val="21"/>
                    </w:rPr>
                    <w:t>废乙二醇</w:t>
                  </w:r>
                </w:p>
              </w:tc>
              <w:tc>
                <w:tcPr>
                  <w:tcW w:w="850" w:type="dxa"/>
                  <w:vMerge w:val="continue"/>
                  <w:vAlign w:val="center"/>
                </w:tcPr>
                <w:p w14:paraId="554F4AB6">
                  <w:pPr>
                    <w:widowControl/>
                    <w:jc w:val="left"/>
                    <w:rPr>
                      <w:kern w:val="0"/>
                      <w:szCs w:val="21"/>
                    </w:rPr>
                  </w:pPr>
                </w:p>
              </w:tc>
              <w:tc>
                <w:tcPr>
                  <w:tcW w:w="1134" w:type="dxa"/>
                  <w:vAlign w:val="center"/>
                </w:tcPr>
                <w:p w14:paraId="5DF20ED8">
                  <w:pPr>
                    <w:widowControl/>
                    <w:jc w:val="center"/>
                    <w:rPr>
                      <w:kern w:val="0"/>
                      <w:szCs w:val="21"/>
                    </w:rPr>
                  </w:pPr>
                  <w:r>
                    <w:rPr>
                      <w:kern w:val="0"/>
                      <w:szCs w:val="21"/>
                    </w:rPr>
                    <w:t>聚酯系统非正常工况及检维修</w:t>
                  </w:r>
                </w:p>
              </w:tc>
              <w:tc>
                <w:tcPr>
                  <w:tcW w:w="427" w:type="dxa"/>
                  <w:vAlign w:val="center"/>
                </w:tcPr>
                <w:p w14:paraId="2A304F6F">
                  <w:pPr>
                    <w:widowControl/>
                    <w:jc w:val="center"/>
                    <w:rPr>
                      <w:kern w:val="0"/>
                      <w:szCs w:val="21"/>
                    </w:rPr>
                  </w:pPr>
                  <w:r>
                    <w:rPr>
                      <w:kern w:val="0"/>
                      <w:szCs w:val="21"/>
                    </w:rPr>
                    <w:t>液</w:t>
                  </w:r>
                </w:p>
              </w:tc>
              <w:tc>
                <w:tcPr>
                  <w:tcW w:w="1133" w:type="dxa"/>
                  <w:vAlign w:val="center"/>
                </w:tcPr>
                <w:p w14:paraId="1A641C6F">
                  <w:pPr>
                    <w:widowControl/>
                    <w:jc w:val="center"/>
                    <w:rPr>
                      <w:kern w:val="0"/>
                      <w:szCs w:val="21"/>
                    </w:rPr>
                  </w:pPr>
                  <w:r>
                    <w:rPr>
                      <w:kern w:val="0"/>
                      <w:szCs w:val="21"/>
                    </w:rPr>
                    <w:t>乙二醇</w:t>
                  </w:r>
                </w:p>
              </w:tc>
              <w:tc>
                <w:tcPr>
                  <w:tcW w:w="851" w:type="dxa"/>
                  <w:vAlign w:val="center"/>
                </w:tcPr>
                <w:p w14:paraId="0DA39044">
                  <w:pPr>
                    <w:widowControl/>
                    <w:jc w:val="center"/>
                    <w:rPr>
                      <w:kern w:val="0"/>
                      <w:szCs w:val="21"/>
                    </w:rPr>
                  </w:pPr>
                  <w:r>
                    <w:rPr>
                      <w:kern w:val="0"/>
                      <w:szCs w:val="21"/>
                    </w:rPr>
                    <w:t>650</w:t>
                  </w:r>
                </w:p>
              </w:tc>
              <w:tc>
                <w:tcPr>
                  <w:tcW w:w="1537" w:type="dxa"/>
                  <w:vAlign w:val="center"/>
                </w:tcPr>
                <w:p w14:paraId="56E22E2F">
                  <w:pPr>
                    <w:widowControl/>
                    <w:jc w:val="center"/>
                    <w:rPr>
                      <w:kern w:val="0"/>
                      <w:szCs w:val="21"/>
                    </w:rPr>
                  </w:pPr>
                  <w:r>
                    <w:rPr>
                      <w:kern w:val="0"/>
                      <w:szCs w:val="21"/>
                    </w:rPr>
                    <w:t>委托扬州务园再生资源有限公司</w:t>
                  </w:r>
                  <w:r>
                    <w:rPr>
                      <w:rFonts w:hint="eastAsia"/>
                      <w:kern w:val="0"/>
                      <w:szCs w:val="21"/>
                    </w:rPr>
                    <w:t>安全</w:t>
                  </w:r>
                  <w:r>
                    <w:rPr>
                      <w:kern w:val="0"/>
                      <w:szCs w:val="21"/>
                    </w:rPr>
                    <w:t>处理</w:t>
                  </w:r>
                </w:p>
              </w:tc>
            </w:tr>
            <w:tr w14:paraId="64C48A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vAlign w:val="center"/>
                </w:tcPr>
                <w:p w14:paraId="6C4663BC">
                  <w:pPr>
                    <w:widowControl/>
                    <w:jc w:val="center"/>
                    <w:rPr>
                      <w:kern w:val="0"/>
                      <w:szCs w:val="21"/>
                    </w:rPr>
                  </w:pPr>
                  <w:r>
                    <w:rPr>
                      <w:kern w:val="0"/>
                      <w:szCs w:val="21"/>
                    </w:rPr>
                    <w:t>7</w:t>
                  </w:r>
                </w:p>
              </w:tc>
              <w:tc>
                <w:tcPr>
                  <w:tcW w:w="1005" w:type="dxa"/>
                  <w:vAlign w:val="center"/>
                </w:tcPr>
                <w:p w14:paraId="636D2047">
                  <w:pPr>
                    <w:widowControl/>
                    <w:jc w:val="center"/>
                    <w:rPr>
                      <w:kern w:val="0"/>
                      <w:szCs w:val="21"/>
                    </w:rPr>
                  </w:pPr>
                  <w:r>
                    <w:rPr>
                      <w:kern w:val="0"/>
                      <w:szCs w:val="21"/>
                    </w:rPr>
                    <w:t>废油</w:t>
                  </w:r>
                </w:p>
              </w:tc>
              <w:tc>
                <w:tcPr>
                  <w:tcW w:w="850" w:type="dxa"/>
                  <w:vMerge w:val="continue"/>
                  <w:vAlign w:val="center"/>
                </w:tcPr>
                <w:p w14:paraId="6C7C1CBB">
                  <w:pPr>
                    <w:widowControl/>
                    <w:jc w:val="left"/>
                    <w:rPr>
                      <w:kern w:val="0"/>
                      <w:szCs w:val="21"/>
                    </w:rPr>
                  </w:pPr>
                </w:p>
              </w:tc>
              <w:tc>
                <w:tcPr>
                  <w:tcW w:w="1134" w:type="dxa"/>
                  <w:vMerge w:val="restart"/>
                  <w:vAlign w:val="center"/>
                </w:tcPr>
                <w:p w14:paraId="70672313">
                  <w:pPr>
                    <w:widowControl/>
                    <w:jc w:val="center"/>
                    <w:rPr>
                      <w:kern w:val="0"/>
                      <w:szCs w:val="21"/>
                    </w:rPr>
                  </w:pPr>
                  <w:r>
                    <w:rPr>
                      <w:kern w:val="0"/>
                      <w:szCs w:val="21"/>
                    </w:rPr>
                    <w:t>机械维修保养</w:t>
                  </w:r>
                </w:p>
              </w:tc>
              <w:tc>
                <w:tcPr>
                  <w:tcW w:w="427" w:type="dxa"/>
                  <w:vAlign w:val="center"/>
                </w:tcPr>
                <w:p w14:paraId="3FB97488">
                  <w:pPr>
                    <w:widowControl/>
                    <w:jc w:val="center"/>
                    <w:rPr>
                      <w:kern w:val="0"/>
                      <w:szCs w:val="21"/>
                    </w:rPr>
                  </w:pPr>
                  <w:r>
                    <w:rPr>
                      <w:kern w:val="0"/>
                      <w:szCs w:val="21"/>
                    </w:rPr>
                    <w:t>液</w:t>
                  </w:r>
                </w:p>
              </w:tc>
              <w:tc>
                <w:tcPr>
                  <w:tcW w:w="1133" w:type="dxa"/>
                  <w:vAlign w:val="center"/>
                </w:tcPr>
                <w:p w14:paraId="48B85D26">
                  <w:pPr>
                    <w:widowControl/>
                    <w:jc w:val="center"/>
                    <w:rPr>
                      <w:kern w:val="0"/>
                      <w:szCs w:val="21"/>
                    </w:rPr>
                  </w:pPr>
                  <w:r>
                    <w:rPr>
                      <w:kern w:val="0"/>
                      <w:szCs w:val="21"/>
                    </w:rPr>
                    <w:t>机油、润滑油、齿轮油等</w:t>
                  </w:r>
                </w:p>
              </w:tc>
              <w:tc>
                <w:tcPr>
                  <w:tcW w:w="851" w:type="dxa"/>
                  <w:vAlign w:val="center"/>
                </w:tcPr>
                <w:p w14:paraId="63DA492E">
                  <w:pPr>
                    <w:widowControl/>
                    <w:jc w:val="center"/>
                    <w:rPr>
                      <w:kern w:val="0"/>
                      <w:szCs w:val="21"/>
                    </w:rPr>
                  </w:pPr>
                  <w:r>
                    <w:rPr>
                      <w:kern w:val="0"/>
                      <w:szCs w:val="21"/>
                    </w:rPr>
                    <w:t>35</w:t>
                  </w:r>
                </w:p>
              </w:tc>
              <w:tc>
                <w:tcPr>
                  <w:tcW w:w="1537" w:type="dxa"/>
                  <w:vMerge w:val="restart"/>
                  <w:vAlign w:val="center"/>
                </w:tcPr>
                <w:p w14:paraId="48364366">
                  <w:pPr>
                    <w:widowControl/>
                    <w:jc w:val="center"/>
                    <w:rPr>
                      <w:kern w:val="0"/>
                      <w:szCs w:val="21"/>
                    </w:rPr>
                  </w:pPr>
                  <w:r>
                    <w:rPr>
                      <w:kern w:val="0"/>
                      <w:szCs w:val="21"/>
                    </w:rPr>
                    <w:t>委托无锡金东能环境科技有限公司</w:t>
                  </w:r>
                  <w:r>
                    <w:rPr>
                      <w:rFonts w:hint="eastAsia"/>
                      <w:kern w:val="0"/>
                      <w:szCs w:val="21"/>
                    </w:rPr>
                    <w:t>安全</w:t>
                  </w:r>
                  <w:r>
                    <w:rPr>
                      <w:kern w:val="0"/>
                      <w:szCs w:val="21"/>
                    </w:rPr>
                    <w:t>处理</w:t>
                  </w:r>
                </w:p>
              </w:tc>
            </w:tr>
            <w:tr w14:paraId="155524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vAlign w:val="center"/>
                </w:tcPr>
                <w:p w14:paraId="62F4DBCC">
                  <w:pPr>
                    <w:widowControl/>
                    <w:jc w:val="center"/>
                    <w:rPr>
                      <w:kern w:val="0"/>
                      <w:szCs w:val="21"/>
                    </w:rPr>
                  </w:pPr>
                  <w:r>
                    <w:rPr>
                      <w:kern w:val="0"/>
                      <w:szCs w:val="21"/>
                    </w:rPr>
                    <w:t>8</w:t>
                  </w:r>
                </w:p>
              </w:tc>
              <w:tc>
                <w:tcPr>
                  <w:tcW w:w="1005" w:type="dxa"/>
                  <w:vAlign w:val="center"/>
                </w:tcPr>
                <w:p w14:paraId="66A114F2">
                  <w:pPr>
                    <w:widowControl/>
                    <w:jc w:val="center"/>
                    <w:rPr>
                      <w:kern w:val="0"/>
                      <w:szCs w:val="21"/>
                    </w:rPr>
                  </w:pPr>
                  <w:r>
                    <w:rPr>
                      <w:kern w:val="0"/>
                      <w:szCs w:val="21"/>
                    </w:rPr>
                    <w:t>废润滑油脂</w:t>
                  </w:r>
                </w:p>
              </w:tc>
              <w:tc>
                <w:tcPr>
                  <w:tcW w:w="850" w:type="dxa"/>
                  <w:vMerge w:val="continue"/>
                  <w:vAlign w:val="center"/>
                </w:tcPr>
                <w:p w14:paraId="4CAD8113">
                  <w:pPr>
                    <w:widowControl/>
                    <w:jc w:val="left"/>
                    <w:rPr>
                      <w:kern w:val="0"/>
                      <w:szCs w:val="21"/>
                    </w:rPr>
                  </w:pPr>
                </w:p>
              </w:tc>
              <w:tc>
                <w:tcPr>
                  <w:tcW w:w="1134" w:type="dxa"/>
                  <w:vMerge w:val="continue"/>
                  <w:vAlign w:val="center"/>
                </w:tcPr>
                <w:p w14:paraId="373D84BA">
                  <w:pPr>
                    <w:widowControl/>
                    <w:jc w:val="left"/>
                    <w:rPr>
                      <w:kern w:val="0"/>
                      <w:szCs w:val="21"/>
                    </w:rPr>
                  </w:pPr>
                </w:p>
              </w:tc>
              <w:tc>
                <w:tcPr>
                  <w:tcW w:w="427" w:type="dxa"/>
                  <w:vAlign w:val="center"/>
                </w:tcPr>
                <w:p w14:paraId="4E19B0B5">
                  <w:pPr>
                    <w:widowControl/>
                    <w:jc w:val="center"/>
                    <w:rPr>
                      <w:kern w:val="0"/>
                      <w:szCs w:val="21"/>
                    </w:rPr>
                  </w:pPr>
                  <w:r>
                    <w:rPr>
                      <w:kern w:val="0"/>
                      <w:szCs w:val="21"/>
                    </w:rPr>
                    <w:t>固</w:t>
                  </w:r>
                </w:p>
              </w:tc>
              <w:tc>
                <w:tcPr>
                  <w:tcW w:w="1133" w:type="dxa"/>
                  <w:vAlign w:val="center"/>
                </w:tcPr>
                <w:p w14:paraId="4A9CE120">
                  <w:pPr>
                    <w:widowControl/>
                    <w:jc w:val="center"/>
                    <w:rPr>
                      <w:kern w:val="0"/>
                      <w:szCs w:val="21"/>
                    </w:rPr>
                  </w:pPr>
                  <w:r>
                    <w:rPr>
                      <w:kern w:val="0"/>
                      <w:szCs w:val="21"/>
                    </w:rPr>
                    <w:t>润滑油脂</w:t>
                  </w:r>
                </w:p>
              </w:tc>
              <w:tc>
                <w:tcPr>
                  <w:tcW w:w="851" w:type="dxa"/>
                  <w:vAlign w:val="center"/>
                </w:tcPr>
                <w:p w14:paraId="7F756C80">
                  <w:pPr>
                    <w:widowControl/>
                    <w:jc w:val="center"/>
                    <w:rPr>
                      <w:kern w:val="0"/>
                      <w:szCs w:val="21"/>
                    </w:rPr>
                  </w:pPr>
                  <w:r>
                    <w:rPr>
                      <w:kern w:val="0"/>
                      <w:szCs w:val="21"/>
                    </w:rPr>
                    <w:t>0.5</w:t>
                  </w:r>
                </w:p>
              </w:tc>
              <w:tc>
                <w:tcPr>
                  <w:tcW w:w="1537" w:type="dxa"/>
                  <w:vMerge w:val="continue"/>
                  <w:vAlign w:val="center"/>
                </w:tcPr>
                <w:p w14:paraId="56D06F92">
                  <w:pPr>
                    <w:widowControl/>
                    <w:jc w:val="center"/>
                    <w:rPr>
                      <w:kern w:val="0"/>
                      <w:szCs w:val="21"/>
                    </w:rPr>
                  </w:pPr>
                </w:p>
              </w:tc>
            </w:tr>
            <w:tr w14:paraId="436644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vAlign w:val="center"/>
                </w:tcPr>
                <w:p w14:paraId="7E6C1B17">
                  <w:pPr>
                    <w:widowControl/>
                    <w:jc w:val="center"/>
                    <w:rPr>
                      <w:kern w:val="0"/>
                      <w:szCs w:val="21"/>
                    </w:rPr>
                  </w:pPr>
                  <w:r>
                    <w:rPr>
                      <w:kern w:val="0"/>
                      <w:szCs w:val="21"/>
                    </w:rPr>
                    <w:t>9</w:t>
                  </w:r>
                </w:p>
              </w:tc>
              <w:tc>
                <w:tcPr>
                  <w:tcW w:w="1005" w:type="dxa"/>
                  <w:vAlign w:val="center"/>
                </w:tcPr>
                <w:p w14:paraId="14584E4C">
                  <w:pPr>
                    <w:widowControl/>
                    <w:jc w:val="center"/>
                    <w:rPr>
                      <w:kern w:val="0"/>
                      <w:szCs w:val="21"/>
                    </w:rPr>
                  </w:pPr>
                  <w:r>
                    <w:rPr>
                      <w:kern w:val="0"/>
                      <w:szCs w:val="21"/>
                    </w:rPr>
                    <w:t>废有机溶剂</w:t>
                  </w:r>
                </w:p>
              </w:tc>
              <w:tc>
                <w:tcPr>
                  <w:tcW w:w="850" w:type="dxa"/>
                  <w:vMerge w:val="continue"/>
                  <w:vAlign w:val="center"/>
                </w:tcPr>
                <w:p w14:paraId="1AC086B7">
                  <w:pPr>
                    <w:widowControl/>
                    <w:jc w:val="left"/>
                    <w:rPr>
                      <w:kern w:val="0"/>
                      <w:szCs w:val="21"/>
                    </w:rPr>
                  </w:pPr>
                </w:p>
              </w:tc>
              <w:tc>
                <w:tcPr>
                  <w:tcW w:w="1134" w:type="dxa"/>
                  <w:vAlign w:val="center"/>
                </w:tcPr>
                <w:p w14:paraId="66FCCA6F">
                  <w:pPr>
                    <w:widowControl/>
                    <w:jc w:val="center"/>
                    <w:rPr>
                      <w:kern w:val="0"/>
                      <w:szCs w:val="21"/>
                    </w:rPr>
                  </w:pPr>
                  <w:r>
                    <w:rPr>
                      <w:kern w:val="0"/>
                      <w:szCs w:val="21"/>
                    </w:rPr>
                    <w:t>物检（实验室粘度测试、检验）</w:t>
                  </w:r>
                </w:p>
              </w:tc>
              <w:tc>
                <w:tcPr>
                  <w:tcW w:w="427" w:type="dxa"/>
                  <w:vAlign w:val="center"/>
                </w:tcPr>
                <w:p w14:paraId="0AEEE7C2">
                  <w:pPr>
                    <w:widowControl/>
                    <w:jc w:val="center"/>
                    <w:rPr>
                      <w:kern w:val="0"/>
                      <w:szCs w:val="21"/>
                    </w:rPr>
                  </w:pPr>
                  <w:r>
                    <w:rPr>
                      <w:kern w:val="0"/>
                      <w:szCs w:val="21"/>
                    </w:rPr>
                    <w:t>液</w:t>
                  </w:r>
                </w:p>
              </w:tc>
              <w:tc>
                <w:tcPr>
                  <w:tcW w:w="1133" w:type="dxa"/>
                  <w:vAlign w:val="center"/>
                </w:tcPr>
                <w:p w14:paraId="0A3DB261">
                  <w:pPr>
                    <w:widowControl/>
                    <w:jc w:val="center"/>
                    <w:rPr>
                      <w:kern w:val="0"/>
                      <w:szCs w:val="21"/>
                    </w:rPr>
                  </w:pPr>
                  <w:r>
                    <w:rPr>
                      <w:kern w:val="0"/>
                      <w:szCs w:val="21"/>
                    </w:rPr>
                    <w:t>废苯酚等</w:t>
                  </w:r>
                </w:p>
              </w:tc>
              <w:tc>
                <w:tcPr>
                  <w:tcW w:w="851" w:type="dxa"/>
                  <w:vAlign w:val="center"/>
                </w:tcPr>
                <w:p w14:paraId="7BF0EFDA">
                  <w:pPr>
                    <w:widowControl/>
                    <w:jc w:val="center"/>
                    <w:rPr>
                      <w:kern w:val="0"/>
                      <w:szCs w:val="21"/>
                    </w:rPr>
                  </w:pPr>
                  <w:r>
                    <w:rPr>
                      <w:kern w:val="0"/>
                      <w:szCs w:val="21"/>
                    </w:rPr>
                    <w:t>4</w:t>
                  </w:r>
                </w:p>
              </w:tc>
              <w:tc>
                <w:tcPr>
                  <w:tcW w:w="1537" w:type="dxa"/>
                  <w:vAlign w:val="center"/>
                </w:tcPr>
                <w:p w14:paraId="652E7C5F">
                  <w:pPr>
                    <w:widowControl/>
                    <w:jc w:val="center"/>
                    <w:rPr>
                      <w:kern w:val="0"/>
                      <w:szCs w:val="21"/>
                    </w:rPr>
                  </w:pPr>
                  <w:r>
                    <w:rPr>
                      <w:kern w:val="0"/>
                      <w:szCs w:val="21"/>
                    </w:rPr>
                    <w:t>委托江苏昕鼎华环保科技有限公司</w:t>
                  </w:r>
                  <w:r>
                    <w:rPr>
                      <w:rFonts w:hint="eastAsia"/>
                      <w:kern w:val="0"/>
                      <w:szCs w:val="21"/>
                    </w:rPr>
                    <w:t>安全</w:t>
                  </w:r>
                  <w:r>
                    <w:rPr>
                      <w:kern w:val="0"/>
                      <w:szCs w:val="21"/>
                    </w:rPr>
                    <w:t>处理</w:t>
                  </w:r>
                </w:p>
              </w:tc>
            </w:tr>
            <w:tr w14:paraId="52D591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vAlign w:val="center"/>
                </w:tcPr>
                <w:p w14:paraId="4553EDE9">
                  <w:pPr>
                    <w:widowControl/>
                    <w:jc w:val="center"/>
                    <w:rPr>
                      <w:kern w:val="0"/>
                      <w:szCs w:val="21"/>
                    </w:rPr>
                  </w:pPr>
                  <w:r>
                    <w:rPr>
                      <w:kern w:val="0"/>
                      <w:szCs w:val="21"/>
                    </w:rPr>
                    <w:t>10</w:t>
                  </w:r>
                </w:p>
              </w:tc>
              <w:tc>
                <w:tcPr>
                  <w:tcW w:w="1005" w:type="dxa"/>
                  <w:vAlign w:val="center"/>
                </w:tcPr>
                <w:p w14:paraId="3FDAEE1E">
                  <w:pPr>
                    <w:widowControl/>
                    <w:jc w:val="center"/>
                    <w:rPr>
                      <w:kern w:val="0"/>
                      <w:szCs w:val="21"/>
                    </w:rPr>
                  </w:pPr>
                  <w:r>
                    <w:rPr>
                      <w:kern w:val="0"/>
                      <w:szCs w:val="21"/>
                    </w:rPr>
                    <w:t>废袜带</w:t>
                  </w:r>
                </w:p>
              </w:tc>
              <w:tc>
                <w:tcPr>
                  <w:tcW w:w="850" w:type="dxa"/>
                  <w:vMerge w:val="restart"/>
                  <w:vAlign w:val="center"/>
                </w:tcPr>
                <w:p w14:paraId="4CEDD302">
                  <w:pPr>
                    <w:widowControl/>
                    <w:jc w:val="center"/>
                    <w:rPr>
                      <w:kern w:val="0"/>
                      <w:szCs w:val="21"/>
                    </w:rPr>
                  </w:pPr>
                  <w:r>
                    <w:rPr>
                      <w:kern w:val="0"/>
                      <w:szCs w:val="21"/>
                    </w:rPr>
                    <w:t>一般工业固体废物</w:t>
                  </w:r>
                </w:p>
              </w:tc>
              <w:tc>
                <w:tcPr>
                  <w:tcW w:w="1134" w:type="dxa"/>
                  <w:vAlign w:val="center"/>
                </w:tcPr>
                <w:p w14:paraId="5AC4D2F6">
                  <w:pPr>
                    <w:widowControl/>
                    <w:jc w:val="center"/>
                    <w:rPr>
                      <w:kern w:val="0"/>
                      <w:szCs w:val="21"/>
                    </w:rPr>
                  </w:pPr>
                  <w:r>
                    <w:rPr>
                      <w:kern w:val="0"/>
                      <w:szCs w:val="21"/>
                    </w:rPr>
                    <w:t>物检、加弹染色试验织袜</w:t>
                  </w:r>
                </w:p>
              </w:tc>
              <w:tc>
                <w:tcPr>
                  <w:tcW w:w="427" w:type="dxa"/>
                  <w:vAlign w:val="center"/>
                </w:tcPr>
                <w:p w14:paraId="4BDDFC09">
                  <w:pPr>
                    <w:widowControl/>
                    <w:jc w:val="center"/>
                    <w:rPr>
                      <w:kern w:val="0"/>
                      <w:szCs w:val="21"/>
                    </w:rPr>
                  </w:pPr>
                  <w:r>
                    <w:rPr>
                      <w:kern w:val="0"/>
                      <w:szCs w:val="21"/>
                    </w:rPr>
                    <w:t>固</w:t>
                  </w:r>
                </w:p>
              </w:tc>
              <w:tc>
                <w:tcPr>
                  <w:tcW w:w="1133" w:type="dxa"/>
                  <w:vAlign w:val="center"/>
                </w:tcPr>
                <w:p w14:paraId="1E1AC8DA">
                  <w:pPr>
                    <w:widowControl/>
                    <w:jc w:val="center"/>
                    <w:rPr>
                      <w:kern w:val="0"/>
                      <w:szCs w:val="21"/>
                    </w:rPr>
                  </w:pPr>
                  <w:r>
                    <w:rPr>
                      <w:kern w:val="0"/>
                      <w:szCs w:val="21"/>
                    </w:rPr>
                    <w:t>袜带</w:t>
                  </w:r>
                </w:p>
              </w:tc>
              <w:tc>
                <w:tcPr>
                  <w:tcW w:w="851" w:type="dxa"/>
                  <w:vAlign w:val="center"/>
                </w:tcPr>
                <w:p w14:paraId="04981609">
                  <w:pPr>
                    <w:widowControl/>
                    <w:jc w:val="center"/>
                    <w:rPr>
                      <w:kern w:val="0"/>
                      <w:szCs w:val="21"/>
                    </w:rPr>
                  </w:pPr>
                  <w:r>
                    <w:rPr>
                      <w:kern w:val="0"/>
                      <w:szCs w:val="21"/>
                    </w:rPr>
                    <w:t>2</w:t>
                  </w:r>
                </w:p>
              </w:tc>
              <w:tc>
                <w:tcPr>
                  <w:tcW w:w="1537" w:type="dxa"/>
                  <w:vMerge w:val="restart"/>
                  <w:vAlign w:val="center"/>
                </w:tcPr>
                <w:p w14:paraId="59920BA5">
                  <w:pPr>
                    <w:widowControl/>
                    <w:jc w:val="center"/>
                    <w:rPr>
                      <w:kern w:val="0"/>
                      <w:szCs w:val="21"/>
                    </w:rPr>
                  </w:pPr>
                  <w:r>
                    <w:rPr>
                      <w:kern w:val="0"/>
                      <w:szCs w:val="21"/>
                    </w:rPr>
                    <w:t>外售综合利用</w:t>
                  </w:r>
                </w:p>
              </w:tc>
            </w:tr>
            <w:tr w14:paraId="07CEDA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vAlign w:val="center"/>
                </w:tcPr>
                <w:p w14:paraId="663BF686">
                  <w:pPr>
                    <w:widowControl/>
                    <w:jc w:val="center"/>
                    <w:rPr>
                      <w:kern w:val="0"/>
                      <w:szCs w:val="21"/>
                    </w:rPr>
                  </w:pPr>
                  <w:r>
                    <w:rPr>
                      <w:kern w:val="0"/>
                      <w:szCs w:val="21"/>
                    </w:rPr>
                    <w:t>11</w:t>
                  </w:r>
                </w:p>
              </w:tc>
              <w:tc>
                <w:tcPr>
                  <w:tcW w:w="1005" w:type="dxa"/>
                  <w:vAlign w:val="center"/>
                </w:tcPr>
                <w:p w14:paraId="256D6BC4">
                  <w:pPr>
                    <w:widowControl/>
                    <w:jc w:val="center"/>
                    <w:rPr>
                      <w:kern w:val="0"/>
                      <w:szCs w:val="21"/>
                    </w:rPr>
                  </w:pPr>
                  <w:r>
                    <w:rPr>
                      <w:kern w:val="0"/>
                      <w:szCs w:val="21"/>
                    </w:rPr>
                    <w:t>废保温棉</w:t>
                  </w:r>
                </w:p>
              </w:tc>
              <w:tc>
                <w:tcPr>
                  <w:tcW w:w="850" w:type="dxa"/>
                  <w:vMerge w:val="continue"/>
                  <w:vAlign w:val="center"/>
                </w:tcPr>
                <w:p w14:paraId="71CC060F">
                  <w:pPr>
                    <w:widowControl/>
                    <w:jc w:val="left"/>
                    <w:rPr>
                      <w:kern w:val="0"/>
                      <w:szCs w:val="21"/>
                    </w:rPr>
                  </w:pPr>
                </w:p>
              </w:tc>
              <w:tc>
                <w:tcPr>
                  <w:tcW w:w="1134" w:type="dxa"/>
                  <w:vAlign w:val="center"/>
                </w:tcPr>
                <w:p w14:paraId="3B114EB5">
                  <w:pPr>
                    <w:widowControl/>
                    <w:jc w:val="center"/>
                    <w:rPr>
                      <w:kern w:val="0"/>
                      <w:szCs w:val="21"/>
                    </w:rPr>
                  </w:pPr>
                  <w:r>
                    <w:rPr>
                      <w:kern w:val="0"/>
                      <w:szCs w:val="21"/>
                    </w:rPr>
                    <w:t>伴热管道设备检维修</w:t>
                  </w:r>
                </w:p>
              </w:tc>
              <w:tc>
                <w:tcPr>
                  <w:tcW w:w="427" w:type="dxa"/>
                  <w:vAlign w:val="center"/>
                </w:tcPr>
                <w:p w14:paraId="220546E7">
                  <w:pPr>
                    <w:widowControl/>
                    <w:jc w:val="center"/>
                    <w:rPr>
                      <w:kern w:val="0"/>
                      <w:szCs w:val="21"/>
                    </w:rPr>
                  </w:pPr>
                  <w:r>
                    <w:rPr>
                      <w:kern w:val="0"/>
                      <w:szCs w:val="21"/>
                    </w:rPr>
                    <w:t>固</w:t>
                  </w:r>
                </w:p>
              </w:tc>
              <w:tc>
                <w:tcPr>
                  <w:tcW w:w="1133" w:type="dxa"/>
                  <w:vAlign w:val="center"/>
                </w:tcPr>
                <w:p w14:paraId="3F7DDAE5">
                  <w:pPr>
                    <w:widowControl/>
                    <w:jc w:val="center"/>
                    <w:rPr>
                      <w:kern w:val="0"/>
                      <w:szCs w:val="21"/>
                    </w:rPr>
                  </w:pPr>
                  <w:r>
                    <w:rPr>
                      <w:kern w:val="0"/>
                      <w:szCs w:val="21"/>
                    </w:rPr>
                    <w:t>长丝硅酸铝</w:t>
                  </w:r>
                </w:p>
              </w:tc>
              <w:tc>
                <w:tcPr>
                  <w:tcW w:w="851" w:type="dxa"/>
                  <w:vAlign w:val="center"/>
                </w:tcPr>
                <w:p w14:paraId="5A4347E6">
                  <w:pPr>
                    <w:widowControl/>
                    <w:jc w:val="center"/>
                    <w:rPr>
                      <w:kern w:val="0"/>
                      <w:szCs w:val="21"/>
                    </w:rPr>
                  </w:pPr>
                  <w:r>
                    <w:rPr>
                      <w:kern w:val="0"/>
                      <w:szCs w:val="21"/>
                    </w:rPr>
                    <w:t>16</w:t>
                  </w:r>
                </w:p>
              </w:tc>
              <w:tc>
                <w:tcPr>
                  <w:tcW w:w="1537" w:type="dxa"/>
                  <w:vMerge w:val="continue"/>
                  <w:vAlign w:val="center"/>
                </w:tcPr>
                <w:p w14:paraId="622A320C">
                  <w:pPr>
                    <w:widowControl/>
                    <w:jc w:val="center"/>
                    <w:rPr>
                      <w:kern w:val="0"/>
                      <w:szCs w:val="21"/>
                    </w:rPr>
                  </w:pPr>
                </w:p>
              </w:tc>
            </w:tr>
            <w:tr w14:paraId="68CC61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21" w:type="dxa"/>
                  <w:vAlign w:val="center"/>
                </w:tcPr>
                <w:p w14:paraId="25B3F394">
                  <w:pPr>
                    <w:widowControl/>
                    <w:jc w:val="center"/>
                    <w:rPr>
                      <w:kern w:val="0"/>
                      <w:szCs w:val="21"/>
                    </w:rPr>
                  </w:pPr>
                  <w:r>
                    <w:rPr>
                      <w:kern w:val="0"/>
                      <w:szCs w:val="21"/>
                    </w:rPr>
                    <w:t>12</w:t>
                  </w:r>
                </w:p>
              </w:tc>
              <w:tc>
                <w:tcPr>
                  <w:tcW w:w="1005" w:type="dxa"/>
                  <w:vAlign w:val="center"/>
                </w:tcPr>
                <w:p w14:paraId="03943C2D">
                  <w:pPr>
                    <w:widowControl/>
                    <w:jc w:val="center"/>
                    <w:rPr>
                      <w:kern w:val="0"/>
                      <w:szCs w:val="21"/>
                    </w:rPr>
                  </w:pPr>
                  <w:r>
                    <w:rPr>
                      <w:kern w:val="0"/>
                      <w:szCs w:val="21"/>
                    </w:rPr>
                    <w:t>废包装桶（瓶）</w:t>
                  </w:r>
                </w:p>
              </w:tc>
              <w:tc>
                <w:tcPr>
                  <w:tcW w:w="850" w:type="dxa"/>
                  <w:vAlign w:val="center"/>
                </w:tcPr>
                <w:p w14:paraId="68D541CB">
                  <w:pPr>
                    <w:widowControl/>
                    <w:jc w:val="center"/>
                    <w:rPr>
                      <w:kern w:val="0"/>
                      <w:szCs w:val="21"/>
                    </w:rPr>
                  </w:pPr>
                  <w:r>
                    <w:rPr>
                      <w:kern w:val="0"/>
                      <w:szCs w:val="21"/>
                    </w:rPr>
                    <w:t>危险废物</w:t>
                  </w:r>
                </w:p>
              </w:tc>
              <w:tc>
                <w:tcPr>
                  <w:tcW w:w="1134" w:type="dxa"/>
                  <w:vAlign w:val="center"/>
                </w:tcPr>
                <w:p w14:paraId="5849F278">
                  <w:pPr>
                    <w:widowControl/>
                    <w:jc w:val="center"/>
                    <w:rPr>
                      <w:kern w:val="0"/>
                      <w:szCs w:val="21"/>
                    </w:rPr>
                  </w:pPr>
                  <w:r>
                    <w:rPr>
                      <w:kern w:val="0"/>
                      <w:szCs w:val="21"/>
                    </w:rPr>
                    <w:t>原料装载</w:t>
                  </w:r>
                </w:p>
              </w:tc>
              <w:tc>
                <w:tcPr>
                  <w:tcW w:w="427" w:type="dxa"/>
                  <w:vAlign w:val="center"/>
                </w:tcPr>
                <w:p w14:paraId="27E7CAC0">
                  <w:pPr>
                    <w:widowControl/>
                    <w:jc w:val="center"/>
                    <w:rPr>
                      <w:kern w:val="0"/>
                      <w:szCs w:val="21"/>
                    </w:rPr>
                  </w:pPr>
                  <w:r>
                    <w:rPr>
                      <w:kern w:val="0"/>
                      <w:szCs w:val="21"/>
                    </w:rPr>
                    <w:t>固</w:t>
                  </w:r>
                </w:p>
              </w:tc>
              <w:tc>
                <w:tcPr>
                  <w:tcW w:w="1133" w:type="dxa"/>
                  <w:vAlign w:val="center"/>
                </w:tcPr>
                <w:p w14:paraId="0259E379">
                  <w:pPr>
                    <w:widowControl/>
                    <w:jc w:val="center"/>
                    <w:rPr>
                      <w:kern w:val="0"/>
                      <w:szCs w:val="21"/>
                    </w:rPr>
                  </w:pPr>
                  <w:r>
                    <w:rPr>
                      <w:kern w:val="0"/>
                      <w:szCs w:val="21"/>
                    </w:rPr>
                    <w:t>承装过化学品的空桶</w:t>
                  </w:r>
                </w:p>
              </w:tc>
              <w:tc>
                <w:tcPr>
                  <w:tcW w:w="851" w:type="dxa"/>
                  <w:vAlign w:val="center"/>
                </w:tcPr>
                <w:p w14:paraId="4D784384">
                  <w:pPr>
                    <w:widowControl/>
                    <w:jc w:val="center"/>
                    <w:rPr>
                      <w:kern w:val="0"/>
                      <w:szCs w:val="21"/>
                    </w:rPr>
                  </w:pPr>
                  <w:r>
                    <w:rPr>
                      <w:kern w:val="0"/>
                      <w:szCs w:val="21"/>
                    </w:rPr>
                    <w:t>35吨+4500只</w:t>
                  </w:r>
                </w:p>
              </w:tc>
              <w:tc>
                <w:tcPr>
                  <w:tcW w:w="1537" w:type="dxa"/>
                  <w:vAlign w:val="center"/>
                </w:tcPr>
                <w:p w14:paraId="19C2FF64">
                  <w:pPr>
                    <w:widowControl/>
                    <w:jc w:val="center"/>
                    <w:rPr>
                      <w:kern w:val="0"/>
                      <w:szCs w:val="21"/>
                    </w:rPr>
                  </w:pPr>
                  <w:r>
                    <w:rPr>
                      <w:kern w:val="0"/>
                      <w:szCs w:val="21"/>
                    </w:rPr>
                    <w:t>委托沭阳恒升环境科技有限公司、</w:t>
                  </w:r>
                  <w:r>
                    <w:rPr>
                      <w:bCs/>
                    </w:rPr>
                    <w:t>江苏伟杰环保科技有限公司</w:t>
                  </w:r>
                  <w:r>
                    <w:rPr>
                      <w:rFonts w:hint="eastAsia"/>
                      <w:kern w:val="0"/>
                      <w:szCs w:val="21"/>
                    </w:rPr>
                    <w:t>安全</w:t>
                  </w:r>
                  <w:r>
                    <w:rPr>
                      <w:kern w:val="0"/>
                      <w:szCs w:val="21"/>
                    </w:rPr>
                    <w:t>处理</w:t>
                  </w:r>
                </w:p>
              </w:tc>
            </w:tr>
            <w:tr w14:paraId="4F8E95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vAlign w:val="center"/>
                </w:tcPr>
                <w:p w14:paraId="03B3A1F1">
                  <w:pPr>
                    <w:widowControl/>
                    <w:jc w:val="center"/>
                    <w:rPr>
                      <w:kern w:val="0"/>
                      <w:szCs w:val="21"/>
                    </w:rPr>
                  </w:pPr>
                  <w:r>
                    <w:rPr>
                      <w:kern w:val="0"/>
                      <w:szCs w:val="21"/>
                    </w:rPr>
                    <w:t>13</w:t>
                  </w:r>
                </w:p>
              </w:tc>
              <w:tc>
                <w:tcPr>
                  <w:tcW w:w="1005" w:type="dxa"/>
                  <w:vAlign w:val="center"/>
                </w:tcPr>
                <w:p w14:paraId="1D583DD8">
                  <w:pPr>
                    <w:widowControl/>
                    <w:jc w:val="center"/>
                    <w:rPr>
                      <w:kern w:val="0"/>
                      <w:szCs w:val="21"/>
                    </w:rPr>
                  </w:pPr>
                  <w:r>
                    <w:rPr>
                      <w:kern w:val="0"/>
                      <w:szCs w:val="21"/>
                    </w:rPr>
                    <w:t>废锂电池</w:t>
                  </w:r>
                </w:p>
              </w:tc>
              <w:tc>
                <w:tcPr>
                  <w:tcW w:w="850" w:type="dxa"/>
                  <w:vMerge w:val="restart"/>
                  <w:vAlign w:val="center"/>
                </w:tcPr>
                <w:p w14:paraId="5D495026">
                  <w:pPr>
                    <w:widowControl/>
                    <w:jc w:val="center"/>
                    <w:rPr>
                      <w:kern w:val="0"/>
                      <w:szCs w:val="21"/>
                    </w:rPr>
                  </w:pPr>
                  <w:r>
                    <w:rPr>
                      <w:kern w:val="0"/>
                      <w:szCs w:val="21"/>
                    </w:rPr>
                    <w:t>一般工业固体废物</w:t>
                  </w:r>
                </w:p>
              </w:tc>
              <w:tc>
                <w:tcPr>
                  <w:tcW w:w="1134" w:type="dxa"/>
                  <w:vAlign w:val="center"/>
                </w:tcPr>
                <w:p w14:paraId="6094A2FC">
                  <w:pPr>
                    <w:widowControl/>
                    <w:jc w:val="center"/>
                    <w:rPr>
                      <w:kern w:val="0"/>
                      <w:szCs w:val="21"/>
                    </w:rPr>
                  </w:pPr>
                  <w:r>
                    <w:rPr>
                      <w:kern w:val="0"/>
                      <w:szCs w:val="21"/>
                    </w:rPr>
                    <w:t>叉车</w:t>
                  </w:r>
                </w:p>
              </w:tc>
              <w:tc>
                <w:tcPr>
                  <w:tcW w:w="427" w:type="dxa"/>
                  <w:vAlign w:val="center"/>
                </w:tcPr>
                <w:p w14:paraId="413D8DF1">
                  <w:pPr>
                    <w:widowControl/>
                    <w:jc w:val="center"/>
                    <w:rPr>
                      <w:kern w:val="0"/>
                      <w:szCs w:val="21"/>
                    </w:rPr>
                  </w:pPr>
                  <w:r>
                    <w:rPr>
                      <w:kern w:val="0"/>
                      <w:szCs w:val="21"/>
                    </w:rPr>
                    <w:t>固</w:t>
                  </w:r>
                </w:p>
              </w:tc>
              <w:tc>
                <w:tcPr>
                  <w:tcW w:w="1133" w:type="dxa"/>
                  <w:vAlign w:val="center"/>
                </w:tcPr>
                <w:p w14:paraId="717B1BB5">
                  <w:pPr>
                    <w:widowControl/>
                    <w:jc w:val="center"/>
                    <w:rPr>
                      <w:kern w:val="0"/>
                      <w:szCs w:val="21"/>
                    </w:rPr>
                  </w:pPr>
                  <w:r>
                    <w:rPr>
                      <w:kern w:val="0"/>
                      <w:szCs w:val="21"/>
                    </w:rPr>
                    <w:t>锂电池</w:t>
                  </w:r>
                </w:p>
              </w:tc>
              <w:tc>
                <w:tcPr>
                  <w:tcW w:w="851" w:type="dxa"/>
                  <w:vAlign w:val="center"/>
                </w:tcPr>
                <w:p w14:paraId="1AE2E1B2">
                  <w:pPr>
                    <w:widowControl/>
                    <w:jc w:val="center"/>
                    <w:rPr>
                      <w:kern w:val="0"/>
                      <w:szCs w:val="21"/>
                    </w:rPr>
                  </w:pPr>
                  <w:r>
                    <w:rPr>
                      <w:kern w:val="0"/>
                      <w:szCs w:val="21"/>
                    </w:rPr>
                    <w:t>0.3</w:t>
                  </w:r>
                </w:p>
              </w:tc>
              <w:tc>
                <w:tcPr>
                  <w:tcW w:w="1537" w:type="dxa"/>
                  <w:vMerge w:val="restart"/>
                  <w:vAlign w:val="center"/>
                </w:tcPr>
                <w:p w14:paraId="0CF935B8">
                  <w:pPr>
                    <w:widowControl/>
                    <w:jc w:val="center"/>
                    <w:rPr>
                      <w:kern w:val="0"/>
                      <w:szCs w:val="21"/>
                    </w:rPr>
                  </w:pPr>
                  <w:r>
                    <w:rPr>
                      <w:kern w:val="0"/>
                      <w:szCs w:val="21"/>
                    </w:rPr>
                    <w:t>外售综合利用</w:t>
                  </w:r>
                </w:p>
              </w:tc>
            </w:tr>
            <w:tr w14:paraId="68A374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vAlign w:val="center"/>
                </w:tcPr>
                <w:p w14:paraId="2C03AE47">
                  <w:pPr>
                    <w:widowControl/>
                    <w:jc w:val="center"/>
                    <w:rPr>
                      <w:kern w:val="0"/>
                      <w:szCs w:val="21"/>
                    </w:rPr>
                  </w:pPr>
                  <w:r>
                    <w:rPr>
                      <w:kern w:val="0"/>
                      <w:szCs w:val="21"/>
                    </w:rPr>
                    <w:t>14</w:t>
                  </w:r>
                </w:p>
              </w:tc>
              <w:tc>
                <w:tcPr>
                  <w:tcW w:w="1005" w:type="dxa"/>
                  <w:vAlign w:val="center"/>
                </w:tcPr>
                <w:p w14:paraId="2441AFD0">
                  <w:pPr>
                    <w:widowControl/>
                    <w:jc w:val="center"/>
                    <w:rPr>
                      <w:kern w:val="0"/>
                      <w:szCs w:val="21"/>
                    </w:rPr>
                  </w:pPr>
                  <w:r>
                    <w:rPr>
                      <w:kern w:val="0"/>
                      <w:szCs w:val="21"/>
                    </w:rPr>
                    <w:t>废过滤材料</w:t>
                  </w:r>
                </w:p>
              </w:tc>
              <w:tc>
                <w:tcPr>
                  <w:tcW w:w="850" w:type="dxa"/>
                  <w:vMerge w:val="continue"/>
                  <w:vAlign w:val="center"/>
                </w:tcPr>
                <w:p w14:paraId="0702861F">
                  <w:pPr>
                    <w:widowControl/>
                    <w:jc w:val="left"/>
                    <w:rPr>
                      <w:kern w:val="0"/>
                      <w:szCs w:val="21"/>
                    </w:rPr>
                  </w:pPr>
                </w:p>
              </w:tc>
              <w:tc>
                <w:tcPr>
                  <w:tcW w:w="1134" w:type="dxa"/>
                  <w:vAlign w:val="center"/>
                </w:tcPr>
                <w:p w14:paraId="06E018A6">
                  <w:pPr>
                    <w:widowControl/>
                    <w:jc w:val="center"/>
                    <w:rPr>
                      <w:kern w:val="0"/>
                      <w:szCs w:val="21"/>
                    </w:rPr>
                  </w:pPr>
                  <w:r>
                    <w:rPr>
                      <w:kern w:val="0"/>
                      <w:szCs w:val="21"/>
                    </w:rPr>
                    <w:t>空压机、微干机、制氮机、仪表风滤芯、中央空调、回用染色水滤芯等</w:t>
                  </w:r>
                </w:p>
              </w:tc>
              <w:tc>
                <w:tcPr>
                  <w:tcW w:w="427" w:type="dxa"/>
                  <w:vAlign w:val="center"/>
                </w:tcPr>
                <w:p w14:paraId="5E1E536C">
                  <w:pPr>
                    <w:widowControl/>
                    <w:jc w:val="center"/>
                    <w:rPr>
                      <w:kern w:val="0"/>
                      <w:szCs w:val="21"/>
                    </w:rPr>
                  </w:pPr>
                  <w:r>
                    <w:rPr>
                      <w:kern w:val="0"/>
                      <w:szCs w:val="21"/>
                    </w:rPr>
                    <w:t>固</w:t>
                  </w:r>
                </w:p>
              </w:tc>
              <w:tc>
                <w:tcPr>
                  <w:tcW w:w="1133" w:type="dxa"/>
                  <w:vAlign w:val="center"/>
                </w:tcPr>
                <w:p w14:paraId="4C733C23">
                  <w:pPr>
                    <w:widowControl/>
                    <w:jc w:val="center"/>
                    <w:rPr>
                      <w:kern w:val="0"/>
                      <w:szCs w:val="21"/>
                    </w:rPr>
                  </w:pPr>
                  <w:r>
                    <w:rPr>
                      <w:kern w:val="0"/>
                      <w:szCs w:val="21"/>
                    </w:rPr>
                    <w:t>滤芯，过滤袋，无纺布</w:t>
                  </w:r>
                </w:p>
              </w:tc>
              <w:tc>
                <w:tcPr>
                  <w:tcW w:w="851" w:type="dxa"/>
                  <w:vAlign w:val="center"/>
                </w:tcPr>
                <w:p w14:paraId="7BD6E5C0">
                  <w:pPr>
                    <w:widowControl/>
                    <w:jc w:val="center"/>
                    <w:rPr>
                      <w:kern w:val="0"/>
                      <w:szCs w:val="21"/>
                    </w:rPr>
                  </w:pPr>
                  <w:r>
                    <w:rPr>
                      <w:kern w:val="0"/>
                      <w:szCs w:val="21"/>
                    </w:rPr>
                    <w:t>45</w:t>
                  </w:r>
                </w:p>
              </w:tc>
              <w:tc>
                <w:tcPr>
                  <w:tcW w:w="1537" w:type="dxa"/>
                  <w:vMerge w:val="continue"/>
                  <w:vAlign w:val="center"/>
                </w:tcPr>
                <w:p w14:paraId="7E38EB2F">
                  <w:pPr>
                    <w:widowControl/>
                    <w:jc w:val="center"/>
                    <w:rPr>
                      <w:kern w:val="0"/>
                      <w:szCs w:val="21"/>
                    </w:rPr>
                  </w:pPr>
                </w:p>
              </w:tc>
            </w:tr>
            <w:tr w14:paraId="16E119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vAlign w:val="center"/>
                </w:tcPr>
                <w:p w14:paraId="61C3656F">
                  <w:pPr>
                    <w:widowControl/>
                    <w:jc w:val="center"/>
                    <w:rPr>
                      <w:kern w:val="0"/>
                      <w:szCs w:val="21"/>
                    </w:rPr>
                  </w:pPr>
                  <w:r>
                    <w:rPr>
                      <w:kern w:val="0"/>
                      <w:szCs w:val="21"/>
                    </w:rPr>
                    <w:t>15</w:t>
                  </w:r>
                </w:p>
              </w:tc>
              <w:tc>
                <w:tcPr>
                  <w:tcW w:w="1005" w:type="dxa"/>
                  <w:vAlign w:val="center"/>
                </w:tcPr>
                <w:p w14:paraId="20173230">
                  <w:pPr>
                    <w:widowControl/>
                    <w:jc w:val="center"/>
                    <w:rPr>
                      <w:kern w:val="0"/>
                      <w:szCs w:val="21"/>
                    </w:rPr>
                  </w:pPr>
                  <w:r>
                    <w:rPr>
                      <w:kern w:val="0"/>
                      <w:szCs w:val="21"/>
                    </w:rPr>
                    <w:t xml:space="preserve">废活性炭1 </w:t>
                  </w:r>
                </w:p>
              </w:tc>
              <w:tc>
                <w:tcPr>
                  <w:tcW w:w="850" w:type="dxa"/>
                  <w:vAlign w:val="center"/>
                </w:tcPr>
                <w:p w14:paraId="34ED0D44">
                  <w:pPr>
                    <w:widowControl/>
                    <w:jc w:val="center"/>
                    <w:rPr>
                      <w:kern w:val="0"/>
                      <w:szCs w:val="21"/>
                    </w:rPr>
                  </w:pPr>
                  <w:r>
                    <w:rPr>
                      <w:kern w:val="0"/>
                      <w:szCs w:val="21"/>
                    </w:rPr>
                    <w:t>危险废物</w:t>
                  </w:r>
                </w:p>
              </w:tc>
              <w:tc>
                <w:tcPr>
                  <w:tcW w:w="1134" w:type="dxa"/>
                  <w:vAlign w:val="center"/>
                </w:tcPr>
                <w:p w14:paraId="0522BB87">
                  <w:pPr>
                    <w:widowControl/>
                    <w:jc w:val="center"/>
                    <w:rPr>
                      <w:kern w:val="0"/>
                      <w:szCs w:val="21"/>
                    </w:rPr>
                  </w:pPr>
                  <w:r>
                    <w:rPr>
                      <w:kern w:val="0"/>
                      <w:szCs w:val="21"/>
                    </w:rPr>
                    <w:t>激光打印机、化验中心废气处理</w:t>
                  </w:r>
                </w:p>
              </w:tc>
              <w:tc>
                <w:tcPr>
                  <w:tcW w:w="427" w:type="dxa"/>
                  <w:vAlign w:val="center"/>
                </w:tcPr>
                <w:p w14:paraId="2080EB02">
                  <w:pPr>
                    <w:widowControl/>
                    <w:jc w:val="center"/>
                    <w:rPr>
                      <w:kern w:val="0"/>
                      <w:szCs w:val="21"/>
                    </w:rPr>
                  </w:pPr>
                  <w:r>
                    <w:rPr>
                      <w:kern w:val="0"/>
                      <w:szCs w:val="21"/>
                    </w:rPr>
                    <w:t>固</w:t>
                  </w:r>
                </w:p>
              </w:tc>
              <w:tc>
                <w:tcPr>
                  <w:tcW w:w="1133" w:type="dxa"/>
                  <w:vAlign w:val="center"/>
                </w:tcPr>
                <w:p w14:paraId="0CC471B7">
                  <w:pPr>
                    <w:widowControl/>
                    <w:jc w:val="center"/>
                    <w:rPr>
                      <w:kern w:val="0"/>
                      <w:szCs w:val="21"/>
                    </w:rPr>
                  </w:pPr>
                  <w:r>
                    <w:rPr>
                      <w:kern w:val="0"/>
                      <w:szCs w:val="21"/>
                    </w:rPr>
                    <w:t>活性炭</w:t>
                  </w:r>
                </w:p>
              </w:tc>
              <w:tc>
                <w:tcPr>
                  <w:tcW w:w="851" w:type="dxa"/>
                  <w:vAlign w:val="center"/>
                </w:tcPr>
                <w:p w14:paraId="674B1F9E">
                  <w:pPr>
                    <w:widowControl/>
                    <w:jc w:val="center"/>
                    <w:rPr>
                      <w:kern w:val="0"/>
                      <w:szCs w:val="21"/>
                    </w:rPr>
                  </w:pPr>
                  <w:r>
                    <w:rPr>
                      <w:kern w:val="0"/>
                      <w:szCs w:val="21"/>
                    </w:rPr>
                    <w:t>1</w:t>
                  </w:r>
                </w:p>
              </w:tc>
              <w:tc>
                <w:tcPr>
                  <w:tcW w:w="1537" w:type="dxa"/>
                  <w:vAlign w:val="center"/>
                </w:tcPr>
                <w:p w14:paraId="4808DBB2">
                  <w:pPr>
                    <w:widowControl/>
                    <w:jc w:val="center"/>
                    <w:rPr>
                      <w:kern w:val="0"/>
                      <w:szCs w:val="21"/>
                    </w:rPr>
                  </w:pPr>
                  <w:r>
                    <w:rPr>
                      <w:kern w:val="0"/>
                      <w:szCs w:val="21"/>
                    </w:rPr>
                    <w:t>委托江苏昕鼎华环保科技有限公司</w:t>
                  </w:r>
                  <w:r>
                    <w:rPr>
                      <w:rFonts w:hint="eastAsia"/>
                      <w:kern w:val="0"/>
                      <w:szCs w:val="21"/>
                    </w:rPr>
                    <w:t>安全</w:t>
                  </w:r>
                  <w:r>
                    <w:rPr>
                      <w:kern w:val="0"/>
                      <w:szCs w:val="21"/>
                    </w:rPr>
                    <w:t>处理</w:t>
                  </w:r>
                </w:p>
              </w:tc>
            </w:tr>
            <w:tr w14:paraId="1D2A2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vAlign w:val="center"/>
                </w:tcPr>
                <w:p w14:paraId="54A3C04B">
                  <w:pPr>
                    <w:widowControl/>
                    <w:jc w:val="center"/>
                    <w:rPr>
                      <w:kern w:val="0"/>
                      <w:szCs w:val="21"/>
                    </w:rPr>
                  </w:pPr>
                  <w:r>
                    <w:rPr>
                      <w:kern w:val="0"/>
                      <w:szCs w:val="21"/>
                    </w:rPr>
                    <w:t>16</w:t>
                  </w:r>
                </w:p>
              </w:tc>
              <w:tc>
                <w:tcPr>
                  <w:tcW w:w="1005" w:type="dxa"/>
                  <w:vAlign w:val="center"/>
                </w:tcPr>
                <w:p w14:paraId="2914D60A">
                  <w:pPr>
                    <w:widowControl/>
                    <w:jc w:val="center"/>
                    <w:rPr>
                      <w:kern w:val="0"/>
                      <w:szCs w:val="21"/>
                    </w:rPr>
                  </w:pPr>
                  <w:r>
                    <w:rPr>
                      <w:kern w:val="0"/>
                      <w:szCs w:val="21"/>
                    </w:rPr>
                    <w:t>废硒鼓墨盒</w:t>
                  </w:r>
                </w:p>
              </w:tc>
              <w:tc>
                <w:tcPr>
                  <w:tcW w:w="850" w:type="dxa"/>
                  <w:vMerge w:val="restart"/>
                  <w:vAlign w:val="center"/>
                </w:tcPr>
                <w:p w14:paraId="1F63FA7A">
                  <w:pPr>
                    <w:widowControl/>
                    <w:jc w:val="center"/>
                    <w:rPr>
                      <w:kern w:val="0"/>
                      <w:szCs w:val="21"/>
                    </w:rPr>
                  </w:pPr>
                  <w:r>
                    <w:rPr>
                      <w:kern w:val="0"/>
                      <w:szCs w:val="21"/>
                    </w:rPr>
                    <w:t>一般工业固体废物</w:t>
                  </w:r>
                </w:p>
              </w:tc>
              <w:tc>
                <w:tcPr>
                  <w:tcW w:w="1134" w:type="dxa"/>
                  <w:vAlign w:val="center"/>
                </w:tcPr>
                <w:p w14:paraId="598CE0AD">
                  <w:pPr>
                    <w:widowControl/>
                    <w:jc w:val="center"/>
                    <w:rPr>
                      <w:kern w:val="0"/>
                      <w:szCs w:val="21"/>
                    </w:rPr>
                  </w:pPr>
                  <w:r>
                    <w:rPr>
                      <w:kern w:val="0"/>
                      <w:szCs w:val="21"/>
                    </w:rPr>
                    <w:t>办公</w:t>
                  </w:r>
                </w:p>
              </w:tc>
              <w:tc>
                <w:tcPr>
                  <w:tcW w:w="427" w:type="dxa"/>
                  <w:vAlign w:val="center"/>
                </w:tcPr>
                <w:p w14:paraId="0C943C32">
                  <w:pPr>
                    <w:widowControl/>
                    <w:jc w:val="center"/>
                    <w:rPr>
                      <w:kern w:val="0"/>
                      <w:szCs w:val="21"/>
                    </w:rPr>
                  </w:pPr>
                  <w:r>
                    <w:rPr>
                      <w:kern w:val="0"/>
                      <w:szCs w:val="21"/>
                    </w:rPr>
                    <w:t>固</w:t>
                  </w:r>
                </w:p>
              </w:tc>
              <w:tc>
                <w:tcPr>
                  <w:tcW w:w="1133" w:type="dxa"/>
                  <w:vAlign w:val="center"/>
                </w:tcPr>
                <w:p w14:paraId="2DD5FA7F">
                  <w:pPr>
                    <w:widowControl/>
                    <w:jc w:val="center"/>
                    <w:rPr>
                      <w:kern w:val="0"/>
                      <w:szCs w:val="21"/>
                    </w:rPr>
                  </w:pPr>
                  <w:r>
                    <w:rPr>
                      <w:kern w:val="0"/>
                      <w:szCs w:val="21"/>
                    </w:rPr>
                    <w:t>硒鼓墨盒</w:t>
                  </w:r>
                </w:p>
              </w:tc>
              <w:tc>
                <w:tcPr>
                  <w:tcW w:w="851" w:type="dxa"/>
                  <w:vAlign w:val="center"/>
                </w:tcPr>
                <w:p w14:paraId="04F793B0">
                  <w:pPr>
                    <w:widowControl/>
                    <w:jc w:val="center"/>
                    <w:rPr>
                      <w:kern w:val="0"/>
                      <w:szCs w:val="21"/>
                    </w:rPr>
                  </w:pPr>
                  <w:r>
                    <w:rPr>
                      <w:kern w:val="0"/>
                      <w:szCs w:val="21"/>
                    </w:rPr>
                    <w:t>1</w:t>
                  </w:r>
                </w:p>
              </w:tc>
              <w:tc>
                <w:tcPr>
                  <w:tcW w:w="1537" w:type="dxa"/>
                  <w:vAlign w:val="center"/>
                </w:tcPr>
                <w:p w14:paraId="28E9673C">
                  <w:pPr>
                    <w:widowControl/>
                    <w:jc w:val="center"/>
                    <w:rPr>
                      <w:kern w:val="0"/>
                      <w:szCs w:val="21"/>
                    </w:rPr>
                  </w:pPr>
                  <w:r>
                    <w:rPr>
                      <w:kern w:val="0"/>
                      <w:szCs w:val="21"/>
                    </w:rPr>
                    <w:t>外售综合利用</w:t>
                  </w:r>
                </w:p>
              </w:tc>
            </w:tr>
            <w:tr w14:paraId="087C6C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vAlign w:val="center"/>
                </w:tcPr>
                <w:p w14:paraId="75320816">
                  <w:pPr>
                    <w:widowControl/>
                    <w:jc w:val="center"/>
                    <w:rPr>
                      <w:kern w:val="0"/>
                      <w:szCs w:val="21"/>
                    </w:rPr>
                  </w:pPr>
                  <w:r>
                    <w:rPr>
                      <w:kern w:val="0"/>
                      <w:szCs w:val="21"/>
                    </w:rPr>
                    <w:t>17</w:t>
                  </w:r>
                </w:p>
              </w:tc>
              <w:tc>
                <w:tcPr>
                  <w:tcW w:w="1005" w:type="dxa"/>
                  <w:vAlign w:val="center"/>
                </w:tcPr>
                <w:p w14:paraId="1B6D3BC4">
                  <w:pPr>
                    <w:widowControl/>
                    <w:jc w:val="center"/>
                    <w:rPr>
                      <w:kern w:val="0"/>
                      <w:szCs w:val="21"/>
                    </w:rPr>
                  </w:pPr>
                  <w:r>
                    <w:rPr>
                      <w:kern w:val="0"/>
                      <w:szCs w:val="21"/>
                    </w:rPr>
                    <w:t>石膏</w:t>
                  </w:r>
                </w:p>
              </w:tc>
              <w:tc>
                <w:tcPr>
                  <w:tcW w:w="850" w:type="dxa"/>
                  <w:vMerge w:val="continue"/>
                  <w:vAlign w:val="center"/>
                </w:tcPr>
                <w:p w14:paraId="489A86C6">
                  <w:pPr>
                    <w:widowControl/>
                    <w:jc w:val="left"/>
                    <w:rPr>
                      <w:kern w:val="0"/>
                      <w:szCs w:val="21"/>
                    </w:rPr>
                  </w:pPr>
                </w:p>
              </w:tc>
              <w:tc>
                <w:tcPr>
                  <w:tcW w:w="1134" w:type="dxa"/>
                  <w:vMerge w:val="restart"/>
                  <w:vAlign w:val="center"/>
                </w:tcPr>
                <w:p w14:paraId="6B313916">
                  <w:pPr>
                    <w:widowControl/>
                    <w:jc w:val="center"/>
                    <w:rPr>
                      <w:kern w:val="0"/>
                      <w:szCs w:val="21"/>
                    </w:rPr>
                  </w:pPr>
                  <w:r>
                    <w:rPr>
                      <w:kern w:val="0"/>
                      <w:szCs w:val="21"/>
                    </w:rPr>
                    <w:t>热媒站</w:t>
                  </w:r>
                </w:p>
              </w:tc>
              <w:tc>
                <w:tcPr>
                  <w:tcW w:w="427" w:type="dxa"/>
                  <w:vAlign w:val="center"/>
                </w:tcPr>
                <w:p w14:paraId="5A67F50E">
                  <w:pPr>
                    <w:widowControl/>
                    <w:jc w:val="center"/>
                    <w:rPr>
                      <w:kern w:val="0"/>
                      <w:szCs w:val="21"/>
                    </w:rPr>
                  </w:pPr>
                  <w:r>
                    <w:rPr>
                      <w:kern w:val="0"/>
                      <w:szCs w:val="21"/>
                    </w:rPr>
                    <w:t>固</w:t>
                  </w:r>
                </w:p>
              </w:tc>
              <w:tc>
                <w:tcPr>
                  <w:tcW w:w="1133" w:type="dxa"/>
                  <w:vAlign w:val="center"/>
                </w:tcPr>
                <w:p w14:paraId="613101DC">
                  <w:pPr>
                    <w:widowControl/>
                    <w:jc w:val="center"/>
                    <w:rPr>
                      <w:kern w:val="0"/>
                      <w:szCs w:val="21"/>
                    </w:rPr>
                  </w:pPr>
                  <w:r>
                    <w:rPr>
                      <w:kern w:val="0"/>
                      <w:szCs w:val="21"/>
                    </w:rPr>
                    <w:t>石膏</w:t>
                  </w:r>
                </w:p>
              </w:tc>
              <w:tc>
                <w:tcPr>
                  <w:tcW w:w="851" w:type="dxa"/>
                  <w:vAlign w:val="center"/>
                </w:tcPr>
                <w:p w14:paraId="302144B7">
                  <w:pPr>
                    <w:widowControl/>
                    <w:jc w:val="center"/>
                    <w:rPr>
                      <w:kern w:val="0"/>
                      <w:szCs w:val="21"/>
                    </w:rPr>
                  </w:pPr>
                  <w:r>
                    <w:rPr>
                      <w:kern w:val="0"/>
                      <w:szCs w:val="21"/>
                    </w:rPr>
                    <w:t>960</w:t>
                  </w:r>
                </w:p>
              </w:tc>
              <w:tc>
                <w:tcPr>
                  <w:tcW w:w="1537" w:type="dxa"/>
                  <w:vMerge w:val="restart"/>
                  <w:vAlign w:val="center"/>
                </w:tcPr>
                <w:p w14:paraId="0755FA9F">
                  <w:pPr>
                    <w:widowControl/>
                    <w:jc w:val="center"/>
                    <w:rPr>
                      <w:kern w:val="0"/>
                      <w:szCs w:val="21"/>
                    </w:rPr>
                  </w:pPr>
                  <w:r>
                    <w:rPr>
                      <w:kern w:val="0"/>
                      <w:szCs w:val="21"/>
                    </w:rPr>
                    <w:t>外售</w:t>
                  </w:r>
                  <w:r>
                    <w:rPr>
                      <w:bCs/>
                    </w:rPr>
                    <w:t>宿迁建中建材有限公司</w:t>
                  </w:r>
                  <w:r>
                    <w:rPr>
                      <w:kern w:val="0"/>
                      <w:szCs w:val="21"/>
                    </w:rPr>
                    <w:t>综合利用</w:t>
                  </w:r>
                </w:p>
              </w:tc>
            </w:tr>
            <w:tr w14:paraId="6444BF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vAlign w:val="center"/>
                </w:tcPr>
                <w:p w14:paraId="286C48D2">
                  <w:pPr>
                    <w:widowControl/>
                    <w:jc w:val="center"/>
                    <w:rPr>
                      <w:kern w:val="0"/>
                      <w:szCs w:val="21"/>
                    </w:rPr>
                  </w:pPr>
                  <w:r>
                    <w:rPr>
                      <w:kern w:val="0"/>
                      <w:szCs w:val="21"/>
                    </w:rPr>
                    <w:t>18</w:t>
                  </w:r>
                </w:p>
              </w:tc>
              <w:tc>
                <w:tcPr>
                  <w:tcW w:w="1005" w:type="dxa"/>
                  <w:vAlign w:val="center"/>
                </w:tcPr>
                <w:p w14:paraId="5D327003">
                  <w:pPr>
                    <w:widowControl/>
                    <w:jc w:val="center"/>
                    <w:rPr>
                      <w:kern w:val="0"/>
                      <w:szCs w:val="21"/>
                    </w:rPr>
                  </w:pPr>
                  <w:r>
                    <w:rPr>
                      <w:kern w:val="0"/>
                      <w:szCs w:val="21"/>
                    </w:rPr>
                    <w:t>炉渣</w:t>
                  </w:r>
                </w:p>
              </w:tc>
              <w:tc>
                <w:tcPr>
                  <w:tcW w:w="850" w:type="dxa"/>
                  <w:vMerge w:val="continue"/>
                  <w:vAlign w:val="center"/>
                </w:tcPr>
                <w:p w14:paraId="7300071E">
                  <w:pPr>
                    <w:widowControl/>
                    <w:jc w:val="left"/>
                    <w:rPr>
                      <w:kern w:val="0"/>
                      <w:szCs w:val="21"/>
                    </w:rPr>
                  </w:pPr>
                </w:p>
              </w:tc>
              <w:tc>
                <w:tcPr>
                  <w:tcW w:w="1134" w:type="dxa"/>
                  <w:vMerge w:val="continue"/>
                  <w:vAlign w:val="center"/>
                </w:tcPr>
                <w:p w14:paraId="631DF68B">
                  <w:pPr>
                    <w:widowControl/>
                    <w:jc w:val="left"/>
                    <w:rPr>
                      <w:kern w:val="0"/>
                      <w:szCs w:val="21"/>
                    </w:rPr>
                  </w:pPr>
                </w:p>
              </w:tc>
              <w:tc>
                <w:tcPr>
                  <w:tcW w:w="427" w:type="dxa"/>
                  <w:vAlign w:val="center"/>
                </w:tcPr>
                <w:p w14:paraId="0F881B06">
                  <w:pPr>
                    <w:widowControl/>
                    <w:jc w:val="center"/>
                    <w:rPr>
                      <w:kern w:val="0"/>
                      <w:szCs w:val="21"/>
                    </w:rPr>
                  </w:pPr>
                  <w:r>
                    <w:rPr>
                      <w:kern w:val="0"/>
                      <w:szCs w:val="21"/>
                    </w:rPr>
                    <w:t>固</w:t>
                  </w:r>
                </w:p>
              </w:tc>
              <w:tc>
                <w:tcPr>
                  <w:tcW w:w="1133" w:type="dxa"/>
                  <w:vAlign w:val="center"/>
                </w:tcPr>
                <w:p w14:paraId="73817790">
                  <w:pPr>
                    <w:widowControl/>
                    <w:jc w:val="center"/>
                    <w:rPr>
                      <w:kern w:val="0"/>
                      <w:szCs w:val="21"/>
                    </w:rPr>
                  </w:pPr>
                  <w:r>
                    <w:rPr>
                      <w:kern w:val="0"/>
                      <w:szCs w:val="21"/>
                    </w:rPr>
                    <w:t>炉渣</w:t>
                  </w:r>
                </w:p>
              </w:tc>
              <w:tc>
                <w:tcPr>
                  <w:tcW w:w="851" w:type="dxa"/>
                  <w:vAlign w:val="center"/>
                </w:tcPr>
                <w:p w14:paraId="48D4CCF8">
                  <w:pPr>
                    <w:widowControl/>
                    <w:jc w:val="center"/>
                    <w:rPr>
                      <w:kern w:val="0"/>
                      <w:szCs w:val="21"/>
                    </w:rPr>
                  </w:pPr>
                  <w:r>
                    <w:rPr>
                      <w:kern w:val="0"/>
                      <w:szCs w:val="21"/>
                    </w:rPr>
                    <w:t>540</w:t>
                  </w:r>
                </w:p>
              </w:tc>
              <w:tc>
                <w:tcPr>
                  <w:tcW w:w="1537" w:type="dxa"/>
                  <w:vMerge w:val="continue"/>
                  <w:vAlign w:val="center"/>
                </w:tcPr>
                <w:p w14:paraId="26C81119">
                  <w:pPr>
                    <w:widowControl/>
                    <w:jc w:val="center"/>
                    <w:rPr>
                      <w:kern w:val="0"/>
                      <w:szCs w:val="21"/>
                    </w:rPr>
                  </w:pPr>
                </w:p>
              </w:tc>
            </w:tr>
            <w:tr w14:paraId="383C49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vAlign w:val="center"/>
                </w:tcPr>
                <w:p w14:paraId="3C642C2D">
                  <w:pPr>
                    <w:widowControl/>
                    <w:jc w:val="center"/>
                    <w:rPr>
                      <w:kern w:val="0"/>
                      <w:szCs w:val="21"/>
                    </w:rPr>
                  </w:pPr>
                  <w:r>
                    <w:rPr>
                      <w:kern w:val="0"/>
                      <w:szCs w:val="21"/>
                    </w:rPr>
                    <w:t>19</w:t>
                  </w:r>
                </w:p>
              </w:tc>
              <w:tc>
                <w:tcPr>
                  <w:tcW w:w="1005" w:type="dxa"/>
                  <w:vAlign w:val="center"/>
                </w:tcPr>
                <w:p w14:paraId="69FF8B1E">
                  <w:pPr>
                    <w:widowControl/>
                    <w:jc w:val="center"/>
                    <w:rPr>
                      <w:kern w:val="0"/>
                      <w:szCs w:val="21"/>
                    </w:rPr>
                  </w:pPr>
                  <w:r>
                    <w:rPr>
                      <w:kern w:val="0"/>
                      <w:szCs w:val="21"/>
                    </w:rPr>
                    <w:t>飞灰</w:t>
                  </w:r>
                </w:p>
              </w:tc>
              <w:tc>
                <w:tcPr>
                  <w:tcW w:w="850" w:type="dxa"/>
                  <w:vMerge w:val="continue"/>
                  <w:vAlign w:val="center"/>
                </w:tcPr>
                <w:p w14:paraId="0B88F6C3">
                  <w:pPr>
                    <w:widowControl/>
                    <w:jc w:val="left"/>
                    <w:rPr>
                      <w:kern w:val="0"/>
                      <w:szCs w:val="21"/>
                    </w:rPr>
                  </w:pPr>
                </w:p>
              </w:tc>
              <w:tc>
                <w:tcPr>
                  <w:tcW w:w="1134" w:type="dxa"/>
                  <w:vMerge w:val="continue"/>
                  <w:vAlign w:val="center"/>
                </w:tcPr>
                <w:p w14:paraId="206F49CB">
                  <w:pPr>
                    <w:widowControl/>
                    <w:jc w:val="left"/>
                    <w:rPr>
                      <w:kern w:val="0"/>
                      <w:szCs w:val="21"/>
                    </w:rPr>
                  </w:pPr>
                </w:p>
              </w:tc>
              <w:tc>
                <w:tcPr>
                  <w:tcW w:w="427" w:type="dxa"/>
                  <w:vAlign w:val="center"/>
                </w:tcPr>
                <w:p w14:paraId="686EB800">
                  <w:pPr>
                    <w:widowControl/>
                    <w:jc w:val="center"/>
                    <w:rPr>
                      <w:kern w:val="0"/>
                      <w:szCs w:val="21"/>
                    </w:rPr>
                  </w:pPr>
                  <w:r>
                    <w:rPr>
                      <w:kern w:val="0"/>
                      <w:szCs w:val="21"/>
                    </w:rPr>
                    <w:t>固</w:t>
                  </w:r>
                </w:p>
              </w:tc>
              <w:tc>
                <w:tcPr>
                  <w:tcW w:w="1133" w:type="dxa"/>
                  <w:vAlign w:val="center"/>
                </w:tcPr>
                <w:p w14:paraId="7A95CE3C">
                  <w:pPr>
                    <w:widowControl/>
                    <w:jc w:val="center"/>
                    <w:rPr>
                      <w:kern w:val="0"/>
                      <w:szCs w:val="21"/>
                    </w:rPr>
                  </w:pPr>
                  <w:r>
                    <w:rPr>
                      <w:kern w:val="0"/>
                      <w:szCs w:val="21"/>
                    </w:rPr>
                    <w:t>飞灰</w:t>
                  </w:r>
                </w:p>
              </w:tc>
              <w:tc>
                <w:tcPr>
                  <w:tcW w:w="851" w:type="dxa"/>
                  <w:vAlign w:val="center"/>
                </w:tcPr>
                <w:p w14:paraId="6015C5C3">
                  <w:pPr>
                    <w:widowControl/>
                    <w:jc w:val="center"/>
                    <w:rPr>
                      <w:kern w:val="0"/>
                      <w:szCs w:val="21"/>
                    </w:rPr>
                  </w:pPr>
                  <w:r>
                    <w:rPr>
                      <w:kern w:val="0"/>
                      <w:szCs w:val="21"/>
                    </w:rPr>
                    <w:t>6400</w:t>
                  </w:r>
                </w:p>
              </w:tc>
              <w:tc>
                <w:tcPr>
                  <w:tcW w:w="1537" w:type="dxa"/>
                  <w:vMerge w:val="continue"/>
                  <w:vAlign w:val="center"/>
                </w:tcPr>
                <w:p w14:paraId="3E50AE52">
                  <w:pPr>
                    <w:widowControl/>
                    <w:jc w:val="center"/>
                    <w:rPr>
                      <w:kern w:val="0"/>
                      <w:szCs w:val="21"/>
                    </w:rPr>
                  </w:pPr>
                </w:p>
              </w:tc>
            </w:tr>
            <w:tr w14:paraId="056FB9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dxa"/>
                  <w:vAlign w:val="center"/>
                </w:tcPr>
                <w:p w14:paraId="7BDD42F6">
                  <w:pPr>
                    <w:widowControl/>
                    <w:jc w:val="center"/>
                    <w:rPr>
                      <w:kern w:val="0"/>
                      <w:szCs w:val="21"/>
                    </w:rPr>
                  </w:pPr>
                  <w:r>
                    <w:rPr>
                      <w:kern w:val="0"/>
                      <w:szCs w:val="21"/>
                    </w:rPr>
                    <w:t>20</w:t>
                  </w:r>
                </w:p>
              </w:tc>
              <w:tc>
                <w:tcPr>
                  <w:tcW w:w="1005" w:type="dxa"/>
                  <w:vAlign w:val="center"/>
                </w:tcPr>
                <w:p w14:paraId="725EDACA">
                  <w:pPr>
                    <w:widowControl/>
                    <w:jc w:val="center"/>
                    <w:rPr>
                      <w:kern w:val="0"/>
                      <w:szCs w:val="21"/>
                    </w:rPr>
                  </w:pPr>
                  <w:r>
                    <w:rPr>
                      <w:kern w:val="0"/>
                      <w:szCs w:val="21"/>
                    </w:rPr>
                    <w:t>生活垃圾</w:t>
                  </w:r>
                </w:p>
              </w:tc>
              <w:tc>
                <w:tcPr>
                  <w:tcW w:w="850" w:type="dxa"/>
                  <w:vAlign w:val="center"/>
                </w:tcPr>
                <w:p w14:paraId="3BFC684D">
                  <w:pPr>
                    <w:widowControl/>
                    <w:jc w:val="center"/>
                    <w:rPr>
                      <w:kern w:val="0"/>
                      <w:szCs w:val="21"/>
                    </w:rPr>
                  </w:pPr>
                  <w:r>
                    <w:rPr>
                      <w:kern w:val="0"/>
                      <w:szCs w:val="21"/>
                    </w:rPr>
                    <w:t>生活垃圾</w:t>
                  </w:r>
                </w:p>
              </w:tc>
              <w:tc>
                <w:tcPr>
                  <w:tcW w:w="1134" w:type="dxa"/>
                  <w:vAlign w:val="center"/>
                </w:tcPr>
                <w:p w14:paraId="5D3A219F">
                  <w:pPr>
                    <w:widowControl/>
                    <w:jc w:val="center"/>
                    <w:rPr>
                      <w:kern w:val="0"/>
                      <w:szCs w:val="21"/>
                    </w:rPr>
                  </w:pPr>
                  <w:r>
                    <w:rPr>
                      <w:kern w:val="0"/>
                      <w:szCs w:val="21"/>
                    </w:rPr>
                    <w:t>日常生产生活</w:t>
                  </w:r>
                </w:p>
              </w:tc>
              <w:tc>
                <w:tcPr>
                  <w:tcW w:w="427" w:type="dxa"/>
                  <w:vAlign w:val="center"/>
                </w:tcPr>
                <w:p w14:paraId="1A28ADD3">
                  <w:pPr>
                    <w:widowControl/>
                    <w:jc w:val="center"/>
                    <w:rPr>
                      <w:kern w:val="0"/>
                      <w:szCs w:val="21"/>
                    </w:rPr>
                  </w:pPr>
                  <w:r>
                    <w:rPr>
                      <w:kern w:val="0"/>
                      <w:szCs w:val="21"/>
                    </w:rPr>
                    <w:t>固</w:t>
                  </w:r>
                </w:p>
              </w:tc>
              <w:tc>
                <w:tcPr>
                  <w:tcW w:w="1133" w:type="dxa"/>
                  <w:vAlign w:val="center"/>
                </w:tcPr>
                <w:p w14:paraId="25A1420F">
                  <w:pPr>
                    <w:widowControl/>
                    <w:jc w:val="center"/>
                    <w:rPr>
                      <w:kern w:val="0"/>
                      <w:szCs w:val="21"/>
                    </w:rPr>
                  </w:pPr>
                  <w:r>
                    <w:rPr>
                      <w:kern w:val="0"/>
                      <w:szCs w:val="21"/>
                    </w:rPr>
                    <w:t>食品、杂物、纸屑等</w:t>
                  </w:r>
                </w:p>
              </w:tc>
              <w:tc>
                <w:tcPr>
                  <w:tcW w:w="851" w:type="dxa"/>
                  <w:vAlign w:val="center"/>
                </w:tcPr>
                <w:p w14:paraId="366FFB16">
                  <w:pPr>
                    <w:widowControl/>
                    <w:jc w:val="center"/>
                    <w:rPr>
                      <w:kern w:val="0"/>
                      <w:szCs w:val="21"/>
                    </w:rPr>
                  </w:pPr>
                  <w:r>
                    <w:rPr>
                      <w:kern w:val="0"/>
                      <w:szCs w:val="21"/>
                    </w:rPr>
                    <w:t>1000</w:t>
                  </w:r>
                </w:p>
              </w:tc>
              <w:tc>
                <w:tcPr>
                  <w:tcW w:w="1537" w:type="dxa"/>
                  <w:vAlign w:val="center"/>
                </w:tcPr>
                <w:p w14:paraId="01005955">
                  <w:pPr>
                    <w:widowControl/>
                    <w:jc w:val="center"/>
                    <w:rPr>
                      <w:kern w:val="0"/>
                      <w:szCs w:val="21"/>
                    </w:rPr>
                  </w:pPr>
                  <w:r>
                    <w:rPr>
                      <w:kern w:val="0"/>
                      <w:szCs w:val="21"/>
                    </w:rPr>
                    <w:t>委托环卫部门清运</w:t>
                  </w:r>
                </w:p>
              </w:tc>
            </w:tr>
          </w:tbl>
          <w:p w14:paraId="2A243A8E">
            <w:pPr>
              <w:pStyle w:val="22"/>
              <w:spacing w:line="500" w:lineRule="exact"/>
              <w:ind w:firstLine="440"/>
              <w:rPr>
                <w:b/>
                <w:szCs w:val="24"/>
              </w:rPr>
            </w:pPr>
            <w:r>
              <w:rPr>
                <w:b/>
                <w:szCs w:val="24"/>
              </w:rPr>
              <w:t>5、主要环境问题及整改措施</w:t>
            </w:r>
          </w:p>
          <w:p w14:paraId="4AE7236C">
            <w:pPr>
              <w:pStyle w:val="285"/>
              <w:spacing w:line="500" w:lineRule="exact"/>
              <w:ind w:firstLine="482"/>
              <w:rPr>
                <w:b/>
                <w:bCs/>
              </w:rPr>
            </w:pPr>
            <w:r>
              <w:rPr>
                <w:b/>
                <w:bCs/>
              </w:rPr>
              <w:t>主要环境问题：</w:t>
            </w:r>
          </w:p>
          <w:p w14:paraId="2046CBE0">
            <w:pPr>
              <w:pStyle w:val="285"/>
              <w:spacing w:line="500" w:lineRule="exact"/>
              <w:ind w:firstLine="480"/>
            </w:pPr>
            <w:r>
              <w:t>现有项目由导热油直接供热，所需热媒负荷9760万cal/h，依托厂区成子河西侧地块内自备热媒站4×65.5t/h水煤浆导热油炉和1×40t/h水煤浆导热油炉（备用），设计总热媒负荷15800万cal/h（不含备用炉）。热媒站于国望高科一期一阶段项目完成验收。2024年，环保督察中发现国望高科一期一阶段项目违反了《长江三角洲区域生态环境共同保护规划》中“长三角区域禁止建设企业自备燃煤设施”的要求，根据整改要求，国望高科应于2025年底前停用厂内自备热媒站水煤浆锅炉。</w:t>
            </w:r>
          </w:p>
          <w:p w14:paraId="5708263E">
            <w:pPr>
              <w:pStyle w:val="285"/>
              <w:spacing w:line="500" w:lineRule="exact"/>
              <w:ind w:firstLine="482"/>
              <w:rPr>
                <w:b/>
                <w:bCs/>
              </w:rPr>
            </w:pPr>
            <w:r>
              <w:rPr>
                <w:b/>
                <w:bCs/>
              </w:rPr>
              <w:t>整改措施：</w:t>
            </w:r>
          </w:p>
          <w:p w14:paraId="6EAFF881">
            <w:pPr>
              <w:pStyle w:val="285"/>
              <w:spacing w:line="500" w:lineRule="exact"/>
              <w:ind w:firstLine="480"/>
            </w:pPr>
            <w:r>
              <w:t>企业计划停用厂内自备热媒站水煤浆锅炉，全厂供热改为依托泗阳意杨环保能源有限公司集中供热中心循环流化床锅炉，供应能力660t/h（含低压蒸汽），满足企业成子河西侧地块现有项目及本项目（100万吨聚酯、纺丝产能）生产供热需求（24.3t/h）。此外，现有项目聚酯装置真空尾气、乙醛回收装置尾气由“通过现有自备热媒站焚烧处理达标后排放”改为“送往泗阳意杨环保能源有限公司锅炉焚烧处理达标后排放”，该变动</w:t>
            </w:r>
            <w:r>
              <w:rPr>
                <w:rFonts w:hint="eastAsia"/>
              </w:rPr>
              <w:t>的</w:t>
            </w:r>
            <w:r>
              <w:t>相应环保手续与本项目同步展开</w:t>
            </w:r>
            <w:r>
              <w:rPr>
                <w:rFonts w:hint="eastAsia"/>
              </w:rPr>
              <w:t>，计划于2025年底完成</w:t>
            </w:r>
            <w:r>
              <w:t>。泗阳意杨环保能源有限公司目前尚在建设过程中，计划于2025年底调试运行</w:t>
            </w:r>
            <w:r>
              <w:rPr>
                <w:rFonts w:hint="eastAsia"/>
              </w:rPr>
              <w:t>。本项目预计2026年5月投产，具备衔接条件。</w:t>
            </w:r>
            <w:r>
              <w:t>待</w:t>
            </w:r>
            <w:r>
              <w:rPr>
                <w:rFonts w:hint="eastAsia"/>
              </w:rPr>
              <w:t>国望高科</w:t>
            </w:r>
            <w:r>
              <w:t>停用自备热媒站水煤浆锅炉</w:t>
            </w:r>
            <w:r>
              <w:rPr>
                <w:rFonts w:hint="eastAsia"/>
              </w:rPr>
              <w:t>，且</w:t>
            </w:r>
            <w:r>
              <w:t>泗阳意杨环保能源有限公司投产后，本项目方可生产。</w:t>
            </w:r>
          </w:p>
        </w:tc>
      </w:tr>
    </w:tbl>
    <w:p w14:paraId="64BD2B6F">
      <w:pPr>
        <w:pStyle w:val="2"/>
      </w:pPr>
    </w:p>
    <w:p w14:paraId="4CF6B532">
      <w:pPr>
        <w:pStyle w:val="42"/>
        <w:jc w:val="center"/>
        <w:rPr>
          <w:rFonts w:ascii="Times New Roman" w:hAnsi="Times New Roman" w:eastAsia="黑体"/>
          <w:snapToGrid w:val="0"/>
          <w:sz w:val="36"/>
          <w:szCs w:val="36"/>
        </w:rPr>
      </w:pPr>
    </w:p>
    <w:p w14:paraId="37921BE9">
      <w:pPr>
        <w:pStyle w:val="42"/>
        <w:jc w:val="center"/>
        <w:rPr>
          <w:rFonts w:ascii="Times New Roman" w:hAnsi="Times New Roman" w:eastAsia="黑体"/>
          <w:snapToGrid w:val="0"/>
          <w:sz w:val="36"/>
          <w:szCs w:val="36"/>
        </w:rPr>
        <w:sectPr>
          <w:pgSz w:w="11906" w:h="16838"/>
          <w:pgMar w:top="1440" w:right="1800" w:bottom="1440" w:left="1800" w:header="851" w:footer="851" w:gutter="0"/>
          <w:cols w:space="720" w:num="1"/>
          <w:docGrid w:linePitch="312" w:charSpace="0"/>
        </w:sectPr>
      </w:pPr>
    </w:p>
    <w:p w14:paraId="61309F0F">
      <w:pPr>
        <w:pStyle w:val="42"/>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三、区域环境质量现状、环境保护目标及评价标准</w:t>
      </w:r>
    </w:p>
    <w:tbl>
      <w:tblPr>
        <w:tblStyle w:val="46"/>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112"/>
      </w:tblGrid>
      <w:tr w14:paraId="1567D7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540" w:type="dxa"/>
            <w:vAlign w:val="center"/>
          </w:tcPr>
          <w:p w14:paraId="1B020BF1">
            <w:pPr>
              <w:adjustRightInd w:val="0"/>
              <w:snapToGrid w:val="0"/>
              <w:jc w:val="center"/>
              <w:rPr>
                <w:kern w:val="0"/>
                <w:szCs w:val="21"/>
              </w:rPr>
            </w:pPr>
            <w:r>
              <w:rPr>
                <w:kern w:val="0"/>
                <w:szCs w:val="21"/>
              </w:rPr>
              <w:t>区域</w:t>
            </w:r>
          </w:p>
          <w:p w14:paraId="693ED914">
            <w:pPr>
              <w:adjustRightInd w:val="0"/>
              <w:snapToGrid w:val="0"/>
              <w:jc w:val="center"/>
              <w:rPr>
                <w:kern w:val="0"/>
                <w:szCs w:val="21"/>
              </w:rPr>
            </w:pPr>
            <w:r>
              <w:rPr>
                <w:kern w:val="0"/>
                <w:szCs w:val="21"/>
              </w:rPr>
              <w:t>环境</w:t>
            </w:r>
          </w:p>
          <w:p w14:paraId="0956E866">
            <w:pPr>
              <w:adjustRightInd w:val="0"/>
              <w:snapToGrid w:val="0"/>
              <w:jc w:val="center"/>
              <w:rPr>
                <w:kern w:val="0"/>
                <w:szCs w:val="21"/>
              </w:rPr>
            </w:pPr>
            <w:r>
              <w:rPr>
                <w:kern w:val="0"/>
                <w:szCs w:val="21"/>
              </w:rPr>
              <w:t>质量</w:t>
            </w:r>
          </w:p>
          <w:p w14:paraId="39DE72AF">
            <w:pPr>
              <w:adjustRightInd w:val="0"/>
              <w:snapToGrid w:val="0"/>
              <w:jc w:val="center"/>
              <w:rPr>
                <w:kern w:val="0"/>
                <w:szCs w:val="21"/>
              </w:rPr>
            </w:pPr>
            <w:r>
              <w:rPr>
                <w:kern w:val="0"/>
                <w:szCs w:val="21"/>
              </w:rPr>
              <w:t>现状</w:t>
            </w:r>
          </w:p>
        </w:tc>
        <w:tc>
          <w:tcPr>
            <w:tcW w:w="8532" w:type="dxa"/>
            <w:vAlign w:val="center"/>
          </w:tcPr>
          <w:p w14:paraId="693FC78D">
            <w:pPr>
              <w:pStyle w:val="78"/>
              <w:spacing w:before="0" w:after="0"/>
              <w:rPr>
                <w:rFonts w:cs="Times New Roman"/>
                <w:szCs w:val="24"/>
              </w:rPr>
            </w:pPr>
            <w:r>
              <w:rPr>
                <w:rFonts w:cs="Times New Roman"/>
                <w:szCs w:val="24"/>
              </w:rPr>
              <w:t>1、大气环境质量现状</w:t>
            </w:r>
          </w:p>
          <w:p w14:paraId="2D4A9D97">
            <w:pPr>
              <w:pStyle w:val="79"/>
              <w:spacing w:before="0" w:after="0"/>
              <w:rPr>
                <w:rFonts w:cs="Times New Roman"/>
                <w:szCs w:val="24"/>
              </w:rPr>
            </w:pPr>
            <w:r>
              <w:rPr>
                <w:rFonts w:cs="Times New Roman"/>
                <w:szCs w:val="24"/>
              </w:rPr>
              <w:t>（1）常规污染物环境质量现状</w:t>
            </w:r>
          </w:p>
          <w:p w14:paraId="6FD24504">
            <w:pPr>
              <w:pStyle w:val="76"/>
              <w:ind w:firstLine="480"/>
            </w:pPr>
            <w:r>
              <w:t>根据《2023年泗阳县环境质量分析报告》可知，2023年泗阳县大气环境质量PM</w:t>
            </w:r>
            <w:r>
              <w:rPr>
                <w:vertAlign w:val="subscript"/>
              </w:rPr>
              <w:t>2.5</w:t>
            </w:r>
            <w:r>
              <w:t>年平均浓度0.036mg/m</w:t>
            </w:r>
            <w:r>
              <w:rPr>
                <w:vertAlign w:val="superscript"/>
              </w:rPr>
              <w:t>3</w:t>
            </w:r>
            <w:r>
              <w:t>，同比下降 0.3%；NO</w:t>
            </w:r>
            <w:r>
              <w:rPr>
                <w:vertAlign w:val="subscript"/>
              </w:rPr>
              <w:t>2</w:t>
            </w:r>
            <w:r>
              <w:t>年平均浓度0.027mg/m</w:t>
            </w:r>
            <w:r>
              <w:rPr>
                <w:vertAlign w:val="superscript"/>
              </w:rPr>
              <w:t>3</w:t>
            </w:r>
            <w:r>
              <w:t>，同比上升 12.5%；O</w:t>
            </w:r>
            <w:r>
              <w:rPr>
                <w:vertAlign w:val="subscript"/>
              </w:rPr>
              <w:t>3</w:t>
            </w:r>
            <w:r>
              <w:t>日最大8小时均值浓度为0.159mg/m</w:t>
            </w:r>
            <w:r>
              <w:rPr>
                <w:vertAlign w:val="superscript"/>
              </w:rPr>
              <w:t>3</w:t>
            </w:r>
            <w:r>
              <w:t>，同比下降1.2%；PM</w:t>
            </w:r>
            <w:r>
              <w:rPr>
                <w:vertAlign w:val="subscript"/>
              </w:rPr>
              <w:t>10</w:t>
            </w:r>
            <w:r>
              <w:t>年平均浓度0.061mg/m</w:t>
            </w:r>
            <w:r>
              <w:rPr>
                <w:vertAlign w:val="superscript"/>
              </w:rPr>
              <w:t>3</w:t>
            </w:r>
            <w:r>
              <w:t>，同比上升3.4%；SO</w:t>
            </w:r>
            <w:r>
              <w:rPr>
                <w:vertAlign w:val="subscript"/>
              </w:rPr>
              <w:t>2</w:t>
            </w:r>
            <w:r>
              <w:t>年平均浓度0.009mg/m</w:t>
            </w:r>
            <w:r>
              <w:rPr>
                <w:vertAlign w:val="superscript"/>
              </w:rPr>
              <w:t>3</w:t>
            </w:r>
            <w:r>
              <w:t>，同比上升28.6%；CO日均值第95百分位浓度为1.1mg/m</w:t>
            </w:r>
            <w:r>
              <w:rPr>
                <w:vertAlign w:val="superscript"/>
              </w:rPr>
              <w:t>3</w:t>
            </w:r>
            <w:r>
              <w:t>，同比上升10%；优良天数289天，优良天数比率79.2%，同比下降1.1个百分点，其中PM</w:t>
            </w:r>
            <w:r>
              <w:rPr>
                <w:vertAlign w:val="subscript"/>
              </w:rPr>
              <w:t>2.5</w:t>
            </w:r>
            <w:r>
              <w:t>年平均浓度超标，因此，判定为不达标区。</w:t>
            </w:r>
          </w:p>
          <w:p w14:paraId="0284FDF1">
            <w:pPr>
              <w:pStyle w:val="76"/>
              <w:ind w:firstLine="480"/>
            </w:pPr>
            <w:r>
              <w:t>为持续深入打好蓝天保卫战，切实保障人民群众身体健康，以空气质量持续改善推动经济高质量发展，宿迁市制定了《宿迁市空气质量持续改善行动计划实施方案》（宿政发〔2024〕97号）。拟通过优化产业结构、优化能源结构、优化交通结构、强化面源污染治理、加强机制建设、加强能力建设、健全法律法规标准体系等方式，全力以赴、多方发力，持续推动全市空气质量持续改善，守护宿迁市的蓝天白云，区域大气环境质量状况得到改善。</w:t>
            </w:r>
          </w:p>
          <w:p w14:paraId="21F2C223">
            <w:pPr>
              <w:pStyle w:val="79"/>
              <w:spacing w:before="0" w:after="0"/>
              <w:rPr>
                <w:rFonts w:cs="Times New Roman"/>
                <w:szCs w:val="24"/>
              </w:rPr>
            </w:pPr>
            <w:r>
              <w:rPr>
                <w:rFonts w:cs="Times New Roman"/>
                <w:szCs w:val="24"/>
              </w:rPr>
              <w:t>（2）特征污染物环境质量现状</w:t>
            </w:r>
          </w:p>
          <w:p w14:paraId="366AB8ED">
            <w:pPr>
              <w:pStyle w:val="76"/>
              <w:ind w:firstLine="480"/>
            </w:pPr>
            <w:r>
              <w:t>本项目运营期排放的特征因子</w:t>
            </w:r>
            <w:r>
              <w:rPr>
                <w:rFonts w:hint="eastAsia"/>
              </w:rPr>
              <w:t>主要为</w:t>
            </w:r>
            <w:r>
              <w:t>非甲烷总烃，按照《建设项目环境影响报告表编制技术指南（污染影响类）（试行）》要求，非甲烷总烃不属于国家、地方环境空气质量标准中有标准限值要求的特征污染物，无需进行补充监测。</w:t>
            </w:r>
          </w:p>
          <w:p w14:paraId="13C8B135">
            <w:pPr>
              <w:pStyle w:val="76"/>
              <w:ind w:firstLine="0" w:firstLineChars="0"/>
              <w:rPr>
                <w:b/>
                <w:kern w:val="0"/>
              </w:rPr>
            </w:pPr>
            <w:r>
              <w:rPr>
                <w:b/>
                <w:kern w:val="0"/>
              </w:rPr>
              <w:t>2、地表水环境</w:t>
            </w:r>
          </w:p>
          <w:p w14:paraId="0CE2C572">
            <w:pPr>
              <w:pStyle w:val="76"/>
              <w:ind w:firstLine="480"/>
            </w:pPr>
            <w:r>
              <w:t>根据《2023年度宿迁市生态环境状况公报》，2023年，全市地表水环境质量总体为优。全市10个县级以上集中式饮用水水源地水质优Ⅲ比例为100%。全市15个国考断面水质达标率为100%，优Ⅲ水体比例为86.7%，无劣Ⅴ类水体。全市35个省考断面水质达标率为100%，优Ⅲ水体比例为100%，无劣Ⅴ类水体。泗阳县水系图见附图4。</w:t>
            </w:r>
          </w:p>
          <w:p w14:paraId="2EEBAED6">
            <w:pPr>
              <w:pStyle w:val="79"/>
              <w:spacing w:before="0" w:after="0"/>
              <w:rPr>
                <w:rFonts w:cs="Times New Roman"/>
                <w:szCs w:val="24"/>
              </w:rPr>
            </w:pPr>
            <w:r>
              <w:rPr>
                <w:rFonts w:cs="Times New Roman"/>
                <w:szCs w:val="24"/>
              </w:rPr>
              <w:t>3、声环境</w:t>
            </w:r>
          </w:p>
          <w:p w14:paraId="39FB288B">
            <w:pPr>
              <w:pStyle w:val="76"/>
              <w:ind w:firstLine="480"/>
              <w:rPr>
                <w:bCs/>
              </w:rPr>
            </w:pPr>
            <w:r>
              <w:rPr>
                <w:bCs/>
              </w:rPr>
              <w:t>根据《建设项目环境影响报告表编制技术指南（污染影响类）（试行）》，厂界外周边50米范围内存在声环境保护目标的建设项目，应监测保护目标声环境质量现状并评价达标情况。本项目为扩建项目，声环境保护目标处的噪声委外监测，监测时间为2025年3月6日，监测结果如下表。</w:t>
            </w:r>
          </w:p>
          <w:p w14:paraId="46421BEC">
            <w:pPr>
              <w:pStyle w:val="77"/>
              <w:spacing w:line="240" w:lineRule="auto"/>
              <w:rPr>
                <w:szCs w:val="24"/>
              </w:rPr>
            </w:pPr>
            <w:r>
              <w:rPr>
                <w:szCs w:val="24"/>
              </w:rPr>
              <w:t>表3-1 厂界噪声监测结果表（dB(A)）</w:t>
            </w:r>
          </w:p>
          <w:tbl>
            <w:tblPr>
              <w:tblStyle w:val="4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2152"/>
              <w:gridCol w:w="890"/>
              <w:gridCol w:w="911"/>
              <w:gridCol w:w="952"/>
              <w:gridCol w:w="687"/>
              <w:gridCol w:w="689"/>
              <w:gridCol w:w="687"/>
              <w:gridCol w:w="687"/>
            </w:tblGrid>
            <w:tr w14:paraId="7FEE13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8" w:type="pct"/>
                  <w:vMerge w:val="restart"/>
                  <w:tcBorders>
                    <w:tl2br w:val="nil"/>
                    <w:tr2bl w:val="nil"/>
                  </w:tcBorders>
                  <w:vAlign w:val="center"/>
                </w:tcPr>
                <w:p w14:paraId="363A9F80">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监测时间</w:t>
                  </w:r>
                </w:p>
              </w:tc>
              <w:tc>
                <w:tcPr>
                  <w:tcW w:w="1209" w:type="pct"/>
                  <w:vMerge w:val="restart"/>
                  <w:tcBorders>
                    <w:tl2br w:val="nil"/>
                    <w:tr2bl w:val="nil"/>
                  </w:tcBorders>
                  <w:vAlign w:val="center"/>
                </w:tcPr>
                <w:p w14:paraId="4A6229CC">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监测位置</w:t>
                  </w:r>
                </w:p>
              </w:tc>
              <w:tc>
                <w:tcPr>
                  <w:tcW w:w="500" w:type="pct"/>
                  <w:vMerge w:val="restart"/>
                  <w:tcBorders>
                    <w:tl2br w:val="nil"/>
                    <w:tr2bl w:val="nil"/>
                  </w:tcBorders>
                  <w:vAlign w:val="center"/>
                </w:tcPr>
                <w:p w14:paraId="6602A698">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编号</w:t>
                  </w:r>
                </w:p>
              </w:tc>
              <w:tc>
                <w:tcPr>
                  <w:tcW w:w="1047" w:type="pct"/>
                  <w:gridSpan w:val="2"/>
                  <w:tcBorders>
                    <w:tl2br w:val="nil"/>
                    <w:tr2bl w:val="nil"/>
                  </w:tcBorders>
                  <w:vAlign w:val="center"/>
                </w:tcPr>
                <w:p w14:paraId="50BEF2E7">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监测结果</w:t>
                  </w:r>
                </w:p>
              </w:tc>
              <w:tc>
                <w:tcPr>
                  <w:tcW w:w="773" w:type="pct"/>
                  <w:gridSpan w:val="2"/>
                  <w:tcBorders>
                    <w:tl2br w:val="nil"/>
                    <w:tr2bl w:val="nil"/>
                  </w:tcBorders>
                  <w:vAlign w:val="center"/>
                </w:tcPr>
                <w:p w14:paraId="14EB0712">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标准</w:t>
                  </w:r>
                </w:p>
              </w:tc>
              <w:tc>
                <w:tcPr>
                  <w:tcW w:w="772" w:type="pct"/>
                  <w:gridSpan w:val="2"/>
                  <w:tcBorders>
                    <w:tl2br w:val="nil"/>
                    <w:tr2bl w:val="nil"/>
                  </w:tcBorders>
                  <w:vAlign w:val="center"/>
                </w:tcPr>
                <w:p w14:paraId="1E249395">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达标情况</w:t>
                  </w:r>
                </w:p>
              </w:tc>
            </w:tr>
            <w:tr w14:paraId="558DD8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8" w:type="pct"/>
                  <w:vMerge w:val="continue"/>
                  <w:tcBorders>
                    <w:tl2br w:val="nil"/>
                    <w:tr2bl w:val="nil"/>
                  </w:tcBorders>
                  <w:vAlign w:val="center"/>
                </w:tcPr>
                <w:p w14:paraId="27655192">
                  <w:pPr>
                    <w:pStyle w:val="16"/>
                    <w:spacing w:line="240" w:lineRule="auto"/>
                    <w:jc w:val="center"/>
                    <w:rPr>
                      <w:rFonts w:ascii="Times New Roman" w:hAnsi="Times New Roman" w:cs="Times New Roman"/>
                      <w:b w:val="0"/>
                      <w:bCs/>
                      <w:color w:val="auto"/>
                      <w:sz w:val="21"/>
                      <w:szCs w:val="21"/>
                    </w:rPr>
                  </w:pPr>
                </w:p>
              </w:tc>
              <w:tc>
                <w:tcPr>
                  <w:tcW w:w="1209" w:type="pct"/>
                  <w:vMerge w:val="continue"/>
                  <w:tcBorders>
                    <w:tl2br w:val="nil"/>
                    <w:tr2bl w:val="nil"/>
                  </w:tcBorders>
                  <w:vAlign w:val="center"/>
                </w:tcPr>
                <w:p w14:paraId="04088CC3">
                  <w:pPr>
                    <w:pStyle w:val="16"/>
                    <w:spacing w:line="240" w:lineRule="auto"/>
                    <w:jc w:val="center"/>
                    <w:rPr>
                      <w:rFonts w:ascii="Times New Roman" w:hAnsi="Times New Roman" w:cs="Times New Roman"/>
                      <w:b w:val="0"/>
                      <w:bCs/>
                      <w:color w:val="auto"/>
                      <w:sz w:val="21"/>
                      <w:szCs w:val="21"/>
                    </w:rPr>
                  </w:pPr>
                </w:p>
              </w:tc>
              <w:tc>
                <w:tcPr>
                  <w:tcW w:w="500" w:type="pct"/>
                  <w:vMerge w:val="continue"/>
                  <w:tcBorders>
                    <w:tl2br w:val="nil"/>
                    <w:tr2bl w:val="nil"/>
                  </w:tcBorders>
                  <w:vAlign w:val="center"/>
                </w:tcPr>
                <w:p w14:paraId="6C4BF4AE">
                  <w:pPr>
                    <w:pStyle w:val="16"/>
                    <w:spacing w:line="240" w:lineRule="auto"/>
                    <w:jc w:val="center"/>
                    <w:rPr>
                      <w:rFonts w:ascii="Times New Roman" w:hAnsi="Times New Roman" w:cs="Times New Roman"/>
                      <w:b w:val="0"/>
                      <w:bCs/>
                      <w:color w:val="auto"/>
                      <w:sz w:val="21"/>
                      <w:szCs w:val="21"/>
                    </w:rPr>
                  </w:pPr>
                </w:p>
              </w:tc>
              <w:tc>
                <w:tcPr>
                  <w:tcW w:w="512" w:type="pct"/>
                  <w:tcBorders>
                    <w:tl2br w:val="nil"/>
                    <w:tr2bl w:val="nil"/>
                  </w:tcBorders>
                  <w:vAlign w:val="center"/>
                </w:tcPr>
                <w:p w14:paraId="4682B4A4">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昼间</w:t>
                  </w:r>
                </w:p>
              </w:tc>
              <w:tc>
                <w:tcPr>
                  <w:tcW w:w="535" w:type="pct"/>
                  <w:tcBorders>
                    <w:tl2br w:val="nil"/>
                    <w:tr2bl w:val="nil"/>
                  </w:tcBorders>
                  <w:vAlign w:val="center"/>
                </w:tcPr>
                <w:p w14:paraId="3927D44A">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夜间</w:t>
                  </w:r>
                </w:p>
              </w:tc>
              <w:tc>
                <w:tcPr>
                  <w:tcW w:w="386" w:type="pct"/>
                  <w:tcBorders>
                    <w:tl2br w:val="nil"/>
                    <w:tr2bl w:val="nil"/>
                  </w:tcBorders>
                  <w:vAlign w:val="center"/>
                </w:tcPr>
                <w:p w14:paraId="4FAB8015">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昼间</w:t>
                  </w:r>
                </w:p>
              </w:tc>
              <w:tc>
                <w:tcPr>
                  <w:tcW w:w="387" w:type="pct"/>
                  <w:tcBorders>
                    <w:tl2br w:val="nil"/>
                    <w:tr2bl w:val="nil"/>
                  </w:tcBorders>
                  <w:vAlign w:val="center"/>
                </w:tcPr>
                <w:p w14:paraId="7EABE1B4">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夜间</w:t>
                  </w:r>
                </w:p>
              </w:tc>
              <w:tc>
                <w:tcPr>
                  <w:tcW w:w="386" w:type="pct"/>
                  <w:tcBorders>
                    <w:tl2br w:val="nil"/>
                    <w:tr2bl w:val="nil"/>
                  </w:tcBorders>
                  <w:vAlign w:val="center"/>
                </w:tcPr>
                <w:p w14:paraId="253DA5CA">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昼间</w:t>
                  </w:r>
                </w:p>
              </w:tc>
              <w:tc>
                <w:tcPr>
                  <w:tcW w:w="386" w:type="pct"/>
                  <w:tcBorders>
                    <w:tl2br w:val="nil"/>
                    <w:tr2bl w:val="nil"/>
                  </w:tcBorders>
                  <w:vAlign w:val="center"/>
                </w:tcPr>
                <w:p w14:paraId="3EBD2424">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夜间</w:t>
                  </w:r>
                </w:p>
              </w:tc>
            </w:tr>
            <w:tr w14:paraId="60949E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8" w:type="pct"/>
                  <w:vMerge w:val="restart"/>
                  <w:tcBorders>
                    <w:tl2br w:val="nil"/>
                    <w:tr2bl w:val="nil"/>
                  </w:tcBorders>
                  <w:vAlign w:val="center"/>
                </w:tcPr>
                <w:p w14:paraId="5B831CA0">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2025.03.06</w:t>
                  </w:r>
                </w:p>
              </w:tc>
              <w:tc>
                <w:tcPr>
                  <w:tcW w:w="1209" w:type="pct"/>
                  <w:tcBorders>
                    <w:tl2br w:val="nil"/>
                    <w:tr2bl w:val="nil"/>
                  </w:tcBorders>
                  <w:vAlign w:val="center"/>
                </w:tcPr>
                <w:p w14:paraId="0DC89C95">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rPr>
                    <w:t>界湖花园</w:t>
                  </w:r>
                </w:p>
              </w:tc>
              <w:tc>
                <w:tcPr>
                  <w:tcW w:w="500" w:type="pct"/>
                  <w:tcBorders>
                    <w:tl2br w:val="nil"/>
                    <w:tr2bl w:val="nil"/>
                  </w:tcBorders>
                  <w:vAlign w:val="center"/>
                </w:tcPr>
                <w:p w14:paraId="32599A36">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N1</w:t>
                  </w:r>
                </w:p>
              </w:tc>
              <w:tc>
                <w:tcPr>
                  <w:tcW w:w="512" w:type="pct"/>
                  <w:tcBorders>
                    <w:tl2br w:val="nil"/>
                    <w:tr2bl w:val="nil"/>
                  </w:tcBorders>
                  <w:vAlign w:val="center"/>
                </w:tcPr>
                <w:p w14:paraId="5D39437A">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54</w:t>
                  </w:r>
                </w:p>
              </w:tc>
              <w:tc>
                <w:tcPr>
                  <w:tcW w:w="535" w:type="pct"/>
                  <w:tcBorders>
                    <w:tl2br w:val="nil"/>
                    <w:tr2bl w:val="nil"/>
                  </w:tcBorders>
                  <w:vAlign w:val="center"/>
                </w:tcPr>
                <w:p w14:paraId="7ECC910E">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44</w:t>
                  </w:r>
                </w:p>
              </w:tc>
              <w:tc>
                <w:tcPr>
                  <w:tcW w:w="386" w:type="pct"/>
                  <w:vMerge w:val="restart"/>
                  <w:tcBorders>
                    <w:tl2br w:val="nil"/>
                    <w:tr2bl w:val="nil"/>
                  </w:tcBorders>
                  <w:vAlign w:val="center"/>
                </w:tcPr>
                <w:p w14:paraId="47838CBF">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60</w:t>
                  </w:r>
                </w:p>
              </w:tc>
              <w:tc>
                <w:tcPr>
                  <w:tcW w:w="387" w:type="pct"/>
                  <w:vMerge w:val="restart"/>
                  <w:tcBorders>
                    <w:tl2br w:val="nil"/>
                    <w:tr2bl w:val="nil"/>
                  </w:tcBorders>
                  <w:vAlign w:val="center"/>
                </w:tcPr>
                <w:p w14:paraId="0E365CAD">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50</w:t>
                  </w:r>
                </w:p>
              </w:tc>
              <w:tc>
                <w:tcPr>
                  <w:tcW w:w="386" w:type="pct"/>
                  <w:tcBorders>
                    <w:tl2br w:val="nil"/>
                    <w:tr2bl w:val="nil"/>
                  </w:tcBorders>
                  <w:vAlign w:val="center"/>
                </w:tcPr>
                <w:p w14:paraId="3BC83958">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达标</w:t>
                  </w:r>
                </w:p>
              </w:tc>
              <w:tc>
                <w:tcPr>
                  <w:tcW w:w="386" w:type="pct"/>
                  <w:tcBorders>
                    <w:tl2br w:val="nil"/>
                    <w:tr2bl w:val="nil"/>
                  </w:tcBorders>
                  <w:vAlign w:val="center"/>
                </w:tcPr>
                <w:p w14:paraId="0352A8B3">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达标</w:t>
                  </w:r>
                </w:p>
              </w:tc>
            </w:tr>
            <w:tr w14:paraId="35684D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8" w:type="pct"/>
                  <w:vMerge w:val="continue"/>
                  <w:tcBorders>
                    <w:tl2br w:val="nil"/>
                    <w:tr2bl w:val="nil"/>
                  </w:tcBorders>
                  <w:vAlign w:val="center"/>
                </w:tcPr>
                <w:p w14:paraId="0DE6E913">
                  <w:pPr>
                    <w:pStyle w:val="16"/>
                    <w:spacing w:line="240" w:lineRule="auto"/>
                    <w:jc w:val="center"/>
                    <w:rPr>
                      <w:rFonts w:ascii="Times New Roman" w:hAnsi="Times New Roman" w:cs="Times New Roman"/>
                      <w:b w:val="0"/>
                      <w:bCs/>
                      <w:color w:val="auto"/>
                      <w:sz w:val="21"/>
                      <w:szCs w:val="21"/>
                    </w:rPr>
                  </w:pPr>
                </w:p>
              </w:tc>
              <w:tc>
                <w:tcPr>
                  <w:tcW w:w="1209" w:type="pct"/>
                  <w:tcBorders>
                    <w:tl2br w:val="nil"/>
                    <w:tr2bl w:val="nil"/>
                  </w:tcBorders>
                  <w:vAlign w:val="center"/>
                </w:tcPr>
                <w:p w14:paraId="5BAD45E1">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rPr>
                    <w:t>小圩社区</w:t>
                  </w:r>
                </w:p>
              </w:tc>
              <w:tc>
                <w:tcPr>
                  <w:tcW w:w="500" w:type="pct"/>
                  <w:tcBorders>
                    <w:tl2br w:val="nil"/>
                    <w:tr2bl w:val="nil"/>
                  </w:tcBorders>
                  <w:vAlign w:val="center"/>
                </w:tcPr>
                <w:p w14:paraId="63A34A62">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N2</w:t>
                  </w:r>
                </w:p>
              </w:tc>
              <w:tc>
                <w:tcPr>
                  <w:tcW w:w="512" w:type="pct"/>
                  <w:tcBorders>
                    <w:tl2br w:val="nil"/>
                    <w:tr2bl w:val="nil"/>
                  </w:tcBorders>
                  <w:vAlign w:val="center"/>
                </w:tcPr>
                <w:p w14:paraId="3A0FE48E">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53</w:t>
                  </w:r>
                </w:p>
              </w:tc>
              <w:tc>
                <w:tcPr>
                  <w:tcW w:w="535" w:type="pct"/>
                  <w:tcBorders>
                    <w:tl2br w:val="nil"/>
                    <w:tr2bl w:val="nil"/>
                  </w:tcBorders>
                  <w:vAlign w:val="center"/>
                </w:tcPr>
                <w:p w14:paraId="52958999">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42</w:t>
                  </w:r>
                </w:p>
              </w:tc>
              <w:tc>
                <w:tcPr>
                  <w:tcW w:w="386" w:type="pct"/>
                  <w:vMerge w:val="continue"/>
                  <w:tcBorders>
                    <w:tl2br w:val="nil"/>
                    <w:tr2bl w:val="nil"/>
                  </w:tcBorders>
                  <w:vAlign w:val="center"/>
                </w:tcPr>
                <w:p w14:paraId="4B06DDFD">
                  <w:pPr>
                    <w:pStyle w:val="16"/>
                    <w:spacing w:line="240" w:lineRule="auto"/>
                    <w:jc w:val="center"/>
                    <w:rPr>
                      <w:rFonts w:ascii="Times New Roman" w:hAnsi="Times New Roman" w:cs="Times New Roman"/>
                      <w:b w:val="0"/>
                      <w:bCs/>
                      <w:color w:val="auto"/>
                      <w:sz w:val="21"/>
                      <w:szCs w:val="21"/>
                    </w:rPr>
                  </w:pPr>
                </w:p>
              </w:tc>
              <w:tc>
                <w:tcPr>
                  <w:tcW w:w="387" w:type="pct"/>
                  <w:vMerge w:val="continue"/>
                  <w:tcBorders>
                    <w:tl2br w:val="nil"/>
                    <w:tr2bl w:val="nil"/>
                  </w:tcBorders>
                  <w:vAlign w:val="center"/>
                </w:tcPr>
                <w:p w14:paraId="2665C462">
                  <w:pPr>
                    <w:pStyle w:val="16"/>
                    <w:spacing w:line="240" w:lineRule="auto"/>
                    <w:jc w:val="center"/>
                    <w:rPr>
                      <w:rFonts w:ascii="Times New Roman" w:hAnsi="Times New Roman" w:cs="Times New Roman"/>
                      <w:b w:val="0"/>
                      <w:bCs/>
                      <w:color w:val="auto"/>
                      <w:sz w:val="21"/>
                      <w:szCs w:val="21"/>
                    </w:rPr>
                  </w:pPr>
                </w:p>
              </w:tc>
              <w:tc>
                <w:tcPr>
                  <w:tcW w:w="386" w:type="pct"/>
                  <w:tcBorders>
                    <w:tl2br w:val="nil"/>
                    <w:tr2bl w:val="nil"/>
                  </w:tcBorders>
                  <w:vAlign w:val="center"/>
                </w:tcPr>
                <w:p w14:paraId="62E197B8">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达标</w:t>
                  </w:r>
                </w:p>
              </w:tc>
              <w:tc>
                <w:tcPr>
                  <w:tcW w:w="386" w:type="pct"/>
                  <w:tcBorders>
                    <w:tl2br w:val="nil"/>
                    <w:tr2bl w:val="nil"/>
                  </w:tcBorders>
                  <w:vAlign w:val="center"/>
                </w:tcPr>
                <w:p w14:paraId="1A978F3B">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达标</w:t>
                  </w:r>
                </w:p>
              </w:tc>
            </w:tr>
            <w:tr w14:paraId="0F1D14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8" w:type="pct"/>
                  <w:vMerge w:val="continue"/>
                  <w:tcBorders>
                    <w:tl2br w:val="nil"/>
                    <w:tr2bl w:val="nil"/>
                  </w:tcBorders>
                  <w:vAlign w:val="center"/>
                </w:tcPr>
                <w:p w14:paraId="2C0376DB">
                  <w:pPr>
                    <w:pStyle w:val="16"/>
                    <w:spacing w:line="240" w:lineRule="auto"/>
                    <w:jc w:val="center"/>
                    <w:rPr>
                      <w:rFonts w:ascii="Times New Roman" w:hAnsi="Times New Roman" w:cs="Times New Roman"/>
                      <w:b w:val="0"/>
                      <w:bCs/>
                      <w:color w:val="auto"/>
                      <w:sz w:val="21"/>
                      <w:szCs w:val="21"/>
                    </w:rPr>
                  </w:pPr>
                </w:p>
              </w:tc>
              <w:tc>
                <w:tcPr>
                  <w:tcW w:w="1209" w:type="pct"/>
                  <w:tcBorders>
                    <w:tl2br w:val="nil"/>
                    <w:tr2bl w:val="nil"/>
                  </w:tcBorders>
                  <w:vAlign w:val="center"/>
                </w:tcPr>
                <w:p w14:paraId="4FE2EC6D">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rPr>
                    <w:t>城厢中学</w:t>
                  </w:r>
                </w:p>
              </w:tc>
              <w:tc>
                <w:tcPr>
                  <w:tcW w:w="500" w:type="pct"/>
                  <w:tcBorders>
                    <w:tl2br w:val="nil"/>
                    <w:tr2bl w:val="nil"/>
                  </w:tcBorders>
                  <w:vAlign w:val="center"/>
                </w:tcPr>
                <w:p w14:paraId="6D6BD080">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N3</w:t>
                  </w:r>
                </w:p>
              </w:tc>
              <w:tc>
                <w:tcPr>
                  <w:tcW w:w="512" w:type="pct"/>
                  <w:tcBorders>
                    <w:tl2br w:val="nil"/>
                    <w:tr2bl w:val="nil"/>
                  </w:tcBorders>
                  <w:vAlign w:val="center"/>
                </w:tcPr>
                <w:p w14:paraId="1F134947">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52</w:t>
                  </w:r>
                </w:p>
              </w:tc>
              <w:tc>
                <w:tcPr>
                  <w:tcW w:w="535" w:type="pct"/>
                  <w:tcBorders>
                    <w:tl2br w:val="nil"/>
                    <w:tr2bl w:val="nil"/>
                  </w:tcBorders>
                  <w:vAlign w:val="center"/>
                </w:tcPr>
                <w:p w14:paraId="722FD3E6">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43</w:t>
                  </w:r>
                </w:p>
              </w:tc>
              <w:tc>
                <w:tcPr>
                  <w:tcW w:w="386" w:type="pct"/>
                  <w:vMerge w:val="continue"/>
                  <w:tcBorders>
                    <w:tl2br w:val="nil"/>
                    <w:tr2bl w:val="nil"/>
                  </w:tcBorders>
                  <w:vAlign w:val="center"/>
                </w:tcPr>
                <w:p w14:paraId="3151B74C">
                  <w:pPr>
                    <w:pStyle w:val="16"/>
                    <w:spacing w:line="240" w:lineRule="auto"/>
                    <w:jc w:val="center"/>
                    <w:rPr>
                      <w:rFonts w:ascii="Times New Roman" w:hAnsi="Times New Roman" w:cs="Times New Roman"/>
                      <w:b w:val="0"/>
                      <w:bCs/>
                      <w:color w:val="auto"/>
                      <w:sz w:val="21"/>
                      <w:szCs w:val="21"/>
                    </w:rPr>
                  </w:pPr>
                </w:p>
              </w:tc>
              <w:tc>
                <w:tcPr>
                  <w:tcW w:w="387" w:type="pct"/>
                  <w:vMerge w:val="continue"/>
                  <w:tcBorders>
                    <w:tl2br w:val="nil"/>
                    <w:tr2bl w:val="nil"/>
                  </w:tcBorders>
                  <w:vAlign w:val="center"/>
                </w:tcPr>
                <w:p w14:paraId="68FB6CFC">
                  <w:pPr>
                    <w:pStyle w:val="16"/>
                    <w:spacing w:line="240" w:lineRule="auto"/>
                    <w:jc w:val="center"/>
                    <w:rPr>
                      <w:rFonts w:ascii="Times New Roman" w:hAnsi="Times New Roman" w:cs="Times New Roman"/>
                      <w:b w:val="0"/>
                      <w:bCs/>
                      <w:color w:val="auto"/>
                      <w:sz w:val="21"/>
                      <w:szCs w:val="21"/>
                    </w:rPr>
                  </w:pPr>
                </w:p>
              </w:tc>
              <w:tc>
                <w:tcPr>
                  <w:tcW w:w="386" w:type="pct"/>
                  <w:tcBorders>
                    <w:tl2br w:val="nil"/>
                    <w:tr2bl w:val="nil"/>
                  </w:tcBorders>
                  <w:vAlign w:val="center"/>
                </w:tcPr>
                <w:p w14:paraId="0C4A3910">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达标</w:t>
                  </w:r>
                </w:p>
              </w:tc>
              <w:tc>
                <w:tcPr>
                  <w:tcW w:w="386" w:type="pct"/>
                  <w:tcBorders>
                    <w:tl2br w:val="nil"/>
                    <w:tr2bl w:val="nil"/>
                  </w:tcBorders>
                  <w:vAlign w:val="center"/>
                </w:tcPr>
                <w:p w14:paraId="441AC5F3">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达标</w:t>
                  </w:r>
                </w:p>
              </w:tc>
            </w:tr>
          </w:tbl>
          <w:p w14:paraId="5CD59A2B">
            <w:pPr>
              <w:pStyle w:val="79"/>
              <w:spacing w:before="0" w:after="0"/>
              <w:ind w:firstLine="480" w:firstLineChars="200"/>
              <w:jc w:val="both"/>
              <w:rPr>
                <w:rFonts w:cs="Times New Roman"/>
                <w:b w:val="0"/>
                <w:bCs/>
                <w:kern w:val="2"/>
                <w:szCs w:val="24"/>
              </w:rPr>
            </w:pPr>
            <w:r>
              <w:rPr>
                <w:rFonts w:cs="Times New Roman"/>
                <w:b w:val="0"/>
                <w:bCs/>
                <w:kern w:val="2"/>
                <w:szCs w:val="24"/>
              </w:rPr>
              <w:t>厂界噪声满足《声环境质量标准》（GB3096-2008）表1中2类标准。</w:t>
            </w:r>
          </w:p>
          <w:p w14:paraId="76C05E5B">
            <w:pPr>
              <w:pStyle w:val="79"/>
              <w:spacing w:before="0" w:after="0"/>
              <w:rPr>
                <w:rFonts w:cs="Times New Roman"/>
                <w:szCs w:val="24"/>
              </w:rPr>
            </w:pPr>
            <w:r>
              <w:rPr>
                <w:rFonts w:cs="Times New Roman"/>
                <w:szCs w:val="24"/>
              </w:rPr>
              <w:t>4、生态环境</w:t>
            </w:r>
          </w:p>
          <w:p w14:paraId="3BE734FC">
            <w:pPr>
              <w:pStyle w:val="76"/>
              <w:ind w:firstLine="480"/>
              <w:rPr>
                <w:bCs/>
              </w:rPr>
            </w:pPr>
            <w:r>
              <w:rPr>
                <w:bCs/>
              </w:rPr>
              <w:t>本项目不在产业园区外新增用地，且用地范围内不含有生态环境保护目标，因此不开展生态现状调查。</w:t>
            </w:r>
          </w:p>
          <w:p w14:paraId="177ED55B">
            <w:pPr>
              <w:pStyle w:val="79"/>
              <w:spacing w:before="0" w:after="0"/>
              <w:rPr>
                <w:rFonts w:cs="Times New Roman"/>
                <w:szCs w:val="24"/>
              </w:rPr>
            </w:pPr>
            <w:r>
              <w:rPr>
                <w:rFonts w:cs="Times New Roman"/>
                <w:szCs w:val="24"/>
              </w:rPr>
              <w:t>5、电磁辐射</w:t>
            </w:r>
          </w:p>
          <w:p w14:paraId="408263E3">
            <w:pPr>
              <w:pStyle w:val="76"/>
              <w:ind w:firstLine="480"/>
            </w:pPr>
            <w:r>
              <w:t>本项目不涉及电磁辐射。</w:t>
            </w:r>
          </w:p>
          <w:p w14:paraId="162C15B1">
            <w:pPr>
              <w:pStyle w:val="79"/>
              <w:spacing w:before="0" w:after="0"/>
              <w:rPr>
                <w:rFonts w:cs="Times New Roman"/>
                <w:szCs w:val="24"/>
              </w:rPr>
            </w:pPr>
            <w:r>
              <w:rPr>
                <w:rFonts w:cs="Times New Roman"/>
                <w:szCs w:val="24"/>
              </w:rPr>
              <w:t>6</w:t>
            </w:r>
            <w:r>
              <w:rPr>
                <w:rFonts w:cs="Times New Roman"/>
                <w:bCs/>
                <w:szCs w:val="24"/>
              </w:rPr>
              <w:t>、地下水、土壤环境</w:t>
            </w:r>
          </w:p>
          <w:p w14:paraId="1D304C25">
            <w:pPr>
              <w:pStyle w:val="76"/>
              <w:ind w:firstLine="480"/>
              <w:rPr>
                <w:sz w:val="21"/>
                <w:szCs w:val="21"/>
              </w:rPr>
            </w:pPr>
            <w:r>
              <w:t>本项目不存在明显的土壤、地下水环境污染途径。因此，本项目不开展地下水和土壤环境质量现状评价。</w:t>
            </w:r>
          </w:p>
        </w:tc>
      </w:tr>
      <w:tr w14:paraId="5D7539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40" w:type="dxa"/>
            <w:vAlign w:val="center"/>
          </w:tcPr>
          <w:p w14:paraId="58E4F8B1">
            <w:pPr>
              <w:adjustRightInd w:val="0"/>
              <w:snapToGrid w:val="0"/>
              <w:jc w:val="center"/>
              <w:rPr>
                <w:kern w:val="0"/>
                <w:szCs w:val="21"/>
              </w:rPr>
            </w:pPr>
            <w:r>
              <w:rPr>
                <w:kern w:val="0"/>
                <w:szCs w:val="21"/>
              </w:rPr>
              <w:t>环境</w:t>
            </w:r>
          </w:p>
          <w:p w14:paraId="5C9B5466">
            <w:pPr>
              <w:adjustRightInd w:val="0"/>
              <w:snapToGrid w:val="0"/>
              <w:jc w:val="center"/>
              <w:rPr>
                <w:kern w:val="0"/>
                <w:szCs w:val="21"/>
              </w:rPr>
            </w:pPr>
            <w:r>
              <w:rPr>
                <w:kern w:val="0"/>
                <w:szCs w:val="21"/>
              </w:rPr>
              <w:t>保护</w:t>
            </w:r>
          </w:p>
          <w:p w14:paraId="6FCE0C05">
            <w:pPr>
              <w:adjustRightInd w:val="0"/>
              <w:snapToGrid w:val="0"/>
              <w:jc w:val="center"/>
              <w:rPr>
                <w:kern w:val="0"/>
                <w:szCs w:val="21"/>
              </w:rPr>
            </w:pPr>
            <w:r>
              <w:rPr>
                <w:kern w:val="0"/>
                <w:szCs w:val="21"/>
              </w:rPr>
              <w:t>目标</w:t>
            </w:r>
          </w:p>
        </w:tc>
        <w:tc>
          <w:tcPr>
            <w:tcW w:w="8532" w:type="dxa"/>
            <w:vAlign w:val="center"/>
          </w:tcPr>
          <w:p w14:paraId="5E68173A">
            <w:pPr>
              <w:pStyle w:val="79"/>
              <w:spacing w:before="0" w:after="0"/>
              <w:rPr>
                <w:rFonts w:cs="Times New Roman"/>
                <w:szCs w:val="24"/>
              </w:rPr>
            </w:pPr>
            <w:r>
              <w:rPr>
                <w:rFonts w:cs="Times New Roman"/>
                <w:szCs w:val="24"/>
              </w:rPr>
              <w:t>1、大气环境</w:t>
            </w:r>
          </w:p>
          <w:p w14:paraId="42916161">
            <w:pPr>
              <w:pStyle w:val="76"/>
              <w:ind w:firstLine="480"/>
            </w:pPr>
            <w:r>
              <w:t>本项目厂界500m范围内无自然保护区、风景名胜区，有居民区保护目标，位置等信息详见下表及附图5。</w:t>
            </w:r>
          </w:p>
          <w:p w14:paraId="15BCD2A7">
            <w:pPr>
              <w:pStyle w:val="77"/>
              <w:spacing w:line="240" w:lineRule="auto"/>
              <w:rPr>
                <w:szCs w:val="24"/>
              </w:rPr>
            </w:pPr>
            <w:r>
              <w:rPr>
                <w:szCs w:val="24"/>
              </w:rPr>
              <w:t>表3-2 大气环境保护目标表</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810"/>
              <w:gridCol w:w="1112"/>
              <w:gridCol w:w="1112"/>
              <w:gridCol w:w="1112"/>
              <w:gridCol w:w="1112"/>
              <w:gridCol w:w="1112"/>
              <w:gridCol w:w="1113"/>
            </w:tblGrid>
            <w:tr w14:paraId="0055D2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94" w:type="pct"/>
                  <w:vMerge w:val="restart"/>
                  <w:shd w:val="clear" w:color="auto" w:fill="auto"/>
                  <w:vAlign w:val="center"/>
                </w:tcPr>
                <w:p w14:paraId="09FFA4AE">
                  <w:pPr>
                    <w:widowControl/>
                    <w:jc w:val="center"/>
                    <w:rPr>
                      <w:b/>
                      <w:bCs/>
                      <w:kern w:val="0"/>
                      <w:szCs w:val="21"/>
                    </w:rPr>
                  </w:pPr>
                  <w:r>
                    <w:rPr>
                      <w:b/>
                      <w:bCs/>
                      <w:kern w:val="0"/>
                      <w:szCs w:val="21"/>
                    </w:rPr>
                    <w:t>名称</w:t>
                  </w:r>
                </w:p>
              </w:tc>
              <w:tc>
                <w:tcPr>
                  <w:tcW w:w="1080" w:type="pct"/>
                  <w:gridSpan w:val="2"/>
                  <w:shd w:val="clear" w:color="auto" w:fill="auto"/>
                  <w:vAlign w:val="center"/>
                </w:tcPr>
                <w:p w14:paraId="61BBAE95">
                  <w:pPr>
                    <w:widowControl/>
                    <w:jc w:val="center"/>
                    <w:rPr>
                      <w:b/>
                      <w:bCs/>
                      <w:kern w:val="0"/>
                      <w:szCs w:val="21"/>
                    </w:rPr>
                  </w:pPr>
                  <w:r>
                    <w:rPr>
                      <w:b/>
                      <w:bCs/>
                      <w:kern w:val="0"/>
                      <w:szCs w:val="21"/>
                    </w:rPr>
                    <w:t>坐标/°</w:t>
                  </w:r>
                </w:p>
              </w:tc>
              <w:tc>
                <w:tcPr>
                  <w:tcW w:w="625" w:type="pct"/>
                  <w:vMerge w:val="restart"/>
                  <w:shd w:val="clear" w:color="auto" w:fill="auto"/>
                  <w:vAlign w:val="center"/>
                </w:tcPr>
                <w:p w14:paraId="65950FA3">
                  <w:pPr>
                    <w:widowControl/>
                    <w:jc w:val="center"/>
                    <w:rPr>
                      <w:b/>
                      <w:bCs/>
                      <w:kern w:val="0"/>
                      <w:szCs w:val="21"/>
                    </w:rPr>
                  </w:pPr>
                  <w:r>
                    <w:rPr>
                      <w:b/>
                      <w:bCs/>
                      <w:kern w:val="0"/>
                      <w:szCs w:val="21"/>
                    </w:rPr>
                    <w:t>保护对象</w:t>
                  </w:r>
                </w:p>
              </w:tc>
              <w:tc>
                <w:tcPr>
                  <w:tcW w:w="625" w:type="pct"/>
                  <w:vMerge w:val="restart"/>
                  <w:shd w:val="clear" w:color="auto" w:fill="auto"/>
                  <w:vAlign w:val="center"/>
                </w:tcPr>
                <w:p w14:paraId="3AA9633F">
                  <w:pPr>
                    <w:widowControl/>
                    <w:jc w:val="center"/>
                    <w:rPr>
                      <w:b/>
                      <w:bCs/>
                      <w:kern w:val="0"/>
                      <w:szCs w:val="21"/>
                    </w:rPr>
                  </w:pPr>
                  <w:r>
                    <w:rPr>
                      <w:b/>
                      <w:bCs/>
                      <w:kern w:val="0"/>
                      <w:szCs w:val="21"/>
                    </w:rPr>
                    <w:t>保护内容</w:t>
                  </w:r>
                  <w:r>
                    <w:rPr>
                      <w:rFonts w:hint="eastAsia"/>
                      <w:b/>
                      <w:bCs/>
                      <w:kern w:val="0"/>
                      <w:szCs w:val="21"/>
                    </w:rPr>
                    <w:t>（人数）</w:t>
                  </w:r>
                </w:p>
              </w:tc>
              <w:tc>
                <w:tcPr>
                  <w:tcW w:w="625" w:type="pct"/>
                  <w:vMerge w:val="restart"/>
                  <w:shd w:val="clear" w:color="auto" w:fill="auto"/>
                  <w:vAlign w:val="center"/>
                </w:tcPr>
                <w:p w14:paraId="05969CBF">
                  <w:pPr>
                    <w:widowControl/>
                    <w:jc w:val="center"/>
                    <w:rPr>
                      <w:b/>
                      <w:bCs/>
                      <w:kern w:val="0"/>
                      <w:szCs w:val="21"/>
                    </w:rPr>
                  </w:pPr>
                  <w:r>
                    <w:rPr>
                      <w:b/>
                      <w:bCs/>
                      <w:kern w:val="0"/>
                      <w:szCs w:val="21"/>
                    </w:rPr>
                    <w:t>环境功能区</w:t>
                  </w:r>
                </w:p>
              </w:tc>
              <w:tc>
                <w:tcPr>
                  <w:tcW w:w="625" w:type="pct"/>
                  <w:vMerge w:val="restart"/>
                  <w:shd w:val="clear" w:color="auto" w:fill="auto"/>
                  <w:vAlign w:val="center"/>
                </w:tcPr>
                <w:p w14:paraId="31CBCC7A">
                  <w:pPr>
                    <w:widowControl/>
                    <w:jc w:val="center"/>
                    <w:rPr>
                      <w:b/>
                      <w:bCs/>
                      <w:kern w:val="0"/>
                      <w:szCs w:val="21"/>
                    </w:rPr>
                  </w:pPr>
                  <w:r>
                    <w:rPr>
                      <w:b/>
                      <w:bCs/>
                      <w:kern w:val="0"/>
                      <w:szCs w:val="21"/>
                    </w:rPr>
                    <w:t>相对厂址方位</w:t>
                  </w:r>
                </w:p>
              </w:tc>
              <w:tc>
                <w:tcPr>
                  <w:tcW w:w="625" w:type="pct"/>
                  <w:vMerge w:val="restart"/>
                  <w:shd w:val="clear" w:color="auto" w:fill="auto"/>
                  <w:vAlign w:val="center"/>
                </w:tcPr>
                <w:p w14:paraId="634D0F34">
                  <w:pPr>
                    <w:widowControl/>
                    <w:jc w:val="center"/>
                    <w:rPr>
                      <w:b/>
                      <w:bCs/>
                      <w:kern w:val="0"/>
                      <w:szCs w:val="21"/>
                    </w:rPr>
                  </w:pPr>
                  <w:r>
                    <w:rPr>
                      <w:b/>
                      <w:bCs/>
                      <w:kern w:val="0"/>
                      <w:szCs w:val="21"/>
                    </w:rPr>
                    <w:t>相对厂界距离/m</w:t>
                  </w:r>
                </w:p>
              </w:tc>
            </w:tr>
            <w:tr w14:paraId="518BE9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94" w:type="pct"/>
                  <w:vMerge w:val="continue"/>
                  <w:vAlign w:val="center"/>
                </w:tcPr>
                <w:p w14:paraId="54D9B747">
                  <w:pPr>
                    <w:widowControl/>
                    <w:jc w:val="left"/>
                    <w:rPr>
                      <w:b/>
                      <w:bCs/>
                      <w:kern w:val="0"/>
                      <w:szCs w:val="21"/>
                    </w:rPr>
                  </w:pPr>
                </w:p>
              </w:tc>
              <w:tc>
                <w:tcPr>
                  <w:tcW w:w="455" w:type="pct"/>
                  <w:shd w:val="clear" w:color="auto" w:fill="auto"/>
                  <w:vAlign w:val="center"/>
                </w:tcPr>
                <w:p w14:paraId="724E0513">
                  <w:pPr>
                    <w:widowControl/>
                    <w:jc w:val="center"/>
                    <w:rPr>
                      <w:rFonts w:eastAsia="等线"/>
                      <w:b/>
                      <w:bCs/>
                      <w:kern w:val="0"/>
                      <w:szCs w:val="21"/>
                    </w:rPr>
                  </w:pPr>
                  <w:r>
                    <w:rPr>
                      <w:rFonts w:eastAsia="等线"/>
                      <w:b/>
                      <w:bCs/>
                      <w:kern w:val="0"/>
                      <w:szCs w:val="21"/>
                    </w:rPr>
                    <w:t>X</w:t>
                  </w:r>
                </w:p>
              </w:tc>
              <w:tc>
                <w:tcPr>
                  <w:tcW w:w="625" w:type="pct"/>
                  <w:shd w:val="clear" w:color="auto" w:fill="auto"/>
                  <w:vAlign w:val="center"/>
                </w:tcPr>
                <w:p w14:paraId="6EEBE2AD">
                  <w:pPr>
                    <w:widowControl/>
                    <w:jc w:val="center"/>
                    <w:rPr>
                      <w:rFonts w:eastAsia="等线"/>
                      <w:b/>
                      <w:bCs/>
                      <w:kern w:val="0"/>
                      <w:szCs w:val="21"/>
                    </w:rPr>
                  </w:pPr>
                  <w:r>
                    <w:rPr>
                      <w:rFonts w:eastAsia="等线"/>
                      <w:b/>
                      <w:bCs/>
                      <w:kern w:val="0"/>
                      <w:szCs w:val="21"/>
                    </w:rPr>
                    <w:t>Y</w:t>
                  </w:r>
                </w:p>
              </w:tc>
              <w:tc>
                <w:tcPr>
                  <w:tcW w:w="625" w:type="pct"/>
                  <w:vMerge w:val="continue"/>
                  <w:vAlign w:val="center"/>
                </w:tcPr>
                <w:p w14:paraId="3405F33E">
                  <w:pPr>
                    <w:widowControl/>
                    <w:jc w:val="left"/>
                    <w:rPr>
                      <w:b/>
                      <w:bCs/>
                      <w:kern w:val="0"/>
                      <w:szCs w:val="21"/>
                    </w:rPr>
                  </w:pPr>
                </w:p>
              </w:tc>
              <w:tc>
                <w:tcPr>
                  <w:tcW w:w="625" w:type="pct"/>
                  <w:vMerge w:val="continue"/>
                  <w:vAlign w:val="center"/>
                </w:tcPr>
                <w:p w14:paraId="653C681D">
                  <w:pPr>
                    <w:widowControl/>
                    <w:jc w:val="left"/>
                    <w:rPr>
                      <w:b/>
                      <w:bCs/>
                      <w:kern w:val="0"/>
                      <w:szCs w:val="21"/>
                    </w:rPr>
                  </w:pPr>
                </w:p>
              </w:tc>
              <w:tc>
                <w:tcPr>
                  <w:tcW w:w="625" w:type="pct"/>
                  <w:vMerge w:val="continue"/>
                  <w:vAlign w:val="center"/>
                </w:tcPr>
                <w:p w14:paraId="44863E5C">
                  <w:pPr>
                    <w:widowControl/>
                    <w:jc w:val="left"/>
                    <w:rPr>
                      <w:b/>
                      <w:bCs/>
                      <w:kern w:val="0"/>
                      <w:szCs w:val="21"/>
                    </w:rPr>
                  </w:pPr>
                </w:p>
              </w:tc>
              <w:tc>
                <w:tcPr>
                  <w:tcW w:w="625" w:type="pct"/>
                  <w:vMerge w:val="continue"/>
                  <w:vAlign w:val="center"/>
                </w:tcPr>
                <w:p w14:paraId="71EBEA6C">
                  <w:pPr>
                    <w:widowControl/>
                    <w:jc w:val="left"/>
                    <w:rPr>
                      <w:b/>
                      <w:bCs/>
                      <w:kern w:val="0"/>
                      <w:szCs w:val="21"/>
                    </w:rPr>
                  </w:pPr>
                </w:p>
              </w:tc>
              <w:tc>
                <w:tcPr>
                  <w:tcW w:w="625" w:type="pct"/>
                  <w:vMerge w:val="continue"/>
                  <w:vAlign w:val="center"/>
                </w:tcPr>
                <w:p w14:paraId="3E7A42D8">
                  <w:pPr>
                    <w:widowControl/>
                    <w:jc w:val="left"/>
                    <w:rPr>
                      <w:b/>
                      <w:bCs/>
                      <w:kern w:val="0"/>
                      <w:szCs w:val="21"/>
                    </w:rPr>
                  </w:pPr>
                </w:p>
              </w:tc>
            </w:tr>
            <w:tr w14:paraId="52070B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94" w:type="pct"/>
                  <w:shd w:val="clear" w:color="auto" w:fill="auto"/>
                  <w:vAlign w:val="center"/>
                </w:tcPr>
                <w:p w14:paraId="2431A7F0">
                  <w:pPr>
                    <w:widowControl/>
                    <w:jc w:val="center"/>
                    <w:rPr>
                      <w:kern w:val="0"/>
                      <w:szCs w:val="21"/>
                    </w:rPr>
                  </w:pPr>
                  <w:r>
                    <w:rPr>
                      <w:kern w:val="0"/>
                      <w:szCs w:val="21"/>
                    </w:rPr>
                    <w:t>杨集民族家园</w:t>
                  </w:r>
                </w:p>
              </w:tc>
              <w:tc>
                <w:tcPr>
                  <w:tcW w:w="455" w:type="pct"/>
                  <w:shd w:val="clear" w:color="auto" w:fill="auto"/>
                  <w:vAlign w:val="center"/>
                </w:tcPr>
                <w:p w14:paraId="4D1FA6FC">
                  <w:pPr>
                    <w:widowControl/>
                    <w:jc w:val="center"/>
                    <w:rPr>
                      <w:rFonts w:eastAsia="等线"/>
                      <w:kern w:val="0"/>
                      <w:szCs w:val="21"/>
                    </w:rPr>
                  </w:pPr>
                  <w:r>
                    <w:rPr>
                      <w:rFonts w:eastAsia="等线"/>
                      <w:kern w:val="0"/>
                      <w:szCs w:val="21"/>
                    </w:rPr>
                    <w:t>1992</w:t>
                  </w:r>
                </w:p>
              </w:tc>
              <w:tc>
                <w:tcPr>
                  <w:tcW w:w="625" w:type="pct"/>
                  <w:shd w:val="clear" w:color="auto" w:fill="auto"/>
                  <w:vAlign w:val="center"/>
                </w:tcPr>
                <w:p w14:paraId="0F7DC609">
                  <w:pPr>
                    <w:widowControl/>
                    <w:jc w:val="center"/>
                    <w:rPr>
                      <w:rFonts w:eastAsia="等线"/>
                      <w:kern w:val="0"/>
                      <w:szCs w:val="21"/>
                    </w:rPr>
                  </w:pPr>
                  <w:r>
                    <w:rPr>
                      <w:rFonts w:eastAsia="等线"/>
                      <w:kern w:val="0"/>
                      <w:szCs w:val="21"/>
                    </w:rPr>
                    <w:t>2451</w:t>
                  </w:r>
                </w:p>
              </w:tc>
              <w:tc>
                <w:tcPr>
                  <w:tcW w:w="625" w:type="pct"/>
                  <w:shd w:val="clear" w:color="auto" w:fill="auto"/>
                  <w:vAlign w:val="center"/>
                </w:tcPr>
                <w:p w14:paraId="37EE2081">
                  <w:pPr>
                    <w:widowControl/>
                    <w:jc w:val="center"/>
                    <w:rPr>
                      <w:kern w:val="0"/>
                      <w:szCs w:val="21"/>
                    </w:rPr>
                  </w:pPr>
                  <w:r>
                    <w:rPr>
                      <w:kern w:val="0"/>
                      <w:szCs w:val="21"/>
                    </w:rPr>
                    <w:t>居住区</w:t>
                  </w:r>
                </w:p>
              </w:tc>
              <w:tc>
                <w:tcPr>
                  <w:tcW w:w="625" w:type="pct"/>
                  <w:shd w:val="clear" w:color="auto" w:fill="auto"/>
                  <w:vAlign w:val="center"/>
                </w:tcPr>
                <w:p w14:paraId="7A2AF213">
                  <w:pPr>
                    <w:widowControl/>
                    <w:jc w:val="center"/>
                    <w:rPr>
                      <w:rFonts w:eastAsia="等线"/>
                      <w:kern w:val="0"/>
                      <w:szCs w:val="21"/>
                    </w:rPr>
                  </w:pPr>
                  <w:r>
                    <w:rPr>
                      <w:rFonts w:eastAsia="等线"/>
                      <w:kern w:val="0"/>
                      <w:szCs w:val="21"/>
                    </w:rPr>
                    <w:t>240</w:t>
                  </w:r>
                </w:p>
              </w:tc>
              <w:tc>
                <w:tcPr>
                  <w:tcW w:w="625" w:type="pct"/>
                  <w:shd w:val="clear" w:color="auto" w:fill="auto"/>
                  <w:vAlign w:val="center"/>
                </w:tcPr>
                <w:p w14:paraId="4FE025CE">
                  <w:pPr>
                    <w:widowControl/>
                    <w:jc w:val="center"/>
                    <w:rPr>
                      <w:kern w:val="0"/>
                      <w:szCs w:val="21"/>
                    </w:rPr>
                  </w:pPr>
                  <w:r>
                    <w:rPr>
                      <w:kern w:val="0"/>
                      <w:szCs w:val="21"/>
                    </w:rPr>
                    <w:t>二类</w:t>
                  </w:r>
                </w:p>
              </w:tc>
              <w:tc>
                <w:tcPr>
                  <w:tcW w:w="625" w:type="pct"/>
                  <w:shd w:val="clear" w:color="auto" w:fill="auto"/>
                  <w:vAlign w:val="center"/>
                </w:tcPr>
                <w:p w14:paraId="43F1D7F1">
                  <w:pPr>
                    <w:widowControl/>
                    <w:jc w:val="center"/>
                    <w:rPr>
                      <w:rFonts w:eastAsia="等线"/>
                      <w:kern w:val="0"/>
                      <w:szCs w:val="21"/>
                    </w:rPr>
                  </w:pPr>
                  <w:r>
                    <w:rPr>
                      <w:rFonts w:eastAsia="等线"/>
                      <w:kern w:val="0"/>
                      <w:szCs w:val="21"/>
                    </w:rPr>
                    <w:t>W</w:t>
                  </w:r>
                </w:p>
              </w:tc>
              <w:tc>
                <w:tcPr>
                  <w:tcW w:w="625" w:type="pct"/>
                  <w:shd w:val="clear" w:color="auto" w:fill="auto"/>
                  <w:noWrap/>
                  <w:vAlign w:val="center"/>
                </w:tcPr>
                <w:p w14:paraId="60FE23B3">
                  <w:pPr>
                    <w:widowControl/>
                    <w:jc w:val="center"/>
                    <w:rPr>
                      <w:rFonts w:eastAsia="等线"/>
                      <w:kern w:val="0"/>
                      <w:szCs w:val="21"/>
                    </w:rPr>
                  </w:pPr>
                  <w:r>
                    <w:rPr>
                      <w:rFonts w:eastAsia="等线"/>
                      <w:kern w:val="0"/>
                      <w:szCs w:val="21"/>
                    </w:rPr>
                    <w:t>121</w:t>
                  </w:r>
                </w:p>
              </w:tc>
            </w:tr>
            <w:tr w14:paraId="5CF9BE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794" w:type="pct"/>
                  <w:shd w:val="clear" w:color="auto" w:fill="auto"/>
                  <w:vAlign w:val="center"/>
                </w:tcPr>
                <w:p w14:paraId="6E13E506">
                  <w:pPr>
                    <w:widowControl/>
                    <w:jc w:val="center"/>
                    <w:rPr>
                      <w:kern w:val="0"/>
                      <w:szCs w:val="21"/>
                    </w:rPr>
                  </w:pPr>
                  <w:r>
                    <w:rPr>
                      <w:kern w:val="0"/>
                      <w:szCs w:val="21"/>
                    </w:rPr>
                    <w:t>泗阳县杨集回民小学</w:t>
                  </w:r>
                </w:p>
              </w:tc>
              <w:tc>
                <w:tcPr>
                  <w:tcW w:w="455" w:type="pct"/>
                  <w:shd w:val="clear" w:color="auto" w:fill="auto"/>
                  <w:noWrap/>
                  <w:vAlign w:val="center"/>
                </w:tcPr>
                <w:p w14:paraId="1F7F699D">
                  <w:pPr>
                    <w:widowControl/>
                    <w:jc w:val="center"/>
                    <w:rPr>
                      <w:rFonts w:eastAsia="等线"/>
                      <w:kern w:val="0"/>
                      <w:szCs w:val="21"/>
                    </w:rPr>
                  </w:pPr>
                  <w:r>
                    <w:rPr>
                      <w:rFonts w:eastAsia="等线"/>
                      <w:kern w:val="0"/>
                      <w:szCs w:val="21"/>
                    </w:rPr>
                    <w:t>1675</w:t>
                  </w:r>
                </w:p>
              </w:tc>
              <w:tc>
                <w:tcPr>
                  <w:tcW w:w="625" w:type="pct"/>
                  <w:shd w:val="clear" w:color="auto" w:fill="auto"/>
                  <w:noWrap/>
                  <w:vAlign w:val="center"/>
                </w:tcPr>
                <w:p w14:paraId="3EDC38C3">
                  <w:pPr>
                    <w:widowControl/>
                    <w:jc w:val="center"/>
                    <w:rPr>
                      <w:rFonts w:eastAsia="等线"/>
                      <w:kern w:val="0"/>
                      <w:szCs w:val="21"/>
                    </w:rPr>
                  </w:pPr>
                  <w:r>
                    <w:rPr>
                      <w:rFonts w:eastAsia="等线"/>
                      <w:kern w:val="0"/>
                      <w:szCs w:val="21"/>
                    </w:rPr>
                    <w:t>2636</w:t>
                  </w:r>
                </w:p>
              </w:tc>
              <w:tc>
                <w:tcPr>
                  <w:tcW w:w="625" w:type="pct"/>
                  <w:shd w:val="clear" w:color="auto" w:fill="auto"/>
                  <w:vAlign w:val="center"/>
                </w:tcPr>
                <w:p w14:paraId="7895E65E">
                  <w:pPr>
                    <w:widowControl/>
                    <w:jc w:val="center"/>
                    <w:rPr>
                      <w:kern w:val="0"/>
                      <w:szCs w:val="21"/>
                    </w:rPr>
                  </w:pPr>
                  <w:r>
                    <w:rPr>
                      <w:kern w:val="0"/>
                      <w:szCs w:val="21"/>
                    </w:rPr>
                    <w:t>学校</w:t>
                  </w:r>
                </w:p>
              </w:tc>
              <w:tc>
                <w:tcPr>
                  <w:tcW w:w="625" w:type="pct"/>
                  <w:shd w:val="clear" w:color="auto" w:fill="auto"/>
                  <w:vAlign w:val="center"/>
                </w:tcPr>
                <w:p w14:paraId="45B7A5CE">
                  <w:pPr>
                    <w:widowControl/>
                    <w:jc w:val="center"/>
                    <w:rPr>
                      <w:rFonts w:eastAsia="等线"/>
                      <w:kern w:val="0"/>
                      <w:szCs w:val="21"/>
                    </w:rPr>
                  </w:pPr>
                  <w:r>
                    <w:rPr>
                      <w:rFonts w:eastAsia="等线"/>
                      <w:kern w:val="0"/>
                      <w:szCs w:val="21"/>
                    </w:rPr>
                    <w:t>300</w:t>
                  </w:r>
                </w:p>
              </w:tc>
              <w:tc>
                <w:tcPr>
                  <w:tcW w:w="625" w:type="pct"/>
                  <w:shd w:val="clear" w:color="auto" w:fill="auto"/>
                  <w:vAlign w:val="center"/>
                </w:tcPr>
                <w:p w14:paraId="73346DCA">
                  <w:pPr>
                    <w:widowControl/>
                    <w:jc w:val="center"/>
                    <w:rPr>
                      <w:kern w:val="0"/>
                      <w:szCs w:val="21"/>
                    </w:rPr>
                  </w:pPr>
                  <w:r>
                    <w:rPr>
                      <w:kern w:val="0"/>
                      <w:szCs w:val="21"/>
                    </w:rPr>
                    <w:t>二类</w:t>
                  </w:r>
                </w:p>
              </w:tc>
              <w:tc>
                <w:tcPr>
                  <w:tcW w:w="625" w:type="pct"/>
                  <w:shd w:val="clear" w:color="auto" w:fill="auto"/>
                  <w:vAlign w:val="center"/>
                </w:tcPr>
                <w:p w14:paraId="697862EA">
                  <w:pPr>
                    <w:widowControl/>
                    <w:jc w:val="center"/>
                    <w:rPr>
                      <w:rFonts w:eastAsia="等线"/>
                      <w:kern w:val="0"/>
                      <w:szCs w:val="21"/>
                    </w:rPr>
                  </w:pPr>
                  <w:r>
                    <w:rPr>
                      <w:rFonts w:eastAsia="等线"/>
                      <w:kern w:val="0"/>
                      <w:szCs w:val="21"/>
                    </w:rPr>
                    <w:t>W</w:t>
                  </w:r>
                </w:p>
              </w:tc>
              <w:tc>
                <w:tcPr>
                  <w:tcW w:w="625" w:type="pct"/>
                  <w:shd w:val="clear" w:color="auto" w:fill="auto"/>
                  <w:noWrap/>
                  <w:vAlign w:val="center"/>
                </w:tcPr>
                <w:p w14:paraId="3C8400C0">
                  <w:pPr>
                    <w:widowControl/>
                    <w:jc w:val="center"/>
                    <w:rPr>
                      <w:rFonts w:eastAsia="等线"/>
                      <w:kern w:val="0"/>
                      <w:szCs w:val="21"/>
                    </w:rPr>
                  </w:pPr>
                  <w:r>
                    <w:rPr>
                      <w:rFonts w:eastAsia="等线"/>
                      <w:kern w:val="0"/>
                      <w:szCs w:val="21"/>
                    </w:rPr>
                    <w:t>338</w:t>
                  </w:r>
                </w:p>
              </w:tc>
            </w:tr>
            <w:tr w14:paraId="5A01FA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794" w:type="pct"/>
                  <w:shd w:val="clear" w:color="auto" w:fill="auto"/>
                  <w:vAlign w:val="center"/>
                </w:tcPr>
                <w:p w14:paraId="5831207A">
                  <w:pPr>
                    <w:widowControl/>
                    <w:jc w:val="center"/>
                    <w:rPr>
                      <w:kern w:val="0"/>
                      <w:szCs w:val="21"/>
                    </w:rPr>
                  </w:pPr>
                  <w:r>
                    <w:rPr>
                      <w:kern w:val="0"/>
                      <w:szCs w:val="21"/>
                    </w:rPr>
                    <w:t>杨集民族村</w:t>
                  </w:r>
                </w:p>
              </w:tc>
              <w:tc>
                <w:tcPr>
                  <w:tcW w:w="455" w:type="pct"/>
                  <w:shd w:val="clear" w:color="auto" w:fill="auto"/>
                  <w:vAlign w:val="center"/>
                </w:tcPr>
                <w:p w14:paraId="76586F62">
                  <w:pPr>
                    <w:widowControl/>
                    <w:jc w:val="center"/>
                    <w:rPr>
                      <w:rFonts w:eastAsia="等线"/>
                      <w:kern w:val="0"/>
                      <w:szCs w:val="21"/>
                    </w:rPr>
                  </w:pPr>
                  <w:r>
                    <w:rPr>
                      <w:rFonts w:eastAsia="等线"/>
                      <w:kern w:val="0"/>
                      <w:szCs w:val="21"/>
                    </w:rPr>
                    <w:t>1938</w:t>
                  </w:r>
                </w:p>
              </w:tc>
              <w:tc>
                <w:tcPr>
                  <w:tcW w:w="625" w:type="pct"/>
                  <w:shd w:val="clear" w:color="auto" w:fill="auto"/>
                  <w:vAlign w:val="center"/>
                </w:tcPr>
                <w:p w14:paraId="59A1883F">
                  <w:pPr>
                    <w:widowControl/>
                    <w:jc w:val="center"/>
                    <w:rPr>
                      <w:rFonts w:eastAsia="等线"/>
                      <w:kern w:val="0"/>
                      <w:szCs w:val="21"/>
                    </w:rPr>
                  </w:pPr>
                  <w:r>
                    <w:rPr>
                      <w:rFonts w:eastAsia="等线"/>
                      <w:kern w:val="0"/>
                      <w:szCs w:val="21"/>
                    </w:rPr>
                    <w:t>2664</w:t>
                  </w:r>
                </w:p>
              </w:tc>
              <w:tc>
                <w:tcPr>
                  <w:tcW w:w="625" w:type="pct"/>
                  <w:shd w:val="clear" w:color="auto" w:fill="auto"/>
                  <w:vAlign w:val="center"/>
                </w:tcPr>
                <w:p w14:paraId="68D56B0C">
                  <w:pPr>
                    <w:widowControl/>
                    <w:jc w:val="center"/>
                    <w:rPr>
                      <w:kern w:val="0"/>
                      <w:szCs w:val="21"/>
                    </w:rPr>
                  </w:pPr>
                  <w:r>
                    <w:rPr>
                      <w:kern w:val="0"/>
                      <w:szCs w:val="21"/>
                    </w:rPr>
                    <w:t>居住区</w:t>
                  </w:r>
                </w:p>
              </w:tc>
              <w:tc>
                <w:tcPr>
                  <w:tcW w:w="625" w:type="pct"/>
                  <w:shd w:val="clear" w:color="auto" w:fill="auto"/>
                  <w:vAlign w:val="center"/>
                </w:tcPr>
                <w:p w14:paraId="2D935212">
                  <w:pPr>
                    <w:widowControl/>
                    <w:jc w:val="center"/>
                    <w:rPr>
                      <w:rFonts w:eastAsia="等线"/>
                      <w:kern w:val="0"/>
                      <w:szCs w:val="21"/>
                    </w:rPr>
                  </w:pPr>
                  <w:r>
                    <w:rPr>
                      <w:rFonts w:eastAsia="等线"/>
                      <w:kern w:val="0"/>
                      <w:szCs w:val="21"/>
                    </w:rPr>
                    <w:t>510</w:t>
                  </w:r>
                </w:p>
              </w:tc>
              <w:tc>
                <w:tcPr>
                  <w:tcW w:w="625" w:type="pct"/>
                  <w:shd w:val="clear" w:color="auto" w:fill="auto"/>
                  <w:vAlign w:val="center"/>
                </w:tcPr>
                <w:p w14:paraId="74F9F741">
                  <w:pPr>
                    <w:widowControl/>
                    <w:jc w:val="center"/>
                    <w:rPr>
                      <w:kern w:val="0"/>
                      <w:szCs w:val="21"/>
                    </w:rPr>
                  </w:pPr>
                  <w:r>
                    <w:rPr>
                      <w:kern w:val="0"/>
                      <w:szCs w:val="21"/>
                    </w:rPr>
                    <w:t>二类</w:t>
                  </w:r>
                </w:p>
              </w:tc>
              <w:tc>
                <w:tcPr>
                  <w:tcW w:w="625" w:type="pct"/>
                  <w:shd w:val="clear" w:color="auto" w:fill="auto"/>
                  <w:vAlign w:val="center"/>
                </w:tcPr>
                <w:p w14:paraId="265F2514">
                  <w:pPr>
                    <w:widowControl/>
                    <w:jc w:val="center"/>
                    <w:rPr>
                      <w:rFonts w:eastAsia="等线"/>
                      <w:kern w:val="0"/>
                      <w:szCs w:val="21"/>
                    </w:rPr>
                  </w:pPr>
                  <w:r>
                    <w:rPr>
                      <w:rFonts w:eastAsia="等线"/>
                      <w:kern w:val="0"/>
                      <w:szCs w:val="21"/>
                    </w:rPr>
                    <w:t>W</w:t>
                  </w:r>
                </w:p>
              </w:tc>
              <w:tc>
                <w:tcPr>
                  <w:tcW w:w="625" w:type="pct"/>
                  <w:shd w:val="clear" w:color="auto" w:fill="auto"/>
                  <w:noWrap/>
                  <w:vAlign w:val="center"/>
                </w:tcPr>
                <w:p w14:paraId="3785A64E">
                  <w:pPr>
                    <w:widowControl/>
                    <w:jc w:val="center"/>
                    <w:rPr>
                      <w:rFonts w:eastAsia="等线"/>
                      <w:kern w:val="0"/>
                      <w:szCs w:val="21"/>
                    </w:rPr>
                  </w:pPr>
                  <w:r>
                    <w:rPr>
                      <w:rFonts w:eastAsia="等线"/>
                      <w:kern w:val="0"/>
                      <w:szCs w:val="21"/>
                    </w:rPr>
                    <w:t>200</w:t>
                  </w:r>
                </w:p>
              </w:tc>
            </w:tr>
            <w:tr w14:paraId="336557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94" w:type="pct"/>
                  <w:shd w:val="clear" w:color="auto" w:fill="auto"/>
                  <w:vAlign w:val="center"/>
                </w:tcPr>
                <w:p w14:paraId="4A5684EB">
                  <w:pPr>
                    <w:widowControl/>
                    <w:jc w:val="center"/>
                    <w:rPr>
                      <w:kern w:val="0"/>
                      <w:szCs w:val="21"/>
                    </w:rPr>
                  </w:pPr>
                  <w:r>
                    <w:rPr>
                      <w:kern w:val="0"/>
                      <w:szCs w:val="21"/>
                    </w:rPr>
                    <w:t>小圩社区（待拆迁）</w:t>
                  </w:r>
                </w:p>
              </w:tc>
              <w:tc>
                <w:tcPr>
                  <w:tcW w:w="455" w:type="pct"/>
                  <w:shd w:val="clear" w:color="auto" w:fill="auto"/>
                  <w:vAlign w:val="center"/>
                </w:tcPr>
                <w:p w14:paraId="441DF6E7">
                  <w:pPr>
                    <w:widowControl/>
                    <w:jc w:val="center"/>
                    <w:rPr>
                      <w:rFonts w:eastAsia="等线"/>
                      <w:kern w:val="0"/>
                      <w:szCs w:val="21"/>
                    </w:rPr>
                  </w:pPr>
                  <w:r>
                    <w:rPr>
                      <w:rFonts w:eastAsia="等线"/>
                      <w:kern w:val="0"/>
                      <w:szCs w:val="21"/>
                    </w:rPr>
                    <w:t>4071</w:t>
                  </w:r>
                </w:p>
              </w:tc>
              <w:tc>
                <w:tcPr>
                  <w:tcW w:w="625" w:type="pct"/>
                  <w:shd w:val="clear" w:color="auto" w:fill="auto"/>
                  <w:vAlign w:val="center"/>
                </w:tcPr>
                <w:p w14:paraId="4ACC9933">
                  <w:pPr>
                    <w:widowControl/>
                    <w:jc w:val="center"/>
                    <w:rPr>
                      <w:rFonts w:eastAsia="等线"/>
                      <w:kern w:val="0"/>
                      <w:szCs w:val="21"/>
                    </w:rPr>
                  </w:pPr>
                  <w:r>
                    <w:rPr>
                      <w:rFonts w:eastAsia="等线"/>
                      <w:kern w:val="0"/>
                      <w:szCs w:val="21"/>
                    </w:rPr>
                    <w:t>2536</w:t>
                  </w:r>
                </w:p>
              </w:tc>
              <w:tc>
                <w:tcPr>
                  <w:tcW w:w="625" w:type="pct"/>
                  <w:shd w:val="clear" w:color="auto" w:fill="auto"/>
                  <w:vAlign w:val="center"/>
                </w:tcPr>
                <w:p w14:paraId="662B076D">
                  <w:pPr>
                    <w:widowControl/>
                    <w:jc w:val="center"/>
                    <w:rPr>
                      <w:kern w:val="0"/>
                      <w:szCs w:val="21"/>
                    </w:rPr>
                  </w:pPr>
                  <w:r>
                    <w:rPr>
                      <w:kern w:val="0"/>
                      <w:szCs w:val="21"/>
                    </w:rPr>
                    <w:t>居住区</w:t>
                  </w:r>
                </w:p>
              </w:tc>
              <w:tc>
                <w:tcPr>
                  <w:tcW w:w="625" w:type="pct"/>
                  <w:shd w:val="clear" w:color="auto" w:fill="auto"/>
                  <w:vAlign w:val="center"/>
                </w:tcPr>
                <w:p w14:paraId="1164B4CD">
                  <w:pPr>
                    <w:widowControl/>
                    <w:jc w:val="center"/>
                    <w:rPr>
                      <w:rFonts w:eastAsia="等线"/>
                      <w:kern w:val="0"/>
                      <w:szCs w:val="21"/>
                    </w:rPr>
                  </w:pPr>
                  <w:r>
                    <w:rPr>
                      <w:rFonts w:eastAsia="等线"/>
                      <w:kern w:val="0"/>
                      <w:szCs w:val="21"/>
                    </w:rPr>
                    <w:t>200</w:t>
                  </w:r>
                </w:p>
              </w:tc>
              <w:tc>
                <w:tcPr>
                  <w:tcW w:w="625" w:type="pct"/>
                  <w:shd w:val="clear" w:color="auto" w:fill="auto"/>
                  <w:vAlign w:val="center"/>
                </w:tcPr>
                <w:p w14:paraId="14F325E6">
                  <w:pPr>
                    <w:widowControl/>
                    <w:jc w:val="center"/>
                    <w:rPr>
                      <w:kern w:val="0"/>
                      <w:szCs w:val="21"/>
                    </w:rPr>
                  </w:pPr>
                  <w:r>
                    <w:rPr>
                      <w:kern w:val="0"/>
                      <w:szCs w:val="21"/>
                    </w:rPr>
                    <w:t>二类</w:t>
                  </w:r>
                </w:p>
              </w:tc>
              <w:tc>
                <w:tcPr>
                  <w:tcW w:w="625" w:type="pct"/>
                  <w:shd w:val="clear" w:color="auto" w:fill="auto"/>
                  <w:vAlign w:val="center"/>
                </w:tcPr>
                <w:p w14:paraId="1D9343B3">
                  <w:pPr>
                    <w:widowControl/>
                    <w:jc w:val="center"/>
                    <w:rPr>
                      <w:rFonts w:eastAsia="等线"/>
                      <w:kern w:val="0"/>
                      <w:szCs w:val="21"/>
                    </w:rPr>
                  </w:pPr>
                  <w:r>
                    <w:rPr>
                      <w:rFonts w:eastAsia="等线"/>
                      <w:kern w:val="0"/>
                      <w:szCs w:val="21"/>
                    </w:rPr>
                    <w:t>/</w:t>
                  </w:r>
                </w:p>
              </w:tc>
              <w:tc>
                <w:tcPr>
                  <w:tcW w:w="625" w:type="pct"/>
                  <w:shd w:val="clear" w:color="auto" w:fill="auto"/>
                  <w:noWrap/>
                  <w:vAlign w:val="center"/>
                </w:tcPr>
                <w:p w14:paraId="7EA17E48">
                  <w:pPr>
                    <w:widowControl/>
                    <w:jc w:val="center"/>
                    <w:rPr>
                      <w:rFonts w:eastAsia="等线"/>
                      <w:kern w:val="0"/>
                      <w:szCs w:val="21"/>
                    </w:rPr>
                  </w:pPr>
                  <w:r>
                    <w:rPr>
                      <w:rFonts w:eastAsia="等线"/>
                      <w:kern w:val="0"/>
                      <w:szCs w:val="21"/>
                    </w:rPr>
                    <w:t>0</w:t>
                  </w:r>
                </w:p>
              </w:tc>
            </w:tr>
            <w:tr w14:paraId="20B5D1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94" w:type="pct"/>
                  <w:shd w:val="clear" w:color="auto" w:fill="auto"/>
                  <w:vAlign w:val="center"/>
                </w:tcPr>
                <w:p w14:paraId="6A765B4E">
                  <w:pPr>
                    <w:widowControl/>
                    <w:jc w:val="center"/>
                    <w:rPr>
                      <w:kern w:val="0"/>
                      <w:szCs w:val="21"/>
                    </w:rPr>
                  </w:pPr>
                  <w:r>
                    <w:rPr>
                      <w:kern w:val="0"/>
                      <w:szCs w:val="21"/>
                    </w:rPr>
                    <w:t>城厢中学</w:t>
                  </w:r>
                </w:p>
              </w:tc>
              <w:tc>
                <w:tcPr>
                  <w:tcW w:w="455" w:type="pct"/>
                  <w:shd w:val="clear" w:color="auto" w:fill="auto"/>
                  <w:vAlign w:val="center"/>
                </w:tcPr>
                <w:p w14:paraId="39E4F43F">
                  <w:pPr>
                    <w:widowControl/>
                    <w:jc w:val="center"/>
                    <w:rPr>
                      <w:rFonts w:eastAsia="等线"/>
                      <w:kern w:val="0"/>
                      <w:szCs w:val="21"/>
                    </w:rPr>
                  </w:pPr>
                  <w:r>
                    <w:rPr>
                      <w:rFonts w:eastAsia="等线"/>
                      <w:kern w:val="0"/>
                      <w:szCs w:val="21"/>
                    </w:rPr>
                    <w:t>4017</w:t>
                  </w:r>
                </w:p>
              </w:tc>
              <w:tc>
                <w:tcPr>
                  <w:tcW w:w="625" w:type="pct"/>
                  <w:shd w:val="clear" w:color="auto" w:fill="auto"/>
                  <w:vAlign w:val="center"/>
                </w:tcPr>
                <w:p w14:paraId="19EDD71A">
                  <w:pPr>
                    <w:widowControl/>
                    <w:jc w:val="center"/>
                    <w:rPr>
                      <w:rFonts w:eastAsia="等线"/>
                      <w:kern w:val="0"/>
                      <w:szCs w:val="21"/>
                    </w:rPr>
                  </w:pPr>
                  <w:r>
                    <w:rPr>
                      <w:rFonts w:eastAsia="等线"/>
                      <w:kern w:val="0"/>
                      <w:szCs w:val="21"/>
                    </w:rPr>
                    <w:t>600</w:t>
                  </w:r>
                </w:p>
              </w:tc>
              <w:tc>
                <w:tcPr>
                  <w:tcW w:w="625" w:type="pct"/>
                  <w:shd w:val="clear" w:color="auto" w:fill="auto"/>
                  <w:vAlign w:val="center"/>
                </w:tcPr>
                <w:p w14:paraId="066F4FC0">
                  <w:pPr>
                    <w:widowControl/>
                    <w:jc w:val="center"/>
                    <w:rPr>
                      <w:kern w:val="0"/>
                      <w:szCs w:val="21"/>
                    </w:rPr>
                  </w:pPr>
                  <w:r>
                    <w:rPr>
                      <w:kern w:val="0"/>
                      <w:szCs w:val="21"/>
                    </w:rPr>
                    <w:t>学校</w:t>
                  </w:r>
                </w:p>
              </w:tc>
              <w:tc>
                <w:tcPr>
                  <w:tcW w:w="625" w:type="pct"/>
                  <w:shd w:val="clear" w:color="auto" w:fill="auto"/>
                  <w:vAlign w:val="center"/>
                </w:tcPr>
                <w:p w14:paraId="131B71B1">
                  <w:pPr>
                    <w:widowControl/>
                    <w:jc w:val="center"/>
                    <w:rPr>
                      <w:rFonts w:eastAsia="等线"/>
                      <w:kern w:val="0"/>
                      <w:szCs w:val="21"/>
                    </w:rPr>
                  </w:pPr>
                  <w:r>
                    <w:rPr>
                      <w:rFonts w:eastAsia="等线"/>
                      <w:kern w:val="0"/>
                      <w:szCs w:val="21"/>
                    </w:rPr>
                    <w:t>600</w:t>
                  </w:r>
                </w:p>
              </w:tc>
              <w:tc>
                <w:tcPr>
                  <w:tcW w:w="625" w:type="pct"/>
                  <w:shd w:val="clear" w:color="auto" w:fill="auto"/>
                  <w:vAlign w:val="center"/>
                </w:tcPr>
                <w:p w14:paraId="4C4A03A0">
                  <w:pPr>
                    <w:widowControl/>
                    <w:jc w:val="center"/>
                    <w:rPr>
                      <w:kern w:val="0"/>
                      <w:szCs w:val="21"/>
                    </w:rPr>
                  </w:pPr>
                  <w:r>
                    <w:rPr>
                      <w:kern w:val="0"/>
                      <w:szCs w:val="21"/>
                    </w:rPr>
                    <w:t>二类</w:t>
                  </w:r>
                </w:p>
              </w:tc>
              <w:tc>
                <w:tcPr>
                  <w:tcW w:w="625" w:type="pct"/>
                  <w:shd w:val="clear" w:color="auto" w:fill="auto"/>
                  <w:vAlign w:val="center"/>
                </w:tcPr>
                <w:p w14:paraId="2E547101">
                  <w:pPr>
                    <w:widowControl/>
                    <w:jc w:val="center"/>
                    <w:rPr>
                      <w:rFonts w:eastAsia="等线"/>
                      <w:kern w:val="0"/>
                      <w:szCs w:val="21"/>
                    </w:rPr>
                  </w:pPr>
                  <w:r>
                    <w:rPr>
                      <w:rFonts w:eastAsia="等线"/>
                      <w:kern w:val="0"/>
                      <w:szCs w:val="21"/>
                    </w:rPr>
                    <w:t>E</w:t>
                  </w:r>
                </w:p>
              </w:tc>
              <w:tc>
                <w:tcPr>
                  <w:tcW w:w="625" w:type="pct"/>
                  <w:shd w:val="clear" w:color="auto" w:fill="auto"/>
                  <w:noWrap/>
                  <w:vAlign w:val="center"/>
                </w:tcPr>
                <w:p w14:paraId="26985282">
                  <w:pPr>
                    <w:widowControl/>
                    <w:jc w:val="center"/>
                    <w:rPr>
                      <w:rFonts w:eastAsia="等线"/>
                      <w:kern w:val="0"/>
                      <w:szCs w:val="21"/>
                    </w:rPr>
                  </w:pPr>
                  <w:r>
                    <w:rPr>
                      <w:rFonts w:eastAsia="等线"/>
                      <w:kern w:val="0"/>
                      <w:szCs w:val="21"/>
                    </w:rPr>
                    <w:t>50</w:t>
                  </w:r>
                  <w:r>
                    <w:rPr>
                      <w:rFonts w:hint="eastAsia" w:eastAsia="等线"/>
                      <w:kern w:val="0"/>
                      <w:szCs w:val="21"/>
                    </w:rPr>
                    <w:t>*</w:t>
                  </w:r>
                </w:p>
              </w:tc>
            </w:tr>
            <w:tr w14:paraId="28DBED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94" w:type="pct"/>
                  <w:shd w:val="clear" w:color="auto" w:fill="auto"/>
                  <w:vAlign w:val="center"/>
                </w:tcPr>
                <w:p w14:paraId="6DDEF240">
                  <w:pPr>
                    <w:widowControl/>
                    <w:jc w:val="center"/>
                    <w:rPr>
                      <w:kern w:val="0"/>
                      <w:szCs w:val="21"/>
                    </w:rPr>
                  </w:pPr>
                  <w:r>
                    <w:rPr>
                      <w:kern w:val="0"/>
                      <w:szCs w:val="21"/>
                    </w:rPr>
                    <w:t>西门</w:t>
                  </w:r>
                </w:p>
              </w:tc>
              <w:tc>
                <w:tcPr>
                  <w:tcW w:w="455" w:type="pct"/>
                  <w:shd w:val="clear" w:color="auto" w:fill="auto"/>
                  <w:vAlign w:val="center"/>
                </w:tcPr>
                <w:p w14:paraId="367D9F9A">
                  <w:pPr>
                    <w:widowControl/>
                    <w:jc w:val="center"/>
                    <w:rPr>
                      <w:rFonts w:eastAsia="等线"/>
                      <w:kern w:val="0"/>
                      <w:szCs w:val="21"/>
                    </w:rPr>
                  </w:pPr>
                  <w:r>
                    <w:rPr>
                      <w:rFonts w:eastAsia="等线"/>
                      <w:kern w:val="0"/>
                      <w:szCs w:val="21"/>
                    </w:rPr>
                    <w:t>3491</w:t>
                  </w:r>
                </w:p>
              </w:tc>
              <w:tc>
                <w:tcPr>
                  <w:tcW w:w="625" w:type="pct"/>
                  <w:shd w:val="clear" w:color="auto" w:fill="auto"/>
                  <w:vAlign w:val="center"/>
                </w:tcPr>
                <w:p w14:paraId="52AC4C71">
                  <w:pPr>
                    <w:widowControl/>
                    <w:jc w:val="center"/>
                    <w:rPr>
                      <w:rFonts w:eastAsia="等线"/>
                      <w:kern w:val="0"/>
                      <w:szCs w:val="21"/>
                    </w:rPr>
                  </w:pPr>
                  <w:r>
                    <w:rPr>
                      <w:rFonts w:eastAsia="等线"/>
                      <w:kern w:val="0"/>
                      <w:szCs w:val="21"/>
                    </w:rPr>
                    <w:t>1561</w:t>
                  </w:r>
                </w:p>
              </w:tc>
              <w:tc>
                <w:tcPr>
                  <w:tcW w:w="625" w:type="pct"/>
                  <w:shd w:val="clear" w:color="auto" w:fill="auto"/>
                  <w:vAlign w:val="center"/>
                </w:tcPr>
                <w:p w14:paraId="4FD281B7">
                  <w:pPr>
                    <w:widowControl/>
                    <w:jc w:val="center"/>
                    <w:rPr>
                      <w:kern w:val="0"/>
                      <w:szCs w:val="21"/>
                    </w:rPr>
                  </w:pPr>
                  <w:r>
                    <w:rPr>
                      <w:kern w:val="0"/>
                      <w:szCs w:val="21"/>
                    </w:rPr>
                    <w:t>居住区</w:t>
                  </w:r>
                </w:p>
              </w:tc>
              <w:tc>
                <w:tcPr>
                  <w:tcW w:w="625" w:type="pct"/>
                  <w:shd w:val="clear" w:color="auto" w:fill="auto"/>
                  <w:vAlign w:val="center"/>
                </w:tcPr>
                <w:p w14:paraId="086BDB00">
                  <w:pPr>
                    <w:widowControl/>
                    <w:jc w:val="center"/>
                    <w:rPr>
                      <w:rFonts w:eastAsia="等线"/>
                      <w:kern w:val="0"/>
                      <w:szCs w:val="21"/>
                    </w:rPr>
                  </w:pPr>
                  <w:r>
                    <w:rPr>
                      <w:rFonts w:eastAsia="等线"/>
                      <w:kern w:val="0"/>
                      <w:szCs w:val="21"/>
                    </w:rPr>
                    <w:t>225</w:t>
                  </w:r>
                </w:p>
              </w:tc>
              <w:tc>
                <w:tcPr>
                  <w:tcW w:w="625" w:type="pct"/>
                  <w:shd w:val="clear" w:color="auto" w:fill="auto"/>
                  <w:vAlign w:val="center"/>
                </w:tcPr>
                <w:p w14:paraId="06373F15">
                  <w:pPr>
                    <w:widowControl/>
                    <w:jc w:val="center"/>
                    <w:rPr>
                      <w:kern w:val="0"/>
                      <w:szCs w:val="21"/>
                    </w:rPr>
                  </w:pPr>
                  <w:r>
                    <w:rPr>
                      <w:kern w:val="0"/>
                      <w:szCs w:val="21"/>
                    </w:rPr>
                    <w:t>二类</w:t>
                  </w:r>
                </w:p>
              </w:tc>
              <w:tc>
                <w:tcPr>
                  <w:tcW w:w="625" w:type="pct"/>
                  <w:shd w:val="clear" w:color="auto" w:fill="auto"/>
                  <w:vAlign w:val="center"/>
                </w:tcPr>
                <w:p w14:paraId="5322A6A6">
                  <w:pPr>
                    <w:widowControl/>
                    <w:jc w:val="center"/>
                    <w:rPr>
                      <w:rFonts w:eastAsia="等线"/>
                      <w:kern w:val="0"/>
                      <w:szCs w:val="21"/>
                    </w:rPr>
                  </w:pPr>
                  <w:r>
                    <w:rPr>
                      <w:rFonts w:eastAsia="等线"/>
                      <w:kern w:val="0"/>
                      <w:szCs w:val="21"/>
                    </w:rPr>
                    <w:t>S</w:t>
                  </w:r>
                </w:p>
              </w:tc>
              <w:tc>
                <w:tcPr>
                  <w:tcW w:w="625" w:type="pct"/>
                  <w:shd w:val="clear" w:color="auto" w:fill="auto"/>
                  <w:noWrap/>
                  <w:vAlign w:val="center"/>
                </w:tcPr>
                <w:p w14:paraId="2E5544D4">
                  <w:pPr>
                    <w:widowControl/>
                    <w:jc w:val="center"/>
                    <w:rPr>
                      <w:rFonts w:eastAsia="等线"/>
                      <w:kern w:val="0"/>
                      <w:szCs w:val="21"/>
                    </w:rPr>
                  </w:pPr>
                  <w:r>
                    <w:rPr>
                      <w:rFonts w:eastAsia="等线"/>
                      <w:kern w:val="0"/>
                      <w:szCs w:val="21"/>
                    </w:rPr>
                    <w:t>179</w:t>
                  </w:r>
                </w:p>
              </w:tc>
            </w:tr>
            <w:tr w14:paraId="44B1E8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94" w:type="pct"/>
                  <w:shd w:val="clear" w:color="auto" w:fill="auto"/>
                  <w:vAlign w:val="center"/>
                </w:tcPr>
                <w:p w14:paraId="031E802A">
                  <w:pPr>
                    <w:widowControl/>
                    <w:jc w:val="center"/>
                    <w:rPr>
                      <w:kern w:val="0"/>
                      <w:szCs w:val="21"/>
                    </w:rPr>
                  </w:pPr>
                  <w:r>
                    <w:rPr>
                      <w:kern w:val="0"/>
                      <w:szCs w:val="21"/>
                    </w:rPr>
                    <w:t>界湖花园</w:t>
                  </w:r>
                </w:p>
              </w:tc>
              <w:tc>
                <w:tcPr>
                  <w:tcW w:w="455" w:type="pct"/>
                  <w:shd w:val="clear" w:color="auto" w:fill="auto"/>
                  <w:vAlign w:val="center"/>
                </w:tcPr>
                <w:p w14:paraId="13989A01">
                  <w:pPr>
                    <w:widowControl/>
                    <w:jc w:val="center"/>
                    <w:rPr>
                      <w:rFonts w:eastAsia="等线"/>
                      <w:kern w:val="0"/>
                      <w:szCs w:val="21"/>
                    </w:rPr>
                  </w:pPr>
                  <w:r>
                    <w:rPr>
                      <w:rFonts w:eastAsia="等线"/>
                      <w:kern w:val="0"/>
                      <w:szCs w:val="21"/>
                    </w:rPr>
                    <w:t>2079</w:t>
                  </w:r>
                </w:p>
              </w:tc>
              <w:tc>
                <w:tcPr>
                  <w:tcW w:w="625" w:type="pct"/>
                  <w:shd w:val="clear" w:color="auto" w:fill="auto"/>
                  <w:vAlign w:val="center"/>
                </w:tcPr>
                <w:p w14:paraId="58B6CC0E">
                  <w:pPr>
                    <w:widowControl/>
                    <w:jc w:val="center"/>
                    <w:rPr>
                      <w:rFonts w:eastAsia="等线"/>
                      <w:kern w:val="0"/>
                      <w:szCs w:val="21"/>
                    </w:rPr>
                  </w:pPr>
                  <w:r>
                    <w:rPr>
                      <w:rFonts w:eastAsia="等线"/>
                      <w:kern w:val="0"/>
                      <w:szCs w:val="21"/>
                    </w:rPr>
                    <w:t>1195</w:t>
                  </w:r>
                </w:p>
              </w:tc>
              <w:tc>
                <w:tcPr>
                  <w:tcW w:w="625" w:type="pct"/>
                  <w:shd w:val="clear" w:color="auto" w:fill="auto"/>
                  <w:vAlign w:val="center"/>
                </w:tcPr>
                <w:p w14:paraId="3B9B1C02">
                  <w:pPr>
                    <w:widowControl/>
                    <w:jc w:val="center"/>
                    <w:rPr>
                      <w:kern w:val="0"/>
                      <w:szCs w:val="21"/>
                    </w:rPr>
                  </w:pPr>
                  <w:r>
                    <w:rPr>
                      <w:kern w:val="0"/>
                      <w:szCs w:val="21"/>
                    </w:rPr>
                    <w:t>居住区</w:t>
                  </w:r>
                </w:p>
              </w:tc>
              <w:tc>
                <w:tcPr>
                  <w:tcW w:w="625" w:type="pct"/>
                  <w:shd w:val="clear" w:color="auto" w:fill="auto"/>
                  <w:vAlign w:val="center"/>
                </w:tcPr>
                <w:p w14:paraId="0708A8DD">
                  <w:pPr>
                    <w:widowControl/>
                    <w:jc w:val="center"/>
                    <w:rPr>
                      <w:rFonts w:eastAsia="等线"/>
                      <w:kern w:val="0"/>
                      <w:szCs w:val="21"/>
                    </w:rPr>
                  </w:pPr>
                  <w:r>
                    <w:rPr>
                      <w:rFonts w:eastAsia="等线"/>
                      <w:kern w:val="0"/>
                      <w:szCs w:val="21"/>
                    </w:rPr>
                    <w:t>1200</w:t>
                  </w:r>
                </w:p>
              </w:tc>
              <w:tc>
                <w:tcPr>
                  <w:tcW w:w="625" w:type="pct"/>
                  <w:shd w:val="clear" w:color="auto" w:fill="auto"/>
                  <w:vAlign w:val="center"/>
                </w:tcPr>
                <w:p w14:paraId="11216722">
                  <w:pPr>
                    <w:widowControl/>
                    <w:jc w:val="center"/>
                    <w:rPr>
                      <w:kern w:val="0"/>
                      <w:szCs w:val="21"/>
                    </w:rPr>
                  </w:pPr>
                  <w:r>
                    <w:rPr>
                      <w:kern w:val="0"/>
                      <w:szCs w:val="21"/>
                    </w:rPr>
                    <w:t>二类</w:t>
                  </w:r>
                </w:p>
              </w:tc>
              <w:tc>
                <w:tcPr>
                  <w:tcW w:w="625" w:type="pct"/>
                  <w:shd w:val="clear" w:color="auto" w:fill="auto"/>
                  <w:vAlign w:val="center"/>
                </w:tcPr>
                <w:p w14:paraId="6459E730">
                  <w:pPr>
                    <w:widowControl/>
                    <w:jc w:val="center"/>
                    <w:rPr>
                      <w:rFonts w:eastAsia="等线"/>
                      <w:kern w:val="0"/>
                      <w:szCs w:val="21"/>
                    </w:rPr>
                  </w:pPr>
                  <w:r>
                    <w:rPr>
                      <w:rFonts w:eastAsia="等线"/>
                      <w:kern w:val="0"/>
                      <w:szCs w:val="21"/>
                    </w:rPr>
                    <w:t>S</w:t>
                  </w:r>
                </w:p>
              </w:tc>
              <w:tc>
                <w:tcPr>
                  <w:tcW w:w="625" w:type="pct"/>
                  <w:shd w:val="clear" w:color="auto" w:fill="auto"/>
                  <w:noWrap/>
                  <w:vAlign w:val="center"/>
                </w:tcPr>
                <w:p w14:paraId="026A9ED8">
                  <w:pPr>
                    <w:widowControl/>
                    <w:jc w:val="center"/>
                    <w:rPr>
                      <w:rFonts w:eastAsia="等线"/>
                      <w:kern w:val="0"/>
                      <w:szCs w:val="21"/>
                    </w:rPr>
                  </w:pPr>
                  <w:r>
                    <w:rPr>
                      <w:rFonts w:eastAsia="等线"/>
                      <w:kern w:val="0"/>
                      <w:szCs w:val="21"/>
                    </w:rPr>
                    <w:t>16</w:t>
                  </w:r>
                  <w:r>
                    <w:rPr>
                      <w:rFonts w:hint="eastAsia" w:eastAsia="等线"/>
                      <w:kern w:val="0"/>
                      <w:szCs w:val="21"/>
                    </w:rPr>
                    <w:t>*</w:t>
                  </w:r>
                </w:p>
              </w:tc>
            </w:tr>
            <w:tr w14:paraId="089AB5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94" w:type="pct"/>
                  <w:shd w:val="clear" w:color="auto" w:fill="auto"/>
                  <w:vAlign w:val="center"/>
                </w:tcPr>
                <w:p w14:paraId="031C482A">
                  <w:pPr>
                    <w:widowControl/>
                    <w:jc w:val="center"/>
                    <w:rPr>
                      <w:kern w:val="0"/>
                      <w:szCs w:val="21"/>
                    </w:rPr>
                  </w:pPr>
                  <w:r>
                    <w:rPr>
                      <w:kern w:val="0"/>
                      <w:szCs w:val="21"/>
                    </w:rPr>
                    <w:t>毛庄</w:t>
                  </w:r>
                </w:p>
              </w:tc>
              <w:tc>
                <w:tcPr>
                  <w:tcW w:w="455" w:type="pct"/>
                  <w:shd w:val="clear" w:color="auto" w:fill="auto"/>
                  <w:vAlign w:val="center"/>
                </w:tcPr>
                <w:p w14:paraId="16376A96">
                  <w:pPr>
                    <w:widowControl/>
                    <w:jc w:val="center"/>
                    <w:rPr>
                      <w:rFonts w:eastAsia="等线"/>
                      <w:kern w:val="0"/>
                      <w:szCs w:val="21"/>
                    </w:rPr>
                  </w:pPr>
                  <w:r>
                    <w:rPr>
                      <w:rFonts w:eastAsia="等线"/>
                      <w:kern w:val="0"/>
                      <w:szCs w:val="21"/>
                    </w:rPr>
                    <w:t>4169</w:t>
                  </w:r>
                </w:p>
              </w:tc>
              <w:tc>
                <w:tcPr>
                  <w:tcW w:w="625" w:type="pct"/>
                  <w:shd w:val="clear" w:color="auto" w:fill="auto"/>
                  <w:vAlign w:val="center"/>
                </w:tcPr>
                <w:p w14:paraId="191BD1FD">
                  <w:pPr>
                    <w:widowControl/>
                    <w:jc w:val="center"/>
                    <w:rPr>
                      <w:rFonts w:eastAsia="等线"/>
                      <w:kern w:val="0"/>
                      <w:szCs w:val="21"/>
                    </w:rPr>
                  </w:pPr>
                  <w:r>
                    <w:rPr>
                      <w:rFonts w:eastAsia="等线"/>
                      <w:kern w:val="0"/>
                      <w:szCs w:val="21"/>
                    </w:rPr>
                    <w:t>1605</w:t>
                  </w:r>
                </w:p>
              </w:tc>
              <w:tc>
                <w:tcPr>
                  <w:tcW w:w="625" w:type="pct"/>
                  <w:shd w:val="clear" w:color="auto" w:fill="auto"/>
                  <w:vAlign w:val="center"/>
                </w:tcPr>
                <w:p w14:paraId="7FC29429">
                  <w:pPr>
                    <w:widowControl/>
                    <w:jc w:val="center"/>
                    <w:rPr>
                      <w:kern w:val="0"/>
                      <w:szCs w:val="21"/>
                    </w:rPr>
                  </w:pPr>
                  <w:r>
                    <w:rPr>
                      <w:kern w:val="0"/>
                      <w:szCs w:val="21"/>
                    </w:rPr>
                    <w:t>居住区</w:t>
                  </w:r>
                </w:p>
              </w:tc>
              <w:tc>
                <w:tcPr>
                  <w:tcW w:w="625" w:type="pct"/>
                  <w:shd w:val="clear" w:color="auto" w:fill="auto"/>
                  <w:vAlign w:val="center"/>
                </w:tcPr>
                <w:p w14:paraId="6B857836">
                  <w:pPr>
                    <w:widowControl/>
                    <w:jc w:val="center"/>
                    <w:rPr>
                      <w:rFonts w:eastAsia="等线"/>
                      <w:kern w:val="0"/>
                      <w:szCs w:val="21"/>
                    </w:rPr>
                  </w:pPr>
                  <w:r>
                    <w:rPr>
                      <w:rFonts w:eastAsia="等线"/>
                      <w:kern w:val="0"/>
                      <w:szCs w:val="21"/>
                    </w:rPr>
                    <w:t>600</w:t>
                  </w:r>
                </w:p>
              </w:tc>
              <w:tc>
                <w:tcPr>
                  <w:tcW w:w="625" w:type="pct"/>
                  <w:shd w:val="clear" w:color="auto" w:fill="auto"/>
                  <w:vAlign w:val="center"/>
                </w:tcPr>
                <w:p w14:paraId="04F28013">
                  <w:pPr>
                    <w:widowControl/>
                    <w:jc w:val="center"/>
                    <w:rPr>
                      <w:kern w:val="0"/>
                      <w:szCs w:val="21"/>
                    </w:rPr>
                  </w:pPr>
                  <w:r>
                    <w:rPr>
                      <w:kern w:val="0"/>
                      <w:szCs w:val="21"/>
                    </w:rPr>
                    <w:t>二类</w:t>
                  </w:r>
                </w:p>
              </w:tc>
              <w:tc>
                <w:tcPr>
                  <w:tcW w:w="625" w:type="pct"/>
                  <w:shd w:val="clear" w:color="auto" w:fill="auto"/>
                  <w:vAlign w:val="center"/>
                </w:tcPr>
                <w:p w14:paraId="75A35274">
                  <w:pPr>
                    <w:widowControl/>
                    <w:jc w:val="center"/>
                    <w:rPr>
                      <w:rFonts w:eastAsia="等线"/>
                      <w:kern w:val="0"/>
                      <w:szCs w:val="21"/>
                    </w:rPr>
                  </w:pPr>
                  <w:r>
                    <w:rPr>
                      <w:rFonts w:eastAsia="等线"/>
                      <w:kern w:val="0"/>
                      <w:szCs w:val="21"/>
                    </w:rPr>
                    <w:t>E</w:t>
                  </w:r>
                </w:p>
              </w:tc>
              <w:tc>
                <w:tcPr>
                  <w:tcW w:w="625" w:type="pct"/>
                  <w:shd w:val="clear" w:color="auto" w:fill="auto"/>
                  <w:noWrap/>
                  <w:vAlign w:val="center"/>
                </w:tcPr>
                <w:p w14:paraId="35CC1233">
                  <w:pPr>
                    <w:widowControl/>
                    <w:jc w:val="center"/>
                    <w:rPr>
                      <w:rFonts w:eastAsia="等线"/>
                      <w:kern w:val="0"/>
                      <w:szCs w:val="21"/>
                    </w:rPr>
                  </w:pPr>
                  <w:r>
                    <w:rPr>
                      <w:rFonts w:eastAsia="等线"/>
                      <w:kern w:val="0"/>
                      <w:szCs w:val="21"/>
                    </w:rPr>
                    <w:t>69</w:t>
                  </w:r>
                  <w:r>
                    <w:rPr>
                      <w:rFonts w:hint="eastAsia" w:eastAsia="等线"/>
                      <w:kern w:val="0"/>
                      <w:szCs w:val="21"/>
                    </w:rPr>
                    <w:t>*</w:t>
                  </w:r>
                </w:p>
              </w:tc>
            </w:tr>
            <w:tr w14:paraId="2126C1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94" w:type="pct"/>
                  <w:shd w:val="clear" w:color="auto" w:fill="auto"/>
                  <w:vAlign w:val="center"/>
                </w:tcPr>
                <w:p w14:paraId="5C8DD66C">
                  <w:pPr>
                    <w:widowControl/>
                    <w:jc w:val="center"/>
                    <w:rPr>
                      <w:kern w:val="0"/>
                      <w:szCs w:val="21"/>
                    </w:rPr>
                  </w:pPr>
                  <w:r>
                    <w:rPr>
                      <w:kern w:val="0"/>
                      <w:szCs w:val="21"/>
                    </w:rPr>
                    <w:t>城厢小学</w:t>
                  </w:r>
                </w:p>
              </w:tc>
              <w:tc>
                <w:tcPr>
                  <w:tcW w:w="455" w:type="pct"/>
                  <w:shd w:val="clear" w:color="auto" w:fill="auto"/>
                  <w:vAlign w:val="center"/>
                </w:tcPr>
                <w:p w14:paraId="5017B3EB">
                  <w:pPr>
                    <w:widowControl/>
                    <w:jc w:val="center"/>
                    <w:rPr>
                      <w:rFonts w:eastAsia="等线"/>
                      <w:kern w:val="0"/>
                      <w:szCs w:val="21"/>
                    </w:rPr>
                  </w:pPr>
                  <w:r>
                    <w:rPr>
                      <w:rFonts w:eastAsia="等线"/>
                      <w:kern w:val="0"/>
                      <w:szCs w:val="21"/>
                    </w:rPr>
                    <w:t>3822</w:t>
                  </w:r>
                </w:p>
              </w:tc>
              <w:tc>
                <w:tcPr>
                  <w:tcW w:w="625" w:type="pct"/>
                  <w:shd w:val="clear" w:color="auto" w:fill="auto"/>
                  <w:vAlign w:val="center"/>
                </w:tcPr>
                <w:p w14:paraId="031C3B4C">
                  <w:pPr>
                    <w:widowControl/>
                    <w:jc w:val="center"/>
                    <w:rPr>
                      <w:rFonts w:eastAsia="等线"/>
                      <w:kern w:val="0"/>
                      <w:szCs w:val="21"/>
                    </w:rPr>
                  </w:pPr>
                  <w:r>
                    <w:rPr>
                      <w:rFonts w:eastAsia="等线"/>
                      <w:kern w:val="0"/>
                      <w:szCs w:val="21"/>
                    </w:rPr>
                    <w:t>579</w:t>
                  </w:r>
                </w:p>
              </w:tc>
              <w:tc>
                <w:tcPr>
                  <w:tcW w:w="625" w:type="pct"/>
                  <w:shd w:val="clear" w:color="auto" w:fill="auto"/>
                  <w:vAlign w:val="center"/>
                </w:tcPr>
                <w:p w14:paraId="3E2B4AFA">
                  <w:pPr>
                    <w:widowControl/>
                    <w:jc w:val="center"/>
                    <w:rPr>
                      <w:kern w:val="0"/>
                      <w:szCs w:val="21"/>
                    </w:rPr>
                  </w:pPr>
                  <w:r>
                    <w:rPr>
                      <w:kern w:val="0"/>
                      <w:szCs w:val="21"/>
                    </w:rPr>
                    <w:t>学校</w:t>
                  </w:r>
                </w:p>
              </w:tc>
              <w:tc>
                <w:tcPr>
                  <w:tcW w:w="625" w:type="pct"/>
                  <w:shd w:val="clear" w:color="auto" w:fill="auto"/>
                  <w:vAlign w:val="center"/>
                </w:tcPr>
                <w:p w14:paraId="356FDC73">
                  <w:pPr>
                    <w:widowControl/>
                    <w:jc w:val="center"/>
                    <w:rPr>
                      <w:rFonts w:eastAsia="等线"/>
                      <w:kern w:val="0"/>
                      <w:szCs w:val="21"/>
                    </w:rPr>
                  </w:pPr>
                  <w:r>
                    <w:rPr>
                      <w:rFonts w:eastAsia="等线"/>
                      <w:kern w:val="0"/>
                      <w:szCs w:val="21"/>
                    </w:rPr>
                    <w:t>2300</w:t>
                  </w:r>
                </w:p>
              </w:tc>
              <w:tc>
                <w:tcPr>
                  <w:tcW w:w="625" w:type="pct"/>
                  <w:shd w:val="clear" w:color="auto" w:fill="auto"/>
                  <w:vAlign w:val="center"/>
                </w:tcPr>
                <w:p w14:paraId="4664BAFF">
                  <w:pPr>
                    <w:widowControl/>
                    <w:jc w:val="center"/>
                    <w:rPr>
                      <w:kern w:val="0"/>
                      <w:szCs w:val="21"/>
                    </w:rPr>
                  </w:pPr>
                  <w:r>
                    <w:rPr>
                      <w:kern w:val="0"/>
                      <w:szCs w:val="21"/>
                    </w:rPr>
                    <w:t>二类</w:t>
                  </w:r>
                </w:p>
              </w:tc>
              <w:tc>
                <w:tcPr>
                  <w:tcW w:w="625" w:type="pct"/>
                  <w:shd w:val="clear" w:color="auto" w:fill="auto"/>
                  <w:vAlign w:val="center"/>
                </w:tcPr>
                <w:p w14:paraId="2892EDF3">
                  <w:pPr>
                    <w:widowControl/>
                    <w:jc w:val="center"/>
                    <w:rPr>
                      <w:rFonts w:eastAsia="等线"/>
                      <w:kern w:val="0"/>
                      <w:szCs w:val="21"/>
                    </w:rPr>
                  </w:pPr>
                  <w:r>
                    <w:rPr>
                      <w:rFonts w:eastAsia="等线"/>
                      <w:kern w:val="0"/>
                      <w:szCs w:val="21"/>
                    </w:rPr>
                    <w:t>S</w:t>
                  </w:r>
                </w:p>
              </w:tc>
              <w:tc>
                <w:tcPr>
                  <w:tcW w:w="625" w:type="pct"/>
                  <w:shd w:val="clear" w:color="auto" w:fill="auto"/>
                  <w:noWrap/>
                  <w:vAlign w:val="center"/>
                </w:tcPr>
                <w:p w14:paraId="2F1FAEE8">
                  <w:pPr>
                    <w:widowControl/>
                    <w:jc w:val="center"/>
                    <w:rPr>
                      <w:rFonts w:eastAsia="等线"/>
                      <w:kern w:val="0"/>
                      <w:szCs w:val="21"/>
                    </w:rPr>
                  </w:pPr>
                  <w:r>
                    <w:rPr>
                      <w:rFonts w:eastAsia="等线"/>
                      <w:kern w:val="0"/>
                      <w:szCs w:val="21"/>
                    </w:rPr>
                    <w:t>493</w:t>
                  </w:r>
                </w:p>
              </w:tc>
            </w:tr>
            <w:tr w14:paraId="2DCC1A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94" w:type="pct"/>
                  <w:shd w:val="clear" w:color="auto" w:fill="auto"/>
                  <w:vAlign w:val="center"/>
                </w:tcPr>
                <w:p w14:paraId="4A7DAAA1">
                  <w:pPr>
                    <w:widowControl/>
                    <w:jc w:val="center"/>
                    <w:rPr>
                      <w:kern w:val="0"/>
                      <w:szCs w:val="21"/>
                    </w:rPr>
                  </w:pPr>
                  <w:r>
                    <w:rPr>
                      <w:kern w:val="0"/>
                      <w:szCs w:val="21"/>
                    </w:rPr>
                    <w:t>小圩社区</w:t>
                  </w:r>
                </w:p>
              </w:tc>
              <w:tc>
                <w:tcPr>
                  <w:tcW w:w="455" w:type="pct"/>
                  <w:shd w:val="clear" w:color="auto" w:fill="auto"/>
                  <w:vAlign w:val="center"/>
                </w:tcPr>
                <w:p w14:paraId="412E6568">
                  <w:pPr>
                    <w:widowControl/>
                    <w:jc w:val="center"/>
                    <w:rPr>
                      <w:rFonts w:eastAsia="等线"/>
                      <w:kern w:val="0"/>
                      <w:szCs w:val="21"/>
                    </w:rPr>
                  </w:pPr>
                  <w:r>
                    <w:rPr>
                      <w:rFonts w:eastAsia="等线"/>
                      <w:kern w:val="0"/>
                      <w:szCs w:val="21"/>
                    </w:rPr>
                    <w:t>4788</w:t>
                  </w:r>
                </w:p>
              </w:tc>
              <w:tc>
                <w:tcPr>
                  <w:tcW w:w="625" w:type="pct"/>
                  <w:shd w:val="clear" w:color="auto" w:fill="auto"/>
                  <w:vAlign w:val="center"/>
                </w:tcPr>
                <w:p w14:paraId="0F01D64A">
                  <w:pPr>
                    <w:widowControl/>
                    <w:jc w:val="center"/>
                    <w:rPr>
                      <w:rFonts w:eastAsia="等线"/>
                      <w:kern w:val="0"/>
                      <w:szCs w:val="21"/>
                    </w:rPr>
                  </w:pPr>
                  <w:r>
                    <w:rPr>
                      <w:rFonts w:eastAsia="等线"/>
                      <w:kern w:val="0"/>
                      <w:szCs w:val="21"/>
                    </w:rPr>
                    <w:t>1676</w:t>
                  </w:r>
                </w:p>
              </w:tc>
              <w:tc>
                <w:tcPr>
                  <w:tcW w:w="625" w:type="pct"/>
                  <w:vMerge w:val="restart"/>
                  <w:shd w:val="clear" w:color="auto" w:fill="auto"/>
                  <w:vAlign w:val="center"/>
                </w:tcPr>
                <w:p w14:paraId="662BF512">
                  <w:pPr>
                    <w:widowControl/>
                    <w:jc w:val="center"/>
                    <w:rPr>
                      <w:kern w:val="0"/>
                      <w:szCs w:val="21"/>
                    </w:rPr>
                  </w:pPr>
                  <w:r>
                    <w:rPr>
                      <w:kern w:val="0"/>
                      <w:szCs w:val="21"/>
                    </w:rPr>
                    <w:t>居住区</w:t>
                  </w:r>
                </w:p>
              </w:tc>
              <w:tc>
                <w:tcPr>
                  <w:tcW w:w="625" w:type="pct"/>
                  <w:shd w:val="clear" w:color="auto" w:fill="auto"/>
                  <w:vAlign w:val="center"/>
                </w:tcPr>
                <w:p w14:paraId="08D7F853">
                  <w:pPr>
                    <w:widowControl/>
                    <w:jc w:val="center"/>
                    <w:rPr>
                      <w:rFonts w:eastAsia="等线"/>
                      <w:kern w:val="0"/>
                      <w:szCs w:val="21"/>
                    </w:rPr>
                  </w:pPr>
                  <w:r>
                    <w:rPr>
                      <w:rFonts w:eastAsia="等线"/>
                      <w:kern w:val="0"/>
                      <w:szCs w:val="21"/>
                    </w:rPr>
                    <w:t>1050</w:t>
                  </w:r>
                </w:p>
              </w:tc>
              <w:tc>
                <w:tcPr>
                  <w:tcW w:w="625" w:type="pct"/>
                  <w:shd w:val="clear" w:color="auto" w:fill="auto"/>
                  <w:vAlign w:val="center"/>
                </w:tcPr>
                <w:p w14:paraId="57AF9A59">
                  <w:pPr>
                    <w:widowControl/>
                    <w:jc w:val="center"/>
                    <w:rPr>
                      <w:kern w:val="0"/>
                      <w:szCs w:val="21"/>
                    </w:rPr>
                  </w:pPr>
                  <w:r>
                    <w:rPr>
                      <w:kern w:val="0"/>
                      <w:szCs w:val="21"/>
                    </w:rPr>
                    <w:t>二类</w:t>
                  </w:r>
                </w:p>
              </w:tc>
              <w:tc>
                <w:tcPr>
                  <w:tcW w:w="625" w:type="pct"/>
                  <w:shd w:val="clear" w:color="auto" w:fill="auto"/>
                  <w:vAlign w:val="center"/>
                </w:tcPr>
                <w:p w14:paraId="3344A61D">
                  <w:pPr>
                    <w:widowControl/>
                    <w:jc w:val="center"/>
                    <w:rPr>
                      <w:rFonts w:eastAsia="等线"/>
                      <w:kern w:val="0"/>
                      <w:szCs w:val="21"/>
                    </w:rPr>
                  </w:pPr>
                  <w:r>
                    <w:rPr>
                      <w:rFonts w:eastAsia="等线"/>
                      <w:kern w:val="0"/>
                      <w:szCs w:val="21"/>
                    </w:rPr>
                    <w:t>E</w:t>
                  </w:r>
                </w:p>
              </w:tc>
              <w:tc>
                <w:tcPr>
                  <w:tcW w:w="625" w:type="pct"/>
                  <w:shd w:val="clear" w:color="auto" w:fill="auto"/>
                  <w:noWrap/>
                  <w:vAlign w:val="center"/>
                </w:tcPr>
                <w:p w14:paraId="57632F8D">
                  <w:pPr>
                    <w:widowControl/>
                    <w:jc w:val="center"/>
                    <w:rPr>
                      <w:rFonts w:eastAsia="等线"/>
                      <w:kern w:val="0"/>
                      <w:szCs w:val="21"/>
                    </w:rPr>
                  </w:pPr>
                  <w:r>
                    <w:rPr>
                      <w:rFonts w:eastAsia="等线"/>
                      <w:kern w:val="0"/>
                      <w:szCs w:val="21"/>
                    </w:rPr>
                    <w:t>153</w:t>
                  </w:r>
                </w:p>
              </w:tc>
            </w:tr>
            <w:tr w14:paraId="059AD9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94" w:type="pct"/>
                  <w:shd w:val="clear" w:color="auto" w:fill="auto"/>
                  <w:vAlign w:val="center"/>
                </w:tcPr>
                <w:p w14:paraId="2D627A93">
                  <w:pPr>
                    <w:widowControl/>
                    <w:jc w:val="center"/>
                    <w:rPr>
                      <w:kern w:val="0"/>
                      <w:szCs w:val="21"/>
                    </w:rPr>
                  </w:pPr>
                  <w:r>
                    <w:rPr>
                      <w:szCs w:val="21"/>
                    </w:rPr>
                    <w:t>陈庄</w:t>
                  </w:r>
                </w:p>
              </w:tc>
              <w:tc>
                <w:tcPr>
                  <w:tcW w:w="455" w:type="pct"/>
                  <w:shd w:val="clear" w:color="auto" w:fill="auto"/>
                  <w:vAlign w:val="center"/>
                </w:tcPr>
                <w:p w14:paraId="36052515">
                  <w:pPr>
                    <w:widowControl/>
                    <w:jc w:val="center"/>
                    <w:rPr>
                      <w:rFonts w:eastAsia="等线"/>
                      <w:kern w:val="0"/>
                      <w:szCs w:val="21"/>
                    </w:rPr>
                  </w:pPr>
                  <w:r>
                    <w:rPr>
                      <w:szCs w:val="21"/>
                    </w:rPr>
                    <w:t>4354</w:t>
                  </w:r>
                </w:p>
              </w:tc>
              <w:tc>
                <w:tcPr>
                  <w:tcW w:w="625" w:type="pct"/>
                  <w:shd w:val="clear" w:color="auto" w:fill="auto"/>
                  <w:vAlign w:val="center"/>
                </w:tcPr>
                <w:p w14:paraId="7E6C5BA2">
                  <w:pPr>
                    <w:widowControl/>
                    <w:jc w:val="center"/>
                    <w:rPr>
                      <w:rFonts w:eastAsia="等线"/>
                      <w:kern w:val="0"/>
                      <w:szCs w:val="21"/>
                    </w:rPr>
                  </w:pPr>
                  <w:r>
                    <w:rPr>
                      <w:szCs w:val="21"/>
                    </w:rPr>
                    <w:t>622</w:t>
                  </w:r>
                </w:p>
              </w:tc>
              <w:tc>
                <w:tcPr>
                  <w:tcW w:w="625" w:type="pct"/>
                  <w:vMerge w:val="continue"/>
                  <w:shd w:val="clear" w:color="auto" w:fill="auto"/>
                  <w:vAlign w:val="center"/>
                </w:tcPr>
                <w:p w14:paraId="1E046138">
                  <w:pPr>
                    <w:jc w:val="center"/>
                    <w:rPr>
                      <w:kern w:val="0"/>
                      <w:szCs w:val="21"/>
                    </w:rPr>
                  </w:pPr>
                </w:p>
              </w:tc>
              <w:tc>
                <w:tcPr>
                  <w:tcW w:w="625" w:type="pct"/>
                  <w:shd w:val="clear" w:color="auto" w:fill="auto"/>
                  <w:vAlign w:val="center"/>
                </w:tcPr>
                <w:p w14:paraId="2912757D">
                  <w:pPr>
                    <w:widowControl/>
                    <w:jc w:val="center"/>
                    <w:rPr>
                      <w:rFonts w:eastAsia="等线"/>
                      <w:kern w:val="0"/>
                      <w:szCs w:val="21"/>
                    </w:rPr>
                  </w:pPr>
                  <w:r>
                    <w:rPr>
                      <w:szCs w:val="21"/>
                    </w:rPr>
                    <w:t>150</w:t>
                  </w:r>
                </w:p>
              </w:tc>
              <w:tc>
                <w:tcPr>
                  <w:tcW w:w="625" w:type="pct"/>
                  <w:shd w:val="clear" w:color="auto" w:fill="auto"/>
                  <w:vAlign w:val="center"/>
                </w:tcPr>
                <w:p w14:paraId="44321593">
                  <w:pPr>
                    <w:widowControl/>
                    <w:jc w:val="center"/>
                    <w:rPr>
                      <w:kern w:val="0"/>
                      <w:szCs w:val="21"/>
                    </w:rPr>
                  </w:pPr>
                  <w:r>
                    <w:rPr>
                      <w:kern w:val="0"/>
                      <w:szCs w:val="21"/>
                    </w:rPr>
                    <w:t>二类</w:t>
                  </w:r>
                </w:p>
              </w:tc>
              <w:tc>
                <w:tcPr>
                  <w:tcW w:w="625" w:type="pct"/>
                  <w:shd w:val="clear" w:color="auto" w:fill="auto"/>
                  <w:vAlign w:val="center"/>
                </w:tcPr>
                <w:p w14:paraId="50728816">
                  <w:pPr>
                    <w:widowControl/>
                    <w:jc w:val="center"/>
                    <w:rPr>
                      <w:rFonts w:eastAsia="等线"/>
                      <w:kern w:val="0"/>
                      <w:szCs w:val="21"/>
                    </w:rPr>
                  </w:pPr>
                  <w:r>
                    <w:rPr>
                      <w:szCs w:val="21"/>
                    </w:rPr>
                    <w:t>S</w:t>
                  </w:r>
                </w:p>
              </w:tc>
              <w:tc>
                <w:tcPr>
                  <w:tcW w:w="625" w:type="pct"/>
                  <w:shd w:val="clear" w:color="auto" w:fill="auto"/>
                  <w:noWrap/>
                  <w:vAlign w:val="center"/>
                </w:tcPr>
                <w:p w14:paraId="54DB8C1B">
                  <w:pPr>
                    <w:widowControl/>
                    <w:jc w:val="center"/>
                    <w:rPr>
                      <w:rFonts w:eastAsia="等线"/>
                      <w:kern w:val="0"/>
                      <w:szCs w:val="21"/>
                    </w:rPr>
                  </w:pPr>
                  <w:r>
                    <w:rPr>
                      <w:szCs w:val="21"/>
                    </w:rPr>
                    <w:t>1280</w:t>
                  </w:r>
                </w:p>
              </w:tc>
            </w:tr>
            <w:tr w14:paraId="765D38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94" w:type="pct"/>
                  <w:shd w:val="clear" w:color="auto" w:fill="auto"/>
                  <w:vAlign w:val="center"/>
                </w:tcPr>
                <w:p w14:paraId="062CA723">
                  <w:pPr>
                    <w:widowControl/>
                    <w:jc w:val="center"/>
                    <w:rPr>
                      <w:kern w:val="0"/>
                      <w:szCs w:val="21"/>
                    </w:rPr>
                  </w:pPr>
                  <w:r>
                    <w:rPr>
                      <w:kern w:val="0"/>
                      <w:szCs w:val="21"/>
                    </w:rPr>
                    <w:t>下宅</w:t>
                  </w:r>
                </w:p>
              </w:tc>
              <w:tc>
                <w:tcPr>
                  <w:tcW w:w="455" w:type="pct"/>
                  <w:shd w:val="clear" w:color="auto" w:fill="auto"/>
                  <w:vAlign w:val="center"/>
                </w:tcPr>
                <w:p w14:paraId="7A14A3B5">
                  <w:pPr>
                    <w:widowControl/>
                    <w:jc w:val="center"/>
                    <w:rPr>
                      <w:rFonts w:eastAsia="等线"/>
                      <w:kern w:val="0"/>
                      <w:szCs w:val="21"/>
                    </w:rPr>
                  </w:pPr>
                  <w:r>
                    <w:rPr>
                      <w:szCs w:val="21"/>
                    </w:rPr>
                    <w:t>3610</w:t>
                  </w:r>
                </w:p>
              </w:tc>
              <w:tc>
                <w:tcPr>
                  <w:tcW w:w="625" w:type="pct"/>
                  <w:shd w:val="clear" w:color="auto" w:fill="auto"/>
                  <w:vAlign w:val="center"/>
                </w:tcPr>
                <w:p w14:paraId="04D9473A">
                  <w:pPr>
                    <w:widowControl/>
                    <w:jc w:val="center"/>
                    <w:rPr>
                      <w:rFonts w:eastAsia="等线"/>
                      <w:kern w:val="0"/>
                      <w:szCs w:val="21"/>
                    </w:rPr>
                  </w:pPr>
                  <w:r>
                    <w:rPr>
                      <w:szCs w:val="21"/>
                    </w:rPr>
                    <w:t>857</w:t>
                  </w:r>
                </w:p>
              </w:tc>
              <w:tc>
                <w:tcPr>
                  <w:tcW w:w="625" w:type="pct"/>
                  <w:vMerge w:val="continue"/>
                  <w:shd w:val="clear" w:color="auto" w:fill="auto"/>
                  <w:vAlign w:val="center"/>
                </w:tcPr>
                <w:p w14:paraId="1E8E21E9">
                  <w:pPr>
                    <w:jc w:val="center"/>
                    <w:rPr>
                      <w:kern w:val="0"/>
                      <w:szCs w:val="21"/>
                    </w:rPr>
                  </w:pPr>
                </w:p>
              </w:tc>
              <w:tc>
                <w:tcPr>
                  <w:tcW w:w="625" w:type="pct"/>
                  <w:shd w:val="clear" w:color="auto" w:fill="auto"/>
                  <w:vAlign w:val="center"/>
                </w:tcPr>
                <w:p w14:paraId="4DB7B711">
                  <w:pPr>
                    <w:widowControl/>
                    <w:jc w:val="center"/>
                    <w:rPr>
                      <w:rFonts w:eastAsia="等线"/>
                      <w:kern w:val="0"/>
                      <w:szCs w:val="21"/>
                    </w:rPr>
                  </w:pPr>
                  <w:r>
                    <w:rPr>
                      <w:szCs w:val="21"/>
                    </w:rPr>
                    <w:t>210</w:t>
                  </w:r>
                </w:p>
              </w:tc>
              <w:tc>
                <w:tcPr>
                  <w:tcW w:w="625" w:type="pct"/>
                  <w:shd w:val="clear" w:color="auto" w:fill="auto"/>
                  <w:vAlign w:val="center"/>
                </w:tcPr>
                <w:p w14:paraId="1BF6F5B3">
                  <w:pPr>
                    <w:widowControl/>
                    <w:jc w:val="center"/>
                    <w:rPr>
                      <w:kern w:val="0"/>
                      <w:szCs w:val="21"/>
                    </w:rPr>
                  </w:pPr>
                  <w:r>
                    <w:rPr>
                      <w:kern w:val="0"/>
                      <w:szCs w:val="21"/>
                    </w:rPr>
                    <w:t>二类</w:t>
                  </w:r>
                </w:p>
              </w:tc>
              <w:tc>
                <w:tcPr>
                  <w:tcW w:w="625" w:type="pct"/>
                  <w:shd w:val="clear" w:color="auto" w:fill="auto"/>
                  <w:vAlign w:val="center"/>
                </w:tcPr>
                <w:p w14:paraId="6C3C846E">
                  <w:pPr>
                    <w:widowControl/>
                    <w:jc w:val="center"/>
                    <w:rPr>
                      <w:rFonts w:eastAsia="等线"/>
                      <w:kern w:val="0"/>
                      <w:szCs w:val="21"/>
                    </w:rPr>
                  </w:pPr>
                  <w:r>
                    <w:rPr>
                      <w:szCs w:val="21"/>
                    </w:rPr>
                    <w:t>S</w:t>
                  </w:r>
                </w:p>
              </w:tc>
              <w:tc>
                <w:tcPr>
                  <w:tcW w:w="625" w:type="pct"/>
                  <w:shd w:val="clear" w:color="auto" w:fill="auto"/>
                  <w:noWrap/>
                  <w:vAlign w:val="center"/>
                </w:tcPr>
                <w:p w14:paraId="68B156D6">
                  <w:pPr>
                    <w:widowControl/>
                    <w:jc w:val="center"/>
                    <w:rPr>
                      <w:rFonts w:eastAsia="等线"/>
                      <w:kern w:val="0"/>
                      <w:szCs w:val="21"/>
                    </w:rPr>
                  </w:pPr>
                  <w:r>
                    <w:rPr>
                      <w:szCs w:val="21"/>
                    </w:rPr>
                    <w:t>626</w:t>
                  </w:r>
                </w:p>
              </w:tc>
            </w:tr>
            <w:tr w14:paraId="6A3C4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94" w:type="pct"/>
                  <w:shd w:val="clear" w:color="auto" w:fill="auto"/>
                  <w:vAlign w:val="center"/>
                </w:tcPr>
                <w:p w14:paraId="665CBD6A">
                  <w:pPr>
                    <w:widowControl/>
                    <w:jc w:val="center"/>
                    <w:rPr>
                      <w:kern w:val="0"/>
                      <w:szCs w:val="21"/>
                    </w:rPr>
                  </w:pPr>
                  <w:r>
                    <w:rPr>
                      <w:kern w:val="0"/>
                      <w:szCs w:val="21"/>
                    </w:rPr>
                    <w:t>王庄</w:t>
                  </w:r>
                </w:p>
              </w:tc>
              <w:tc>
                <w:tcPr>
                  <w:tcW w:w="455" w:type="pct"/>
                  <w:shd w:val="clear" w:color="auto" w:fill="auto"/>
                  <w:vAlign w:val="center"/>
                </w:tcPr>
                <w:p w14:paraId="0EDB7935">
                  <w:pPr>
                    <w:widowControl/>
                    <w:jc w:val="center"/>
                    <w:rPr>
                      <w:rFonts w:eastAsia="等线"/>
                      <w:kern w:val="0"/>
                      <w:szCs w:val="21"/>
                    </w:rPr>
                  </w:pPr>
                  <w:r>
                    <w:rPr>
                      <w:szCs w:val="21"/>
                    </w:rPr>
                    <w:t>4929</w:t>
                  </w:r>
                </w:p>
              </w:tc>
              <w:tc>
                <w:tcPr>
                  <w:tcW w:w="625" w:type="pct"/>
                  <w:shd w:val="clear" w:color="auto" w:fill="auto"/>
                  <w:vAlign w:val="center"/>
                </w:tcPr>
                <w:p w14:paraId="14C596BC">
                  <w:pPr>
                    <w:widowControl/>
                    <w:jc w:val="center"/>
                    <w:rPr>
                      <w:rFonts w:eastAsia="等线"/>
                      <w:kern w:val="0"/>
                      <w:szCs w:val="21"/>
                    </w:rPr>
                  </w:pPr>
                  <w:r>
                    <w:rPr>
                      <w:szCs w:val="21"/>
                    </w:rPr>
                    <w:t>240</w:t>
                  </w:r>
                </w:p>
              </w:tc>
              <w:tc>
                <w:tcPr>
                  <w:tcW w:w="625" w:type="pct"/>
                  <w:vMerge w:val="continue"/>
                  <w:shd w:val="clear" w:color="auto" w:fill="auto"/>
                  <w:vAlign w:val="center"/>
                </w:tcPr>
                <w:p w14:paraId="7B3471C6">
                  <w:pPr>
                    <w:jc w:val="center"/>
                    <w:rPr>
                      <w:kern w:val="0"/>
                      <w:szCs w:val="21"/>
                    </w:rPr>
                  </w:pPr>
                </w:p>
              </w:tc>
              <w:tc>
                <w:tcPr>
                  <w:tcW w:w="625" w:type="pct"/>
                  <w:shd w:val="clear" w:color="auto" w:fill="auto"/>
                  <w:vAlign w:val="center"/>
                </w:tcPr>
                <w:p w14:paraId="25FDC413">
                  <w:pPr>
                    <w:widowControl/>
                    <w:jc w:val="center"/>
                    <w:rPr>
                      <w:rFonts w:eastAsia="等线"/>
                      <w:kern w:val="0"/>
                      <w:szCs w:val="21"/>
                    </w:rPr>
                  </w:pPr>
                  <w:r>
                    <w:rPr>
                      <w:szCs w:val="21"/>
                    </w:rPr>
                    <w:t>105</w:t>
                  </w:r>
                </w:p>
              </w:tc>
              <w:tc>
                <w:tcPr>
                  <w:tcW w:w="625" w:type="pct"/>
                  <w:shd w:val="clear" w:color="auto" w:fill="auto"/>
                  <w:vAlign w:val="center"/>
                </w:tcPr>
                <w:p w14:paraId="1357CC38">
                  <w:pPr>
                    <w:widowControl/>
                    <w:jc w:val="center"/>
                    <w:rPr>
                      <w:kern w:val="0"/>
                      <w:szCs w:val="21"/>
                    </w:rPr>
                  </w:pPr>
                  <w:r>
                    <w:rPr>
                      <w:kern w:val="0"/>
                      <w:szCs w:val="21"/>
                    </w:rPr>
                    <w:t>二类</w:t>
                  </w:r>
                </w:p>
              </w:tc>
              <w:tc>
                <w:tcPr>
                  <w:tcW w:w="625" w:type="pct"/>
                  <w:shd w:val="clear" w:color="auto" w:fill="auto"/>
                  <w:vAlign w:val="center"/>
                </w:tcPr>
                <w:p w14:paraId="2A42467A">
                  <w:pPr>
                    <w:widowControl/>
                    <w:jc w:val="center"/>
                    <w:rPr>
                      <w:rFonts w:eastAsia="等线"/>
                      <w:kern w:val="0"/>
                      <w:szCs w:val="21"/>
                    </w:rPr>
                  </w:pPr>
                  <w:r>
                    <w:rPr>
                      <w:szCs w:val="21"/>
                    </w:rPr>
                    <w:t>SE</w:t>
                  </w:r>
                </w:p>
              </w:tc>
              <w:tc>
                <w:tcPr>
                  <w:tcW w:w="625" w:type="pct"/>
                  <w:shd w:val="clear" w:color="auto" w:fill="auto"/>
                  <w:noWrap/>
                  <w:vAlign w:val="center"/>
                </w:tcPr>
                <w:p w14:paraId="4B9690C2">
                  <w:pPr>
                    <w:widowControl/>
                    <w:jc w:val="center"/>
                    <w:rPr>
                      <w:rFonts w:eastAsia="等线"/>
                      <w:kern w:val="0"/>
                      <w:szCs w:val="21"/>
                    </w:rPr>
                  </w:pPr>
                  <w:r>
                    <w:rPr>
                      <w:szCs w:val="21"/>
                    </w:rPr>
                    <w:t>1519</w:t>
                  </w:r>
                </w:p>
              </w:tc>
            </w:tr>
            <w:tr w14:paraId="621943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94" w:type="pct"/>
                  <w:shd w:val="clear" w:color="auto" w:fill="auto"/>
                  <w:vAlign w:val="center"/>
                </w:tcPr>
                <w:p w14:paraId="692E35B4">
                  <w:pPr>
                    <w:widowControl/>
                    <w:jc w:val="center"/>
                    <w:rPr>
                      <w:kern w:val="0"/>
                      <w:szCs w:val="21"/>
                    </w:rPr>
                  </w:pPr>
                  <w:r>
                    <w:rPr>
                      <w:kern w:val="0"/>
                      <w:szCs w:val="21"/>
                    </w:rPr>
                    <w:t>翟庄</w:t>
                  </w:r>
                </w:p>
              </w:tc>
              <w:tc>
                <w:tcPr>
                  <w:tcW w:w="455" w:type="pct"/>
                  <w:shd w:val="clear" w:color="auto" w:fill="auto"/>
                  <w:vAlign w:val="center"/>
                </w:tcPr>
                <w:p w14:paraId="2CCF271D">
                  <w:pPr>
                    <w:widowControl/>
                    <w:jc w:val="center"/>
                    <w:rPr>
                      <w:rFonts w:eastAsia="等线"/>
                      <w:kern w:val="0"/>
                      <w:szCs w:val="21"/>
                    </w:rPr>
                  </w:pPr>
                  <w:r>
                    <w:rPr>
                      <w:szCs w:val="21"/>
                    </w:rPr>
                    <w:t>4337</w:t>
                  </w:r>
                </w:p>
              </w:tc>
              <w:tc>
                <w:tcPr>
                  <w:tcW w:w="625" w:type="pct"/>
                  <w:shd w:val="clear" w:color="auto" w:fill="auto"/>
                  <w:vAlign w:val="center"/>
                </w:tcPr>
                <w:p w14:paraId="221C4C84">
                  <w:pPr>
                    <w:widowControl/>
                    <w:jc w:val="center"/>
                    <w:rPr>
                      <w:rFonts w:eastAsia="等线"/>
                      <w:kern w:val="0"/>
                      <w:szCs w:val="21"/>
                    </w:rPr>
                  </w:pPr>
                  <w:r>
                    <w:rPr>
                      <w:szCs w:val="21"/>
                    </w:rPr>
                    <w:t>49</w:t>
                  </w:r>
                </w:p>
              </w:tc>
              <w:tc>
                <w:tcPr>
                  <w:tcW w:w="625" w:type="pct"/>
                  <w:vMerge w:val="continue"/>
                  <w:shd w:val="clear" w:color="auto" w:fill="auto"/>
                  <w:vAlign w:val="center"/>
                </w:tcPr>
                <w:p w14:paraId="32B03AA5">
                  <w:pPr>
                    <w:jc w:val="center"/>
                    <w:rPr>
                      <w:kern w:val="0"/>
                      <w:szCs w:val="21"/>
                    </w:rPr>
                  </w:pPr>
                </w:p>
              </w:tc>
              <w:tc>
                <w:tcPr>
                  <w:tcW w:w="625" w:type="pct"/>
                  <w:shd w:val="clear" w:color="auto" w:fill="auto"/>
                  <w:vAlign w:val="center"/>
                </w:tcPr>
                <w:p w14:paraId="2DC6ABDA">
                  <w:pPr>
                    <w:widowControl/>
                    <w:jc w:val="center"/>
                    <w:rPr>
                      <w:rFonts w:eastAsia="等线"/>
                      <w:kern w:val="0"/>
                      <w:szCs w:val="21"/>
                    </w:rPr>
                  </w:pPr>
                  <w:r>
                    <w:rPr>
                      <w:szCs w:val="21"/>
                    </w:rPr>
                    <w:t>135</w:t>
                  </w:r>
                </w:p>
              </w:tc>
              <w:tc>
                <w:tcPr>
                  <w:tcW w:w="625" w:type="pct"/>
                  <w:shd w:val="clear" w:color="auto" w:fill="auto"/>
                  <w:vAlign w:val="center"/>
                </w:tcPr>
                <w:p w14:paraId="39BB90DA">
                  <w:pPr>
                    <w:widowControl/>
                    <w:jc w:val="center"/>
                    <w:rPr>
                      <w:kern w:val="0"/>
                      <w:szCs w:val="21"/>
                    </w:rPr>
                  </w:pPr>
                  <w:r>
                    <w:rPr>
                      <w:kern w:val="0"/>
                      <w:szCs w:val="21"/>
                    </w:rPr>
                    <w:t>二类</w:t>
                  </w:r>
                </w:p>
              </w:tc>
              <w:tc>
                <w:tcPr>
                  <w:tcW w:w="625" w:type="pct"/>
                  <w:shd w:val="clear" w:color="auto" w:fill="auto"/>
                  <w:vAlign w:val="center"/>
                </w:tcPr>
                <w:p w14:paraId="6BB0E00C">
                  <w:pPr>
                    <w:widowControl/>
                    <w:jc w:val="center"/>
                    <w:rPr>
                      <w:rFonts w:eastAsia="等线"/>
                      <w:kern w:val="0"/>
                      <w:szCs w:val="21"/>
                    </w:rPr>
                  </w:pPr>
                  <w:r>
                    <w:rPr>
                      <w:szCs w:val="21"/>
                    </w:rPr>
                    <w:t>SE</w:t>
                  </w:r>
                </w:p>
              </w:tc>
              <w:tc>
                <w:tcPr>
                  <w:tcW w:w="625" w:type="pct"/>
                  <w:shd w:val="clear" w:color="auto" w:fill="auto"/>
                  <w:noWrap/>
                  <w:vAlign w:val="center"/>
                </w:tcPr>
                <w:p w14:paraId="7B9018ED">
                  <w:pPr>
                    <w:widowControl/>
                    <w:jc w:val="center"/>
                    <w:rPr>
                      <w:rFonts w:eastAsia="等线"/>
                      <w:kern w:val="0"/>
                      <w:szCs w:val="21"/>
                    </w:rPr>
                  </w:pPr>
                  <w:r>
                    <w:rPr>
                      <w:szCs w:val="21"/>
                    </w:rPr>
                    <w:t>1531</w:t>
                  </w:r>
                </w:p>
              </w:tc>
            </w:tr>
            <w:tr w14:paraId="68ABDF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94" w:type="pct"/>
                  <w:shd w:val="clear" w:color="auto" w:fill="auto"/>
                  <w:vAlign w:val="center"/>
                </w:tcPr>
                <w:p w14:paraId="373CBFE0">
                  <w:pPr>
                    <w:widowControl/>
                    <w:jc w:val="center"/>
                    <w:rPr>
                      <w:kern w:val="0"/>
                      <w:szCs w:val="21"/>
                    </w:rPr>
                  </w:pPr>
                  <w:r>
                    <w:rPr>
                      <w:kern w:val="0"/>
                      <w:szCs w:val="21"/>
                    </w:rPr>
                    <w:t>翁庄</w:t>
                  </w:r>
                </w:p>
              </w:tc>
              <w:tc>
                <w:tcPr>
                  <w:tcW w:w="455" w:type="pct"/>
                  <w:shd w:val="clear" w:color="auto" w:fill="auto"/>
                  <w:vAlign w:val="center"/>
                </w:tcPr>
                <w:p w14:paraId="3099CF6A">
                  <w:pPr>
                    <w:widowControl/>
                    <w:jc w:val="center"/>
                    <w:rPr>
                      <w:rFonts w:eastAsia="等线"/>
                      <w:kern w:val="0"/>
                      <w:szCs w:val="21"/>
                    </w:rPr>
                  </w:pPr>
                  <w:r>
                    <w:rPr>
                      <w:szCs w:val="21"/>
                    </w:rPr>
                    <w:t>4598</w:t>
                  </w:r>
                </w:p>
              </w:tc>
              <w:tc>
                <w:tcPr>
                  <w:tcW w:w="625" w:type="pct"/>
                  <w:shd w:val="clear" w:color="auto" w:fill="auto"/>
                  <w:vAlign w:val="center"/>
                </w:tcPr>
                <w:p w14:paraId="17B6E396">
                  <w:pPr>
                    <w:widowControl/>
                    <w:jc w:val="center"/>
                    <w:rPr>
                      <w:rFonts w:eastAsia="等线"/>
                      <w:kern w:val="0"/>
                      <w:szCs w:val="21"/>
                    </w:rPr>
                  </w:pPr>
                  <w:r>
                    <w:rPr>
                      <w:szCs w:val="21"/>
                    </w:rPr>
                    <w:t>142</w:t>
                  </w:r>
                </w:p>
              </w:tc>
              <w:tc>
                <w:tcPr>
                  <w:tcW w:w="625" w:type="pct"/>
                  <w:vMerge w:val="continue"/>
                  <w:shd w:val="clear" w:color="auto" w:fill="auto"/>
                  <w:vAlign w:val="center"/>
                </w:tcPr>
                <w:p w14:paraId="5E45AF4E">
                  <w:pPr>
                    <w:jc w:val="center"/>
                    <w:rPr>
                      <w:kern w:val="0"/>
                      <w:szCs w:val="21"/>
                    </w:rPr>
                  </w:pPr>
                </w:p>
              </w:tc>
              <w:tc>
                <w:tcPr>
                  <w:tcW w:w="625" w:type="pct"/>
                  <w:shd w:val="clear" w:color="auto" w:fill="auto"/>
                  <w:vAlign w:val="center"/>
                </w:tcPr>
                <w:p w14:paraId="32633DEB">
                  <w:pPr>
                    <w:widowControl/>
                    <w:jc w:val="center"/>
                    <w:rPr>
                      <w:rFonts w:eastAsia="等线"/>
                      <w:kern w:val="0"/>
                      <w:szCs w:val="21"/>
                    </w:rPr>
                  </w:pPr>
                  <w:r>
                    <w:rPr>
                      <w:szCs w:val="21"/>
                    </w:rPr>
                    <w:t>150</w:t>
                  </w:r>
                </w:p>
              </w:tc>
              <w:tc>
                <w:tcPr>
                  <w:tcW w:w="625" w:type="pct"/>
                  <w:shd w:val="clear" w:color="auto" w:fill="auto"/>
                  <w:vAlign w:val="center"/>
                </w:tcPr>
                <w:p w14:paraId="244B4082">
                  <w:pPr>
                    <w:widowControl/>
                    <w:jc w:val="center"/>
                    <w:rPr>
                      <w:kern w:val="0"/>
                      <w:szCs w:val="21"/>
                    </w:rPr>
                  </w:pPr>
                  <w:r>
                    <w:rPr>
                      <w:kern w:val="0"/>
                      <w:szCs w:val="21"/>
                    </w:rPr>
                    <w:t>二类</w:t>
                  </w:r>
                </w:p>
              </w:tc>
              <w:tc>
                <w:tcPr>
                  <w:tcW w:w="625" w:type="pct"/>
                  <w:shd w:val="clear" w:color="auto" w:fill="auto"/>
                  <w:vAlign w:val="center"/>
                </w:tcPr>
                <w:p w14:paraId="75F6706C">
                  <w:pPr>
                    <w:widowControl/>
                    <w:jc w:val="center"/>
                    <w:rPr>
                      <w:rFonts w:eastAsia="等线"/>
                      <w:kern w:val="0"/>
                      <w:szCs w:val="21"/>
                    </w:rPr>
                  </w:pPr>
                  <w:r>
                    <w:rPr>
                      <w:szCs w:val="21"/>
                    </w:rPr>
                    <w:t>SE</w:t>
                  </w:r>
                </w:p>
              </w:tc>
              <w:tc>
                <w:tcPr>
                  <w:tcW w:w="625" w:type="pct"/>
                  <w:shd w:val="clear" w:color="auto" w:fill="auto"/>
                  <w:noWrap/>
                  <w:vAlign w:val="center"/>
                </w:tcPr>
                <w:p w14:paraId="0A43DE17">
                  <w:pPr>
                    <w:widowControl/>
                    <w:jc w:val="center"/>
                    <w:rPr>
                      <w:rFonts w:eastAsia="等线"/>
                      <w:kern w:val="0"/>
                      <w:szCs w:val="21"/>
                    </w:rPr>
                  </w:pPr>
                  <w:r>
                    <w:rPr>
                      <w:szCs w:val="21"/>
                    </w:rPr>
                    <w:t>1745</w:t>
                  </w:r>
                </w:p>
              </w:tc>
            </w:tr>
            <w:tr w14:paraId="6A8E48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94" w:type="pct"/>
                  <w:shd w:val="clear" w:color="auto" w:fill="auto"/>
                  <w:vAlign w:val="center"/>
                </w:tcPr>
                <w:p w14:paraId="3642D45D">
                  <w:pPr>
                    <w:widowControl/>
                    <w:jc w:val="center"/>
                    <w:rPr>
                      <w:kern w:val="0"/>
                      <w:szCs w:val="21"/>
                    </w:rPr>
                  </w:pPr>
                  <w:r>
                    <w:rPr>
                      <w:kern w:val="0"/>
                      <w:szCs w:val="21"/>
                    </w:rPr>
                    <w:t>张庄</w:t>
                  </w:r>
                </w:p>
              </w:tc>
              <w:tc>
                <w:tcPr>
                  <w:tcW w:w="455" w:type="pct"/>
                  <w:shd w:val="clear" w:color="auto" w:fill="auto"/>
                  <w:vAlign w:val="center"/>
                </w:tcPr>
                <w:p w14:paraId="3CD9C7DB">
                  <w:pPr>
                    <w:widowControl/>
                    <w:jc w:val="center"/>
                    <w:rPr>
                      <w:rFonts w:eastAsia="等线"/>
                      <w:kern w:val="0"/>
                      <w:szCs w:val="21"/>
                    </w:rPr>
                  </w:pPr>
                  <w:r>
                    <w:rPr>
                      <w:szCs w:val="21"/>
                    </w:rPr>
                    <w:t>5327</w:t>
                  </w:r>
                </w:p>
              </w:tc>
              <w:tc>
                <w:tcPr>
                  <w:tcW w:w="625" w:type="pct"/>
                  <w:shd w:val="clear" w:color="auto" w:fill="auto"/>
                  <w:vAlign w:val="center"/>
                </w:tcPr>
                <w:p w14:paraId="09D4EEC2">
                  <w:pPr>
                    <w:widowControl/>
                    <w:jc w:val="center"/>
                    <w:rPr>
                      <w:rFonts w:eastAsia="等线"/>
                      <w:kern w:val="0"/>
                      <w:szCs w:val="21"/>
                    </w:rPr>
                  </w:pPr>
                  <w:r>
                    <w:rPr>
                      <w:szCs w:val="21"/>
                    </w:rPr>
                    <w:t>39</w:t>
                  </w:r>
                </w:p>
              </w:tc>
              <w:tc>
                <w:tcPr>
                  <w:tcW w:w="625" w:type="pct"/>
                  <w:vMerge w:val="continue"/>
                  <w:shd w:val="clear" w:color="auto" w:fill="auto"/>
                  <w:vAlign w:val="center"/>
                </w:tcPr>
                <w:p w14:paraId="48D845EB">
                  <w:pPr>
                    <w:jc w:val="center"/>
                    <w:rPr>
                      <w:kern w:val="0"/>
                      <w:szCs w:val="21"/>
                    </w:rPr>
                  </w:pPr>
                </w:p>
              </w:tc>
              <w:tc>
                <w:tcPr>
                  <w:tcW w:w="625" w:type="pct"/>
                  <w:shd w:val="clear" w:color="auto" w:fill="auto"/>
                  <w:vAlign w:val="center"/>
                </w:tcPr>
                <w:p w14:paraId="2BFF201D">
                  <w:pPr>
                    <w:widowControl/>
                    <w:jc w:val="center"/>
                    <w:rPr>
                      <w:rFonts w:eastAsia="等线"/>
                      <w:kern w:val="0"/>
                      <w:szCs w:val="21"/>
                    </w:rPr>
                  </w:pPr>
                  <w:r>
                    <w:rPr>
                      <w:szCs w:val="21"/>
                    </w:rPr>
                    <w:t>210</w:t>
                  </w:r>
                </w:p>
              </w:tc>
              <w:tc>
                <w:tcPr>
                  <w:tcW w:w="625" w:type="pct"/>
                  <w:shd w:val="clear" w:color="auto" w:fill="auto"/>
                  <w:vAlign w:val="center"/>
                </w:tcPr>
                <w:p w14:paraId="757FC6E8">
                  <w:pPr>
                    <w:widowControl/>
                    <w:jc w:val="center"/>
                    <w:rPr>
                      <w:kern w:val="0"/>
                      <w:szCs w:val="21"/>
                    </w:rPr>
                  </w:pPr>
                  <w:r>
                    <w:rPr>
                      <w:kern w:val="0"/>
                      <w:szCs w:val="21"/>
                    </w:rPr>
                    <w:t>二类</w:t>
                  </w:r>
                </w:p>
              </w:tc>
              <w:tc>
                <w:tcPr>
                  <w:tcW w:w="625" w:type="pct"/>
                  <w:shd w:val="clear" w:color="auto" w:fill="auto"/>
                  <w:vAlign w:val="center"/>
                </w:tcPr>
                <w:p w14:paraId="41FEB255">
                  <w:pPr>
                    <w:widowControl/>
                    <w:jc w:val="center"/>
                    <w:rPr>
                      <w:rFonts w:eastAsia="等线"/>
                      <w:kern w:val="0"/>
                      <w:szCs w:val="21"/>
                    </w:rPr>
                  </w:pPr>
                  <w:r>
                    <w:rPr>
                      <w:szCs w:val="21"/>
                    </w:rPr>
                    <w:t>SE</w:t>
                  </w:r>
                </w:p>
              </w:tc>
              <w:tc>
                <w:tcPr>
                  <w:tcW w:w="625" w:type="pct"/>
                  <w:shd w:val="clear" w:color="auto" w:fill="auto"/>
                  <w:noWrap/>
                  <w:vAlign w:val="center"/>
                </w:tcPr>
                <w:p w14:paraId="630C510D">
                  <w:pPr>
                    <w:widowControl/>
                    <w:jc w:val="center"/>
                    <w:rPr>
                      <w:rFonts w:eastAsia="等线"/>
                      <w:kern w:val="0"/>
                      <w:szCs w:val="21"/>
                    </w:rPr>
                  </w:pPr>
                  <w:r>
                    <w:rPr>
                      <w:rFonts w:eastAsia="等线"/>
                      <w:kern w:val="0"/>
                      <w:szCs w:val="21"/>
                    </w:rPr>
                    <w:t>1916</w:t>
                  </w:r>
                </w:p>
              </w:tc>
            </w:tr>
            <w:tr w14:paraId="1B7BE1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94" w:type="pct"/>
                  <w:shd w:val="clear" w:color="auto" w:fill="auto"/>
                  <w:vAlign w:val="center"/>
                </w:tcPr>
                <w:p w14:paraId="6E881A27">
                  <w:pPr>
                    <w:widowControl/>
                    <w:jc w:val="center"/>
                    <w:rPr>
                      <w:kern w:val="0"/>
                      <w:szCs w:val="21"/>
                    </w:rPr>
                  </w:pPr>
                  <w:r>
                    <w:rPr>
                      <w:kern w:val="0"/>
                      <w:szCs w:val="21"/>
                    </w:rPr>
                    <w:t>城南社区</w:t>
                  </w:r>
                </w:p>
              </w:tc>
              <w:tc>
                <w:tcPr>
                  <w:tcW w:w="455" w:type="pct"/>
                  <w:shd w:val="clear" w:color="auto" w:fill="auto"/>
                  <w:vAlign w:val="center"/>
                </w:tcPr>
                <w:p w14:paraId="76604652">
                  <w:pPr>
                    <w:widowControl/>
                    <w:jc w:val="center"/>
                    <w:rPr>
                      <w:rFonts w:eastAsia="等线"/>
                      <w:kern w:val="0"/>
                      <w:szCs w:val="21"/>
                    </w:rPr>
                  </w:pPr>
                  <w:r>
                    <w:rPr>
                      <w:szCs w:val="21"/>
                    </w:rPr>
                    <w:t>4403</w:t>
                  </w:r>
                </w:p>
              </w:tc>
              <w:tc>
                <w:tcPr>
                  <w:tcW w:w="625" w:type="pct"/>
                  <w:shd w:val="clear" w:color="auto" w:fill="auto"/>
                  <w:vAlign w:val="center"/>
                </w:tcPr>
                <w:p w14:paraId="6676B73D">
                  <w:pPr>
                    <w:widowControl/>
                    <w:jc w:val="center"/>
                    <w:rPr>
                      <w:rFonts w:eastAsia="等线"/>
                      <w:kern w:val="0"/>
                      <w:szCs w:val="21"/>
                    </w:rPr>
                  </w:pPr>
                  <w:r>
                    <w:rPr>
                      <w:szCs w:val="21"/>
                    </w:rPr>
                    <w:t>-278</w:t>
                  </w:r>
                </w:p>
              </w:tc>
              <w:tc>
                <w:tcPr>
                  <w:tcW w:w="625" w:type="pct"/>
                  <w:vMerge w:val="continue"/>
                  <w:shd w:val="clear" w:color="auto" w:fill="auto"/>
                  <w:vAlign w:val="center"/>
                </w:tcPr>
                <w:p w14:paraId="73609E50">
                  <w:pPr>
                    <w:jc w:val="center"/>
                    <w:rPr>
                      <w:kern w:val="0"/>
                      <w:szCs w:val="21"/>
                    </w:rPr>
                  </w:pPr>
                </w:p>
              </w:tc>
              <w:tc>
                <w:tcPr>
                  <w:tcW w:w="625" w:type="pct"/>
                  <w:shd w:val="clear" w:color="auto" w:fill="auto"/>
                  <w:vAlign w:val="center"/>
                </w:tcPr>
                <w:p w14:paraId="5CA64644">
                  <w:pPr>
                    <w:widowControl/>
                    <w:jc w:val="center"/>
                    <w:rPr>
                      <w:rFonts w:eastAsia="等线"/>
                      <w:kern w:val="0"/>
                      <w:szCs w:val="21"/>
                    </w:rPr>
                  </w:pPr>
                  <w:r>
                    <w:rPr>
                      <w:rFonts w:eastAsia="等线"/>
                      <w:kern w:val="0"/>
                      <w:szCs w:val="21"/>
                    </w:rPr>
                    <w:t>120</w:t>
                  </w:r>
                </w:p>
              </w:tc>
              <w:tc>
                <w:tcPr>
                  <w:tcW w:w="625" w:type="pct"/>
                  <w:shd w:val="clear" w:color="auto" w:fill="auto"/>
                  <w:vAlign w:val="center"/>
                </w:tcPr>
                <w:p w14:paraId="71E28B6C">
                  <w:pPr>
                    <w:widowControl/>
                    <w:jc w:val="center"/>
                    <w:rPr>
                      <w:kern w:val="0"/>
                      <w:szCs w:val="21"/>
                    </w:rPr>
                  </w:pPr>
                  <w:r>
                    <w:rPr>
                      <w:kern w:val="0"/>
                      <w:szCs w:val="21"/>
                    </w:rPr>
                    <w:t>二类</w:t>
                  </w:r>
                </w:p>
              </w:tc>
              <w:tc>
                <w:tcPr>
                  <w:tcW w:w="625" w:type="pct"/>
                  <w:shd w:val="clear" w:color="auto" w:fill="auto"/>
                  <w:vAlign w:val="center"/>
                </w:tcPr>
                <w:p w14:paraId="1B0B9D95">
                  <w:pPr>
                    <w:widowControl/>
                    <w:jc w:val="center"/>
                    <w:rPr>
                      <w:rFonts w:eastAsia="等线"/>
                      <w:kern w:val="0"/>
                      <w:szCs w:val="21"/>
                    </w:rPr>
                  </w:pPr>
                  <w:r>
                    <w:rPr>
                      <w:szCs w:val="21"/>
                    </w:rPr>
                    <w:t>SE</w:t>
                  </w:r>
                </w:p>
              </w:tc>
              <w:tc>
                <w:tcPr>
                  <w:tcW w:w="625" w:type="pct"/>
                  <w:shd w:val="clear" w:color="auto" w:fill="auto"/>
                  <w:noWrap/>
                  <w:vAlign w:val="center"/>
                </w:tcPr>
                <w:p w14:paraId="27A90D9C">
                  <w:pPr>
                    <w:widowControl/>
                    <w:jc w:val="center"/>
                    <w:rPr>
                      <w:rFonts w:eastAsia="等线"/>
                      <w:kern w:val="0"/>
                      <w:szCs w:val="21"/>
                    </w:rPr>
                  </w:pPr>
                  <w:r>
                    <w:rPr>
                      <w:rFonts w:eastAsia="等线"/>
                      <w:kern w:val="0"/>
                      <w:szCs w:val="21"/>
                    </w:rPr>
                    <w:t>1919</w:t>
                  </w:r>
                </w:p>
              </w:tc>
            </w:tr>
            <w:tr w14:paraId="337C86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94" w:type="pct"/>
                  <w:shd w:val="clear" w:color="auto" w:fill="auto"/>
                  <w:vAlign w:val="center"/>
                </w:tcPr>
                <w:p w14:paraId="50BE6918">
                  <w:pPr>
                    <w:widowControl/>
                    <w:jc w:val="center"/>
                    <w:rPr>
                      <w:kern w:val="0"/>
                      <w:szCs w:val="21"/>
                    </w:rPr>
                  </w:pPr>
                  <w:r>
                    <w:rPr>
                      <w:kern w:val="0"/>
                      <w:szCs w:val="21"/>
                    </w:rPr>
                    <w:t>要武村</w:t>
                  </w:r>
                </w:p>
              </w:tc>
              <w:tc>
                <w:tcPr>
                  <w:tcW w:w="455" w:type="pct"/>
                  <w:shd w:val="clear" w:color="auto" w:fill="auto"/>
                  <w:vAlign w:val="center"/>
                </w:tcPr>
                <w:p w14:paraId="33D291CA">
                  <w:pPr>
                    <w:widowControl/>
                    <w:jc w:val="center"/>
                    <w:rPr>
                      <w:rFonts w:eastAsia="等线"/>
                      <w:kern w:val="0"/>
                      <w:szCs w:val="21"/>
                    </w:rPr>
                  </w:pPr>
                  <w:r>
                    <w:rPr>
                      <w:szCs w:val="21"/>
                    </w:rPr>
                    <w:t>5019</w:t>
                  </w:r>
                </w:p>
              </w:tc>
              <w:tc>
                <w:tcPr>
                  <w:tcW w:w="625" w:type="pct"/>
                  <w:shd w:val="clear" w:color="auto" w:fill="auto"/>
                  <w:vAlign w:val="center"/>
                </w:tcPr>
                <w:p w14:paraId="302FC495">
                  <w:pPr>
                    <w:widowControl/>
                    <w:jc w:val="center"/>
                    <w:rPr>
                      <w:rFonts w:eastAsia="等线"/>
                      <w:kern w:val="0"/>
                      <w:szCs w:val="21"/>
                    </w:rPr>
                  </w:pPr>
                  <w:r>
                    <w:rPr>
                      <w:szCs w:val="21"/>
                    </w:rPr>
                    <w:t>-345</w:t>
                  </w:r>
                </w:p>
              </w:tc>
              <w:tc>
                <w:tcPr>
                  <w:tcW w:w="625" w:type="pct"/>
                  <w:vMerge w:val="continue"/>
                  <w:shd w:val="clear" w:color="auto" w:fill="auto"/>
                  <w:vAlign w:val="center"/>
                </w:tcPr>
                <w:p w14:paraId="33954592">
                  <w:pPr>
                    <w:jc w:val="center"/>
                    <w:rPr>
                      <w:kern w:val="0"/>
                      <w:szCs w:val="21"/>
                    </w:rPr>
                  </w:pPr>
                </w:p>
              </w:tc>
              <w:tc>
                <w:tcPr>
                  <w:tcW w:w="625" w:type="pct"/>
                  <w:shd w:val="clear" w:color="auto" w:fill="auto"/>
                  <w:vAlign w:val="center"/>
                </w:tcPr>
                <w:p w14:paraId="009AC9C9">
                  <w:pPr>
                    <w:widowControl/>
                    <w:jc w:val="center"/>
                    <w:rPr>
                      <w:rFonts w:eastAsia="等线"/>
                      <w:kern w:val="0"/>
                      <w:szCs w:val="21"/>
                    </w:rPr>
                  </w:pPr>
                  <w:r>
                    <w:rPr>
                      <w:szCs w:val="21"/>
                    </w:rPr>
                    <w:t>360</w:t>
                  </w:r>
                </w:p>
              </w:tc>
              <w:tc>
                <w:tcPr>
                  <w:tcW w:w="625" w:type="pct"/>
                  <w:shd w:val="clear" w:color="auto" w:fill="auto"/>
                  <w:vAlign w:val="center"/>
                </w:tcPr>
                <w:p w14:paraId="4D3BCC08">
                  <w:pPr>
                    <w:widowControl/>
                    <w:jc w:val="center"/>
                    <w:rPr>
                      <w:kern w:val="0"/>
                      <w:szCs w:val="21"/>
                    </w:rPr>
                  </w:pPr>
                  <w:r>
                    <w:rPr>
                      <w:kern w:val="0"/>
                      <w:szCs w:val="21"/>
                    </w:rPr>
                    <w:t>二类</w:t>
                  </w:r>
                </w:p>
              </w:tc>
              <w:tc>
                <w:tcPr>
                  <w:tcW w:w="625" w:type="pct"/>
                  <w:shd w:val="clear" w:color="auto" w:fill="auto"/>
                  <w:vAlign w:val="center"/>
                </w:tcPr>
                <w:p w14:paraId="0A0F289A">
                  <w:pPr>
                    <w:widowControl/>
                    <w:jc w:val="center"/>
                    <w:rPr>
                      <w:rFonts w:eastAsia="等线"/>
                      <w:kern w:val="0"/>
                      <w:szCs w:val="21"/>
                    </w:rPr>
                  </w:pPr>
                  <w:r>
                    <w:rPr>
                      <w:szCs w:val="21"/>
                    </w:rPr>
                    <w:t>SE</w:t>
                  </w:r>
                </w:p>
              </w:tc>
              <w:tc>
                <w:tcPr>
                  <w:tcW w:w="625" w:type="pct"/>
                  <w:shd w:val="clear" w:color="auto" w:fill="auto"/>
                  <w:noWrap/>
                  <w:vAlign w:val="center"/>
                </w:tcPr>
                <w:p w14:paraId="029544C9">
                  <w:pPr>
                    <w:widowControl/>
                    <w:jc w:val="center"/>
                    <w:rPr>
                      <w:rFonts w:eastAsia="等线"/>
                      <w:kern w:val="0"/>
                      <w:szCs w:val="21"/>
                    </w:rPr>
                  </w:pPr>
                  <w:r>
                    <w:rPr>
                      <w:rFonts w:eastAsia="等线"/>
                      <w:kern w:val="0"/>
                      <w:szCs w:val="21"/>
                    </w:rPr>
                    <w:t>2123</w:t>
                  </w:r>
                </w:p>
              </w:tc>
            </w:tr>
            <w:tr w14:paraId="66A32B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94" w:type="pct"/>
                  <w:shd w:val="clear" w:color="auto" w:fill="auto"/>
                  <w:vAlign w:val="center"/>
                </w:tcPr>
                <w:p w14:paraId="26BD123A">
                  <w:pPr>
                    <w:widowControl/>
                    <w:jc w:val="center"/>
                    <w:rPr>
                      <w:kern w:val="0"/>
                      <w:szCs w:val="21"/>
                    </w:rPr>
                  </w:pPr>
                  <w:r>
                    <w:rPr>
                      <w:kern w:val="0"/>
                      <w:szCs w:val="21"/>
                    </w:rPr>
                    <w:t>运南社区</w:t>
                  </w:r>
                </w:p>
              </w:tc>
              <w:tc>
                <w:tcPr>
                  <w:tcW w:w="455" w:type="pct"/>
                  <w:shd w:val="clear" w:color="auto" w:fill="auto"/>
                  <w:vAlign w:val="center"/>
                </w:tcPr>
                <w:p w14:paraId="3E710939">
                  <w:pPr>
                    <w:widowControl/>
                    <w:jc w:val="center"/>
                    <w:rPr>
                      <w:szCs w:val="21"/>
                    </w:rPr>
                  </w:pPr>
                  <w:r>
                    <w:rPr>
                      <w:szCs w:val="21"/>
                    </w:rPr>
                    <w:t>4875</w:t>
                  </w:r>
                </w:p>
              </w:tc>
              <w:tc>
                <w:tcPr>
                  <w:tcW w:w="625" w:type="pct"/>
                  <w:shd w:val="clear" w:color="auto" w:fill="auto"/>
                  <w:vAlign w:val="center"/>
                </w:tcPr>
                <w:p w14:paraId="117B947F">
                  <w:pPr>
                    <w:widowControl/>
                    <w:jc w:val="center"/>
                    <w:rPr>
                      <w:szCs w:val="21"/>
                    </w:rPr>
                  </w:pPr>
                  <w:r>
                    <w:rPr>
                      <w:szCs w:val="21"/>
                    </w:rPr>
                    <w:t>3231</w:t>
                  </w:r>
                </w:p>
              </w:tc>
              <w:tc>
                <w:tcPr>
                  <w:tcW w:w="625" w:type="pct"/>
                  <w:vMerge w:val="continue"/>
                  <w:shd w:val="clear" w:color="auto" w:fill="auto"/>
                  <w:vAlign w:val="center"/>
                </w:tcPr>
                <w:p w14:paraId="4CFC75DF">
                  <w:pPr>
                    <w:widowControl/>
                    <w:jc w:val="center"/>
                    <w:rPr>
                      <w:kern w:val="0"/>
                      <w:szCs w:val="21"/>
                    </w:rPr>
                  </w:pPr>
                </w:p>
              </w:tc>
              <w:tc>
                <w:tcPr>
                  <w:tcW w:w="625" w:type="pct"/>
                  <w:shd w:val="clear" w:color="auto" w:fill="auto"/>
                  <w:vAlign w:val="center"/>
                </w:tcPr>
                <w:p w14:paraId="0C42CC86">
                  <w:pPr>
                    <w:widowControl/>
                    <w:jc w:val="center"/>
                    <w:rPr>
                      <w:szCs w:val="21"/>
                    </w:rPr>
                  </w:pPr>
                  <w:r>
                    <w:rPr>
                      <w:szCs w:val="21"/>
                    </w:rPr>
                    <w:t>510</w:t>
                  </w:r>
                </w:p>
              </w:tc>
              <w:tc>
                <w:tcPr>
                  <w:tcW w:w="625" w:type="pct"/>
                  <w:shd w:val="clear" w:color="auto" w:fill="auto"/>
                  <w:vAlign w:val="center"/>
                </w:tcPr>
                <w:p w14:paraId="79ACE25B">
                  <w:pPr>
                    <w:widowControl/>
                    <w:jc w:val="center"/>
                    <w:rPr>
                      <w:kern w:val="0"/>
                      <w:szCs w:val="21"/>
                    </w:rPr>
                  </w:pPr>
                  <w:r>
                    <w:rPr>
                      <w:kern w:val="0"/>
                      <w:szCs w:val="21"/>
                    </w:rPr>
                    <w:t>二类</w:t>
                  </w:r>
                </w:p>
              </w:tc>
              <w:tc>
                <w:tcPr>
                  <w:tcW w:w="625" w:type="pct"/>
                  <w:shd w:val="clear" w:color="auto" w:fill="auto"/>
                  <w:vAlign w:val="center"/>
                </w:tcPr>
                <w:p w14:paraId="7874A74E">
                  <w:pPr>
                    <w:widowControl/>
                    <w:jc w:val="center"/>
                    <w:rPr>
                      <w:szCs w:val="21"/>
                    </w:rPr>
                  </w:pPr>
                  <w:r>
                    <w:rPr>
                      <w:szCs w:val="21"/>
                    </w:rPr>
                    <w:t>NE</w:t>
                  </w:r>
                </w:p>
              </w:tc>
              <w:tc>
                <w:tcPr>
                  <w:tcW w:w="625" w:type="pct"/>
                  <w:shd w:val="clear" w:color="auto" w:fill="auto"/>
                  <w:noWrap/>
                  <w:vAlign w:val="center"/>
                </w:tcPr>
                <w:p w14:paraId="2E434B0E">
                  <w:pPr>
                    <w:widowControl/>
                    <w:jc w:val="center"/>
                    <w:rPr>
                      <w:rFonts w:eastAsia="等线"/>
                      <w:kern w:val="0"/>
                      <w:szCs w:val="21"/>
                    </w:rPr>
                  </w:pPr>
                  <w:r>
                    <w:rPr>
                      <w:szCs w:val="21"/>
                    </w:rPr>
                    <w:t>929</w:t>
                  </w:r>
                </w:p>
              </w:tc>
            </w:tr>
            <w:tr w14:paraId="6644D7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94" w:type="pct"/>
                  <w:shd w:val="clear" w:color="auto" w:fill="auto"/>
                  <w:vAlign w:val="center"/>
                </w:tcPr>
                <w:p w14:paraId="228999E1">
                  <w:pPr>
                    <w:widowControl/>
                    <w:jc w:val="center"/>
                    <w:rPr>
                      <w:kern w:val="0"/>
                      <w:szCs w:val="21"/>
                    </w:rPr>
                  </w:pPr>
                  <w:r>
                    <w:rPr>
                      <w:szCs w:val="21"/>
                    </w:rPr>
                    <w:t>泗阳棉花原种场</w:t>
                  </w:r>
                </w:p>
              </w:tc>
              <w:tc>
                <w:tcPr>
                  <w:tcW w:w="455" w:type="pct"/>
                  <w:shd w:val="clear" w:color="auto" w:fill="auto"/>
                  <w:vAlign w:val="center"/>
                </w:tcPr>
                <w:p w14:paraId="13E10B9B">
                  <w:pPr>
                    <w:widowControl/>
                    <w:jc w:val="center"/>
                    <w:rPr>
                      <w:szCs w:val="21"/>
                    </w:rPr>
                  </w:pPr>
                  <w:r>
                    <w:rPr>
                      <w:szCs w:val="21"/>
                    </w:rPr>
                    <w:t>5102</w:t>
                  </w:r>
                </w:p>
              </w:tc>
              <w:tc>
                <w:tcPr>
                  <w:tcW w:w="625" w:type="pct"/>
                  <w:shd w:val="clear" w:color="auto" w:fill="auto"/>
                  <w:vAlign w:val="center"/>
                </w:tcPr>
                <w:p w14:paraId="3B86FBFF">
                  <w:pPr>
                    <w:widowControl/>
                    <w:jc w:val="center"/>
                    <w:rPr>
                      <w:szCs w:val="21"/>
                    </w:rPr>
                  </w:pPr>
                  <w:r>
                    <w:rPr>
                      <w:szCs w:val="21"/>
                    </w:rPr>
                    <w:t>2812</w:t>
                  </w:r>
                </w:p>
              </w:tc>
              <w:tc>
                <w:tcPr>
                  <w:tcW w:w="625" w:type="pct"/>
                  <w:vMerge w:val="continue"/>
                  <w:shd w:val="clear" w:color="auto" w:fill="auto"/>
                  <w:vAlign w:val="center"/>
                </w:tcPr>
                <w:p w14:paraId="447E3270">
                  <w:pPr>
                    <w:widowControl/>
                    <w:jc w:val="center"/>
                    <w:rPr>
                      <w:kern w:val="0"/>
                      <w:szCs w:val="21"/>
                    </w:rPr>
                  </w:pPr>
                </w:p>
              </w:tc>
              <w:tc>
                <w:tcPr>
                  <w:tcW w:w="625" w:type="pct"/>
                  <w:shd w:val="clear" w:color="auto" w:fill="auto"/>
                  <w:vAlign w:val="center"/>
                </w:tcPr>
                <w:p w14:paraId="3861D37F">
                  <w:pPr>
                    <w:widowControl/>
                    <w:jc w:val="center"/>
                    <w:rPr>
                      <w:szCs w:val="21"/>
                    </w:rPr>
                  </w:pPr>
                  <w:r>
                    <w:rPr>
                      <w:szCs w:val="21"/>
                    </w:rPr>
                    <w:t>760</w:t>
                  </w:r>
                </w:p>
              </w:tc>
              <w:tc>
                <w:tcPr>
                  <w:tcW w:w="625" w:type="pct"/>
                  <w:shd w:val="clear" w:color="auto" w:fill="auto"/>
                  <w:vAlign w:val="center"/>
                </w:tcPr>
                <w:p w14:paraId="1BFB7CB1">
                  <w:pPr>
                    <w:widowControl/>
                    <w:jc w:val="center"/>
                    <w:rPr>
                      <w:kern w:val="0"/>
                      <w:szCs w:val="21"/>
                    </w:rPr>
                  </w:pPr>
                  <w:r>
                    <w:rPr>
                      <w:kern w:val="0"/>
                      <w:szCs w:val="21"/>
                    </w:rPr>
                    <w:t>二类</w:t>
                  </w:r>
                </w:p>
              </w:tc>
              <w:tc>
                <w:tcPr>
                  <w:tcW w:w="625" w:type="pct"/>
                  <w:shd w:val="clear" w:color="auto" w:fill="auto"/>
                  <w:vAlign w:val="center"/>
                </w:tcPr>
                <w:p w14:paraId="19EB45B4">
                  <w:pPr>
                    <w:widowControl/>
                    <w:jc w:val="center"/>
                    <w:rPr>
                      <w:szCs w:val="21"/>
                    </w:rPr>
                  </w:pPr>
                  <w:r>
                    <w:rPr>
                      <w:szCs w:val="21"/>
                    </w:rPr>
                    <w:t>E</w:t>
                  </w:r>
                </w:p>
              </w:tc>
              <w:tc>
                <w:tcPr>
                  <w:tcW w:w="625" w:type="pct"/>
                  <w:shd w:val="clear" w:color="auto" w:fill="auto"/>
                  <w:noWrap/>
                  <w:vAlign w:val="center"/>
                </w:tcPr>
                <w:p w14:paraId="71DDD517">
                  <w:pPr>
                    <w:widowControl/>
                    <w:jc w:val="center"/>
                    <w:rPr>
                      <w:rFonts w:eastAsia="等线"/>
                      <w:kern w:val="0"/>
                      <w:szCs w:val="21"/>
                    </w:rPr>
                  </w:pPr>
                  <w:r>
                    <w:rPr>
                      <w:rFonts w:eastAsia="等线"/>
                      <w:kern w:val="0"/>
                      <w:szCs w:val="21"/>
                    </w:rPr>
                    <w:t>572</w:t>
                  </w:r>
                </w:p>
              </w:tc>
            </w:tr>
          </w:tbl>
          <w:p w14:paraId="7DC9121F">
            <w:pPr>
              <w:pStyle w:val="296"/>
              <w:spacing w:line="240" w:lineRule="auto"/>
              <w:ind w:firstLine="361"/>
              <w:rPr>
                <w:b/>
                <w:sz w:val="18"/>
                <w:szCs w:val="18"/>
              </w:rPr>
            </w:pPr>
            <w:r>
              <w:rPr>
                <w:b/>
                <w:sz w:val="18"/>
                <w:szCs w:val="18"/>
              </w:rPr>
              <w:t>注：本项目大气环境保护目标以118.60742°E，33.66986°N作为原点（0,0）点</w:t>
            </w:r>
            <w:r>
              <w:rPr>
                <w:rFonts w:hint="eastAsia"/>
                <w:b/>
                <w:sz w:val="18"/>
                <w:szCs w:val="18"/>
              </w:rPr>
              <w:t>；城厢中学、界湖花园、毛庄相对污染源距离分别为560米、390米、1250米。</w:t>
            </w:r>
          </w:p>
          <w:p w14:paraId="52E055E1">
            <w:pPr>
              <w:pStyle w:val="79"/>
              <w:spacing w:before="0" w:after="0"/>
              <w:rPr>
                <w:rFonts w:cs="Times New Roman"/>
                <w:szCs w:val="24"/>
              </w:rPr>
            </w:pPr>
            <w:r>
              <w:rPr>
                <w:rFonts w:cs="Times New Roman"/>
                <w:szCs w:val="24"/>
              </w:rPr>
              <w:t>2、地表水环境</w:t>
            </w:r>
          </w:p>
          <w:p w14:paraId="17ED4D68">
            <w:pPr>
              <w:pStyle w:val="79"/>
              <w:spacing w:before="0" w:after="0"/>
              <w:ind w:firstLine="480" w:firstLineChars="200"/>
              <w:jc w:val="both"/>
              <w:rPr>
                <w:rFonts w:cs="Times New Roman"/>
                <w:b w:val="0"/>
                <w:bCs/>
                <w:szCs w:val="24"/>
              </w:rPr>
            </w:pPr>
            <w:r>
              <w:rPr>
                <w:rFonts w:cs="Times New Roman"/>
                <w:b w:val="0"/>
                <w:bCs/>
                <w:szCs w:val="24"/>
              </w:rPr>
              <w:t>国望高科厂界紧邻成子河，详细信息见下表。</w:t>
            </w:r>
          </w:p>
          <w:p w14:paraId="7AADAB6E">
            <w:pPr>
              <w:pStyle w:val="79"/>
              <w:spacing w:before="0" w:after="0" w:line="240" w:lineRule="auto"/>
              <w:jc w:val="center"/>
              <w:rPr>
                <w:rFonts w:cs="Times New Roman"/>
                <w:szCs w:val="24"/>
              </w:rPr>
            </w:pPr>
            <w:r>
              <w:rPr>
                <w:rFonts w:cs="Times New Roman"/>
                <w:szCs w:val="24"/>
              </w:rPr>
              <w:t>表3-3 地表水环境保护目标表</w:t>
            </w:r>
          </w:p>
          <w:tbl>
            <w:tblPr>
              <w:tblStyle w:val="9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1861"/>
              <w:gridCol w:w="1011"/>
              <w:gridCol w:w="1352"/>
              <w:gridCol w:w="3437"/>
            </w:tblGrid>
            <w:tr w14:paraId="0C953C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94" w:type="pct"/>
                  <w:vAlign w:val="center"/>
                </w:tcPr>
                <w:p w14:paraId="44E5988E">
                  <w:pPr>
                    <w:widowControl/>
                    <w:jc w:val="center"/>
                    <w:rPr>
                      <w:b/>
                      <w:bCs/>
                      <w:kern w:val="0"/>
                      <w:szCs w:val="21"/>
                    </w:rPr>
                  </w:pPr>
                  <w:r>
                    <w:rPr>
                      <w:b/>
                      <w:bCs/>
                      <w:kern w:val="0"/>
                      <w:szCs w:val="21"/>
                    </w:rPr>
                    <w:t>类别</w:t>
                  </w:r>
                </w:p>
              </w:tc>
              <w:tc>
                <w:tcPr>
                  <w:tcW w:w="1046" w:type="pct"/>
                  <w:vAlign w:val="center"/>
                </w:tcPr>
                <w:p w14:paraId="1AB48600">
                  <w:pPr>
                    <w:widowControl/>
                    <w:jc w:val="center"/>
                    <w:rPr>
                      <w:b/>
                      <w:bCs/>
                      <w:kern w:val="0"/>
                      <w:szCs w:val="21"/>
                    </w:rPr>
                  </w:pPr>
                  <w:r>
                    <w:rPr>
                      <w:b/>
                      <w:bCs/>
                      <w:kern w:val="0"/>
                      <w:szCs w:val="21"/>
                    </w:rPr>
                    <w:t>环境保护目标</w:t>
                  </w:r>
                </w:p>
              </w:tc>
              <w:tc>
                <w:tcPr>
                  <w:tcW w:w="568" w:type="pct"/>
                  <w:vAlign w:val="center"/>
                </w:tcPr>
                <w:p w14:paraId="4411A408">
                  <w:pPr>
                    <w:widowControl/>
                    <w:jc w:val="center"/>
                    <w:rPr>
                      <w:b/>
                      <w:bCs/>
                      <w:kern w:val="0"/>
                      <w:szCs w:val="21"/>
                    </w:rPr>
                  </w:pPr>
                  <w:r>
                    <w:rPr>
                      <w:b/>
                      <w:bCs/>
                      <w:kern w:val="0"/>
                      <w:szCs w:val="21"/>
                    </w:rPr>
                    <w:t>方位</w:t>
                  </w:r>
                </w:p>
              </w:tc>
              <w:tc>
                <w:tcPr>
                  <w:tcW w:w="760" w:type="pct"/>
                  <w:vAlign w:val="center"/>
                </w:tcPr>
                <w:p w14:paraId="66245D00">
                  <w:pPr>
                    <w:widowControl/>
                    <w:jc w:val="center"/>
                    <w:rPr>
                      <w:b/>
                      <w:bCs/>
                      <w:kern w:val="0"/>
                      <w:szCs w:val="21"/>
                    </w:rPr>
                  </w:pPr>
                  <w:r>
                    <w:rPr>
                      <w:b/>
                      <w:bCs/>
                      <w:kern w:val="0"/>
                      <w:szCs w:val="21"/>
                    </w:rPr>
                    <w:t>距离（m）</w:t>
                  </w:r>
                </w:p>
              </w:tc>
              <w:tc>
                <w:tcPr>
                  <w:tcW w:w="1932" w:type="pct"/>
                  <w:vAlign w:val="center"/>
                </w:tcPr>
                <w:p w14:paraId="4E2599C3">
                  <w:pPr>
                    <w:widowControl/>
                    <w:jc w:val="center"/>
                    <w:rPr>
                      <w:b/>
                      <w:bCs/>
                      <w:kern w:val="0"/>
                      <w:szCs w:val="21"/>
                    </w:rPr>
                  </w:pPr>
                  <w:r>
                    <w:rPr>
                      <w:b/>
                      <w:bCs/>
                      <w:kern w:val="0"/>
                      <w:szCs w:val="21"/>
                    </w:rPr>
                    <w:t>功能要求及保护级别</w:t>
                  </w:r>
                </w:p>
              </w:tc>
            </w:tr>
            <w:tr w14:paraId="25535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94" w:type="pct"/>
                  <w:vMerge w:val="restart"/>
                  <w:vAlign w:val="center"/>
                </w:tcPr>
                <w:p w14:paraId="2286AE98">
                  <w:pPr>
                    <w:widowControl/>
                    <w:jc w:val="center"/>
                    <w:rPr>
                      <w:kern w:val="0"/>
                      <w:szCs w:val="21"/>
                    </w:rPr>
                  </w:pPr>
                  <w:r>
                    <w:rPr>
                      <w:kern w:val="0"/>
                      <w:szCs w:val="21"/>
                    </w:rPr>
                    <w:t>地表水环境</w:t>
                  </w:r>
                </w:p>
              </w:tc>
              <w:tc>
                <w:tcPr>
                  <w:tcW w:w="1046" w:type="pct"/>
                  <w:vAlign w:val="center"/>
                </w:tcPr>
                <w:p w14:paraId="10CD937C">
                  <w:pPr>
                    <w:widowControl/>
                    <w:jc w:val="center"/>
                    <w:rPr>
                      <w:kern w:val="0"/>
                      <w:szCs w:val="21"/>
                    </w:rPr>
                  </w:pPr>
                  <w:r>
                    <w:rPr>
                      <w:rFonts w:hint="eastAsia"/>
                      <w:kern w:val="0"/>
                      <w:szCs w:val="21"/>
                    </w:rPr>
                    <w:t>黄河故道（原废黄河）</w:t>
                  </w:r>
                </w:p>
              </w:tc>
              <w:tc>
                <w:tcPr>
                  <w:tcW w:w="568" w:type="pct"/>
                  <w:vAlign w:val="center"/>
                </w:tcPr>
                <w:p w14:paraId="3A97DBDB">
                  <w:pPr>
                    <w:widowControl/>
                    <w:jc w:val="center"/>
                    <w:rPr>
                      <w:rFonts w:eastAsia="等线"/>
                      <w:kern w:val="0"/>
                      <w:szCs w:val="21"/>
                    </w:rPr>
                  </w:pPr>
                  <w:r>
                    <w:rPr>
                      <w:rFonts w:eastAsia="等线"/>
                      <w:kern w:val="0"/>
                      <w:szCs w:val="21"/>
                    </w:rPr>
                    <w:t>N</w:t>
                  </w:r>
                </w:p>
              </w:tc>
              <w:tc>
                <w:tcPr>
                  <w:tcW w:w="760" w:type="pct"/>
                  <w:vAlign w:val="center"/>
                </w:tcPr>
                <w:p w14:paraId="3C1AE942">
                  <w:pPr>
                    <w:widowControl/>
                    <w:jc w:val="center"/>
                    <w:rPr>
                      <w:rFonts w:eastAsia="等线"/>
                      <w:kern w:val="0"/>
                      <w:szCs w:val="21"/>
                    </w:rPr>
                  </w:pPr>
                  <w:r>
                    <w:rPr>
                      <w:rFonts w:eastAsia="等线"/>
                      <w:kern w:val="0"/>
                      <w:szCs w:val="21"/>
                    </w:rPr>
                    <w:t>20</w:t>
                  </w:r>
                </w:p>
              </w:tc>
              <w:tc>
                <w:tcPr>
                  <w:tcW w:w="1932" w:type="pct"/>
                  <w:vMerge w:val="restart"/>
                  <w:vAlign w:val="center"/>
                </w:tcPr>
                <w:p w14:paraId="3EB100BA">
                  <w:pPr>
                    <w:widowControl/>
                    <w:jc w:val="center"/>
                    <w:rPr>
                      <w:kern w:val="0"/>
                      <w:szCs w:val="21"/>
                    </w:rPr>
                  </w:pPr>
                  <w:r>
                    <w:rPr>
                      <w:kern w:val="0"/>
                      <w:szCs w:val="21"/>
                    </w:rPr>
                    <w:t>《地表水环境质量标准》（GB3838-2002）III类</w:t>
                  </w:r>
                </w:p>
              </w:tc>
            </w:tr>
            <w:tr w14:paraId="56AA6D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94" w:type="pct"/>
                  <w:vMerge w:val="continue"/>
                  <w:vAlign w:val="center"/>
                </w:tcPr>
                <w:p w14:paraId="41878D73">
                  <w:pPr>
                    <w:widowControl/>
                    <w:jc w:val="left"/>
                    <w:rPr>
                      <w:kern w:val="0"/>
                      <w:szCs w:val="21"/>
                    </w:rPr>
                  </w:pPr>
                </w:p>
              </w:tc>
              <w:tc>
                <w:tcPr>
                  <w:tcW w:w="1046" w:type="pct"/>
                  <w:vAlign w:val="center"/>
                </w:tcPr>
                <w:p w14:paraId="75A638EE">
                  <w:pPr>
                    <w:widowControl/>
                    <w:jc w:val="center"/>
                    <w:rPr>
                      <w:kern w:val="0"/>
                      <w:szCs w:val="21"/>
                    </w:rPr>
                  </w:pPr>
                  <w:r>
                    <w:rPr>
                      <w:kern w:val="0"/>
                      <w:szCs w:val="21"/>
                    </w:rPr>
                    <w:t>成子河</w:t>
                  </w:r>
                </w:p>
              </w:tc>
              <w:tc>
                <w:tcPr>
                  <w:tcW w:w="568" w:type="pct"/>
                  <w:vAlign w:val="center"/>
                </w:tcPr>
                <w:p w14:paraId="659140B0">
                  <w:pPr>
                    <w:widowControl/>
                    <w:jc w:val="center"/>
                    <w:rPr>
                      <w:rFonts w:eastAsia="等线"/>
                      <w:kern w:val="0"/>
                      <w:szCs w:val="21"/>
                    </w:rPr>
                  </w:pPr>
                  <w:r>
                    <w:rPr>
                      <w:rFonts w:eastAsia="等线"/>
                      <w:kern w:val="0"/>
                      <w:szCs w:val="21"/>
                    </w:rPr>
                    <w:t>E</w:t>
                  </w:r>
                </w:p>
              </w:tc>
              <w:tc>
                <w:tcPr>
                  <w:tcW w:w="760" w:type="pct"/>
                  <w:vAlign w:val="center"/>
                </w:tcPr>
                <w:p w14:paraId="0E434472">
                  <w:pPr>
                    <w:widowControl/>
                    <w:jc w:val="center"/>
                    <w:rPr>
                      <w:rFonts w:eastAsia="等线"/>
                      <w:kern w:val="0"/>
                      <w:szCs w:val="21"/>
                    </w:rPr>
                  </w:pPr>
                  <w:r>
                    <w:rPr>
                      <w:rFonts w:eastAsia="等线"/>
                      <w:kern w:val="0"/>
                      <w:szCs w:val="21"/>
                    </w:rPr>
                    <w:t>10</w:t>
                  </w:r>
                </w:p>
              </w:tc>
              <w:tc>
                <w:tcPr>
                  <w:tcW w:w="1932" w:type="pct"/>
                  <w:vMerge w:val="continue"/>
                  <w:vAlign w:val="center"/>
                </w:tcPr>
                <w:p w14:paraId="6E9B17CF">
                  <w:pPr>
                    <w:widowControl/>
                    <w:jc w:val="left"/>
                    <w:rPr>
                      <w:kern w:val="0"/>
                      <w:szCs w:val="21"/>
                    </w:rPr>
                  </w:pPr>
                </w:p>
              </w:tc>
            </w:tr>
          </w:tbl>
          <w:p w14:paraId="49D19A01">
            <w:pPr>
              <w:pStyle w:val="79"/>
              <w:spacing w:before="0" w:after="0" w:line="240" w:lineRule="auto"/>
              <w:jc w:val="center"/>
              <w:rPr>
                <w:rFonts w:cs="Times New Roman"/>
              </w:rPr>
            </w:pPr>
          </w:p>
          <w:p w14:paraId="4E0C4AE2">
            <w:pPr>
              <w:pStyle w:val="79"/>
              <w:spacing w:before="0" w:after="0"/>
              <w:rPr>
                <w:rFonts w:cs="Times New Roman"/>
                <w:szCs w:val="24"/>
              </w:rPr>
            </w:pPr>
            <w:r>
              <w:rPr>
                <w:rFonts w:cs="Times New Roman"/>
                <w:szCs w:val="24"/>
              </w:rPr>
              <w:t>3、声环境</w:t>
            </w:r>
          </w:p>
          <w:p w14:paraId="01D28851">
            <w:pPr>
              <w:pStyle w:val="76"/>
              <w:ind w:firstLine="480"/>
            </w:pPr>
            <w:r>
              <w:rPr>
                <w:rFonts w:hint="eastAsia"/>
              </w:rPr>
              <w:t>国望高科</w:t>
            </w:r>
            <w:r>
              <w:t>厂界外50m范围内有声环境保护目标，具体见下表。</w:t>
            </w:r>
          </w:p>
          <w:p w14:paraId="1EAE27C0">
            <w:pPr>
              <w:pStyle w:val="79"/>
              <w:spacing w:before="0" w:after="0" w:line="240" w:lineRule="auto"/>
              <w:jc w:val="center"/>
              <w:rPr>
                <w:rFonts w:cs="Times New Roman"/>
                <w:szCs w:val="24"/>
              </w:rPr>
            </w:pPr>
            <w:r>
              <w:rPr>
                <w:rFonts w:cs="Times New Roman"/>
                <w:szCs w:val="24"/>
              </w:rPr>
              <w:t>表3-4声环境保护目标表</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2038"/>
              <w:gridCol w:w="1431"/>
              <w:gridCol w:w="929"/>
              <w:gridCol w:w="1061"/>
              <w:gridCol w:w="2631"/>
            </w:tblGrid>
            <w:tr w14:paraId="1718B3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53" w:type="pct"/>
                  <w:shd w:val="clear" w:color="auto" w:fill="auto"/>
                  <w:vAlign w:val="center"/>
                </w:tcPr>
                <w:p w14:paraId="04E7E531">
                  <w:pPr>
                    <w:widowControl/>
                    <w:jc w:val="center"/>
                    <w:rPr>
                      <w:rFonts w:eastAsiaTheme="majorEastAsia"/>
                      <w:b/>
                      <w:bCs/>
                      <w:kern w:val="0"/>
                      <w:szCs w:val="21"/>
                    </w:rPr>
                  </w:pPr>
                  <w:r>
                    <w:rPr>
                      <w:rFonts w:eastAsiaTheme="majorEastAsia"/>
                      <w:b/>
                      <w:bCs/>
                      <w:kern w:val="0"/>
                      <w:szCs w:val="21"/>
                    </w:rPr>
                    <w:t>类别</w:t>
                  </w:r>
                </w:p>
              </w:tc>
              <w:tc>
                <w:tcPr>
                  <w:tcW w:w="1145" w:type="pct"/>
                  <w:shd w:val="clear" w:color="auto" w:fill="auto"/>
                  <w:vAlign w:val="center"/>
                </w:tcPr>
                <w:p w14:paraId="2BAA8921">
                  <w:pPr>
                    <w:widowControl/>
                    <w:jc w:val="center"/>
                    <w:rPr>
                      <w:rFonts w:eastAsiaTheme="majorEastAsia"/>
                      <w:b/>
                      <w:bCs/>
                      <w:kern w:val="0"/>
                      <w:szCs w:val="21"/>
                    </w:rPr>
                  </w:pPr>
                  <w:r>
                    <w:rPr>
                      <w:rFonts w:eastAsiaTheme="majorEastAsia"/>
                      <w:b/>
                      <w:bCs/>
                      <w:kern w:val="0"/>
                      <w:szCs w:val="21"/>
                    </w:rPr>
                    <w:t>环境保护目标</w:t>
                  </w:r>
                </w:p>
              </w:tc>
              <w:tc>
                <w:tcPr>
                  <w:tcW w:w="804" w:type="pct"/>
                  <w:shd w:val="clear" w:color="auto" w:fill="auto"/>
                  <w:vAlign w:val="center"/>
                </w:tcPr>
                <w:p w14:paraId="483E0A67">
                  <w:pPr>
                    <w:widowControl/>
                    <w:jc w:val="center"/>
                    <w:rPr>
                      <w:rFonts w:eastAsiaTheme="majorEastAsia"/>
                      <w:b/>
                      <w:bCs/>
                      <w:kern w:val="0"/>
                      <w:szCs w:val="21"/>
                    </w:rPr>
                  </w:pPr>
                  <w:r>
                    <w:rPr>
                      <w:rFonts w:eastAsiaTheme="majorEastAsia"/>
                      <w:b/>
                      <w:bCs/>
                      <w:kern w:val="0"/>
                      <w:szCs w:val="21"/>
                    </w:rPr>
                    <w:t>方位</w:t>
                  </w:r>
                </w:p>
              </w:tc>
              <w:tc>
                <w:tcPr>
                  <w:tcW w:w="522" w:type="pct"/>
                  <w:shd w:val="clear" w:color="auto" w:fill="auto"/>
                  <w:vAlign w:val="center"/>
                </w:tcPr>
                <w:p w14:paraId="73B3070B">
                  <w:pPr>
                    <w:widowControl/>
                    <w:jc w:val="center"/>
                    <w:rPr>
                      <w:rFonts w:eastAsiaTheme="majorEastAsia"/>
                      <w:b/>
                      <w:bCs/>
                      <w:kern w:val="0"/>
                      <w:szCs w:val="21"/>
                    </w:rPr>
                  </w:pPr>
                  <w:r>
                    <w:rPr>
                      <w:rFonts w:eastAsiaTheme="majorEastAsia"/>
                      <w:b/>
                      <w:bCs/>
                      <w:kern w:val="0"/>
                      <w:szCs w:val="21"/>
                    </w:rPr>
                    <w:t>距离（m）</w:t>
                  </w:r>
                </w:p>
              </w:tc>
              <w:tc>
                <w:tcPr>
                  <w:tcW w:w="596" w:type="pct"/>
                  <w:shd w:val="clear" w:color="auto" w:fill="auto"/>
                  <w:vAlign w:val="center"/>
                </w:tcPr>
                <w:p w14:paraId="1BD5232C">
                  <w:pPr>
                    <w:widowControl/>
                    <w:jc w:val="center"/>
                    <w:rPr>
                      <w:rFonts w:eastAsiaTheme="majorEastAsia"/>
                      <w:b/>
                      <w:bCs/>
                      <w:kern w:val="0"/>
                      <w:szCs w:val="21"/>
                    </w:rPr>
                  </w:pPr>
                  <w:r>
                    <w:rPr>
                      <w:rFonts w:eastAsiaTheme="majorEastAsia"/>
                      <w:b/>
                      <w:bCs/>
                      <w:kern w:val="0"/>
                      <w:szCs w:val="21"/>
                    </w:rPr>
                    <w:t>规模（人）</w:t>
                  </w:r>
                </w:p>
              </w:tc>
              <w:tc>
                <w:tcPr>
                  <w:tcW w:w="1478" w:type="pct"/>
                  <w:shd w:val="clear" w:color="auto" w:fill="auto"/>
                  <w:vAlign w:val="center"/>
                </w:tcPr>
                <w:p w14:paraId="4AA0673F">
                  <w:pPr>
                    <w:widowControl/>
                    <w:jc w:val="center"/>
                    <w:rPr>
                      <w:rFonts w:eastAsiaTheme="majorEastAsia"/>
                      <w:b/>
                      <w:bCs/>
                      <w:kern w:val="0"/>
                      <w:szCs w:val="21"/>
                    </w:rPr>
                  </w:pPr>
                  <w:r>
                    <w:rPr>
                      <w:rFonts w:eastAsiaTheme="majorEastAsia"/>
                      <w:b/>
                      <w:bCs/>
                      <w:kern w:val="0"/>
                      <w:szCs w:val="21"/>
                    </w:rPr>
                    <w:t>功能要求及保护级别</w:t>
                  </w:r>
                </w:p>
              </w:tc>
            </w:tr>
            <w:tr w14:paraId="13798D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453" w:type="pct"/>
                  <w:vMerge w:val="restart"/>
                  <w:shd w:val="clear" w:color="auto" w:fill="auto"/>
                  <w:vAlign w:val="center"/>
                </w:tcPr>
                <w:p w14:paraId="6ED87A42">
                  <w:pPr>
                    <w:widowControl/>
                    <w:jc w:val="center"/>
                    <w:rPr>
                      <w:rFonts w:eastAsiaTheme="majorEastAsia"/>
                      <w:kern w:val="0"/>
                      <w:szCs w:val="21"/>
                    </w:rPr>
                  </w:pPr>
                  <w:r>
                    <w:rPr>
                      <w:rFonts w:eastAsiaTheme="majorEastAsia"/>
                      <w:kern w:val="0"/>
                      <w:szCs w:val="21"/>
                    </w:rPr>
                    <w:t>声环境</w:t>
                  </w:r>
                </w:p>
              </w:tc>
              <w:tc>
                <w:tcPr>
                  <w:tcW w:w="1145" w:type="pct"/>
                  <w:shd w:val="clear" w:color="auto" w:fill="auto"/>
                  <w:vAlign w:val="center"/>
                </w:tcPr>
                <w:p w14:paraId="57B58BE7">
                  <w:pPr>
                    <w:widowControl/>
                    <w:jc w:val="center"/>
                    <w:rPr>
                      <w:rFonts w:eastAsiaTheme="majorEastAsia"/>
                      <w:kern w:val="0"/>
                      <w:szCs w:val="21"/>
                    </w:rPr>
                  </w:pPr>
                  <w:r>
                    <w:rPr>
                      <w:rFonts w:eastAsiaTheme="majorEastAsia"/>
                      <w:kern w:val="0"/>
                      <w:szCs w:val="21"/>
                    </w:rPr>
                    <w:t>城厢中学</w:t>
                  </w:r>
                </w:p>
              </w:tc>
              <w:tc>
                <w:tcPr>
                  <w:tcW w:w="804" w:type="pct"/>
                  <w:shd w:val="clear" w:color="auto" w:fill="auto"/>
                  <w:vAlign w:val="center"/>
                </w:tcPr>
                <w:p w14:paraId="55DB9C4B">
                  <w:pPr>
                    <w:widowControl/>
                    <w:jc w:val="center"/>
                    <w:rPr>
                      <w:rFonts w:eastAsiaTheme="majorEastAsia"/>
                      <w:kern w:val="0"/>
                      <w:szCs w:val="21"/>
                    </w:rPr>
                  </w:pPr>
                  <w:r>
                    <w:rPr>
                      <w:rFonts w:eastAsiaTheme="majorEastAsia"/>
                      <w:kern w:val="0"/>
                      <w:szCs w:val="21"/>
                    </w:rPr>
                    <w:t>SE</w:t>
                  </w:r>
                </w:p>
              </w:tc>
              <w:tc>
                <w:tcPr>
                  <w:tcW w:w="522" w:type="pct"/>
                  <w:shd w:val="clear" w:color="auto" w:fill="auto"/>
                  <w:noWrap/>
                  <w:vAlign w:val="center"/>
                </w:tcPr>
                <w:p w14:paraId="5A3BCF4E">
                  <w:pPr>
                    <w:widowControl/>
                    <w:jc w:val="center"/>
                    <w:rPr>
                      <w:rFonts w:eastAsiaTheme="majorEastAsia"/>
                      <w:kern w:val="0"/>
                      <w:szCs w:val="21"/>
                    </w:rPr>
                  </w:pPr>
                  <w:r>
                    <w:rPr>
                      <w:rFonts w:eastAsiaTheme="majorEastAsia"/>
                      <w:kern w:val="0"/>
                      <w:szCs w:val="21"/>
                    </w:rPr>
                    <w:t>50</w:t>
                  </w:r>
                </w:p>
              </w:tc>
              <w:tc>
                <w:tcPr>
                  <w:tcW w:w="596" w:type="pct"/>
                  <w:shd w:val="clear" w:color="auto" w:fill="auto"/>
                  <w:vAlign w:val="center"/>
                </w:tcPr>
                <w:p w14:paraId="0113114B">
                  <w:pPr>
                    <w:widowControl/>
                    <w:jc w:val="center"/>
                    <w:rPr>
                      <w:rFonts w:eastAsiaTheme="majorEastAsia"/>
                      <w:kern w:val="0"/>
                      <w:szCs w:val="21"/>
                    </w:rPr>
                  </w:pPr>
                  <w:r>
                    <w:rPr>
                      <w:rFonts w:eastAsiaTheme="majorEastAsia"/>
                      <w:kern w:val="0"/>
                      <w:szCs w:val="21"/>
                    </w:rPr>
                    <w:t>600</w:t>
                  </w:r>
                </w:p>
              </w:tc>
              <w:tc>
                <w:tcPr>
                  <w:tcW w:w="1478" w:type="pct"/>
                  <w:vMerge w:val="restart"/>
                  <w:shd w:val="clear" w:color="auto" w:fill="auto"/>
                  <w:vAlign w:val="center"/>
                </w:tcPr>
                <w:p w14:paraId="1F1D6D79">
                  <w:pPr>
                    <w:widowControl/>
                    <w:jc w:val="center"/>
                    <w:rPr>
                      <w:rFonts w:eastAsiaTheme="majorEastAsia"/>
                      <w:kern w:val="0"/>
                      <w:szCs w:val="21"/>
                    </w:rPr>
                  </w:pPr>
                  <w:r>
                    <w:rPr>
                      <w:rFonts w:eastAsiaTheme="majorEastAsia"/>
                      <w:kern w:val="0"/>
                      <w:szCs w:val="21"/>
                    </w:rPr>
                    <w:t>《声环境质量标准》（GB3096-2008）中的2类标准</w:t>
                  </w:r>
                </w:p>
              </w:tc>
            </w:tr>
            <w:tr w14:paraId="02911B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3" w:type="pct"/>
                  <w:vMerge w:val="continue"/>
                  <w:vAlign w:val="center"/>
                </w:tcPr>
                <w:p w14:paraId="4E0D85F0">
                  <w:pPr>
                    <w:widowControl/>
                    <w:jc w:val="left"/>
                    <w:rPr>
                      <w:rFonts w:eastAsiaTheme="majorEastAsia"/>
                      <w:kern w:val="0"/>
                      <w:szCs w:val="21"/>
                    </w:rPr>
                  </w:pPr>
                </w:p>
              </w:tc>
              <w:tc>
                <w:tcPr>
                  <w:tcW w:w="1145" w:type="pct"/>
                  <w:shd w:val="clear" w:color="auto" w:fill="auto"/>
                  <w:vAlign w:val="center"/>
                </w:tcPr>
                <w:p w14:paraId="2A346422">
                  <w:pPr>
                    <w:widowControl/>
                    <w:jc w:val="center"/>
                    <w:rPr>
                      <w:rFonts w:eastAsiaTheme="majorEastAsia"/>
                      <w:kern w:val="0"/>
                      <w:szCs w:val="21"/>
                    </w:rPr>
                  </w:pPr>
                  <w:r>
                    <w:rPr>
                      <w:rFonts w:eastAsiaTheme="majorEastAsia"/>
                      <w:kern w:val="0"/>
                      <w:szCs w:val="21"/>
                    </w:rPr>
                    <w:t>界湖花园</w:t>
                  </w:r>
                </w:p>
              </w:tc>
              <w:tc>
                <w:tcPr>
                  <w:tcW w:w="804" w:type="pct"/>
                  <w:shd w:val="clear" w:color="auto" w:fill="auto"/>
                  <w:vAlign w:val="center"/>
                </w:tcPr>
                <w:p w14:paraId="51B16719">
                  <w:pPr>
                    <w:widowControl/>
                    <w:jc w:val="center"/>
                    <w:rPr>
                      <w:rFonts w:eastAsiaTheme="majorEastAsia"/>
                      <w:kern w:val="0"/>
                      <w:szCs w:val="21"/>
                    </w:rPr>
                  </w:pPr>
                  <w:r>
                    <w:rPr>
                      <w:rFonts w:eastAsiaTheme="majorEastAsia"/>
                      <w:kern w:val="0"/>
                      <w:szCs w:val="21"/>
                    </w:rPr>
                    <w:t>WS</w:t>
                  </w:r>
                </w:p>
              </w:tc>
              <w:tc>
                <w:tcPr>
                  <w:tcW w:w="522" w:type="pct"/>
                  <w:shd w:val="clear" w:color="auto" w:fill="auto"/>
                  <w:vAlign w:val="center"/>
                </w:tcPr>
                <w:p w14:paraId="1D005155">
                  <w:pPr>
                    <w:widowControl/>
                    <w:jc w:val="center"/>
                    <w:rPr>
                      <w:rFonts w:eastAsiaTheme="majorEastAsia"/>
                      <w:kern w:val="0"/>
                      <w:szCs w:val="21"/>
                    </w:rPr>
                  </w:pPr>
                  <w:r>
                    <w:rPr>
                      <w:rFonts w:eastAsiaTheme="majorEastAsia"/>
                      <w:kern w:val="0"/>
                      <w:szCs w:val="21"/>
                    </w:rPr>
                    <w:t>紧邻</w:t>
                  </w:r>
                </w:p>
              </w:tc>
              <w:tc>
                <w:tcPr>
                  <w:tcW w:w="596" w:type="pct"/>
                  <w:shd w:val="clear" w:color="auto" w:fill="auto"/>
                  <w:vAlign w:val="center"/>
                </w:tcPr>
                <w:p w14:paraId="13B97E26">
                  <w:pPr>
                    <w:widowControl/>
                    <w:jc w:val="center"/>
                    <w:rPr>
                      <w:rFonts w:eastAsiaTheme="majorEastAsia"/>
                      <w:kern w:val="0"/>
                      <w:szCs w:val="21"/>
                    </w:rPr>
                  </w:pPr>
                  <w:r>
                    <w:rPr>
                      <w:rFonts w:eastAsiaTheme="majorEastAsia"/>
                      <w:kern w:val="0"/>
                      <w:szCs w:val="21"/>
                    </w:rPr>
                    <w:t>400</w:t>
                  </w:r>
                </w:p>
              </w:tc>
              <w:tc>
                <w:tcPr>
                  <w:tcW w:w="1478" w:type="pct"/>
                  <w:vMerge w:val="continue"/>
                  <w:vAlign w:val="center"/>
                </w:tcPr>
                <w:p w14:paraId="423CE3E7">
                  <w:pPr>
                    <w:widowControl/>
                    <w:jc w:val="left"/>
                    <w:rPr>
                      <w:rFonts w:eastAsiaTheme="majorEastAsia"/>
                      <w:kern w:val="0"/>
                      <w:szCs w:val="21"/>
                    </w:rPr>
                  </w:pPr>
                </w:p>
              </w:tc>
            </w:tr>
            <w:tr w14:paraId="6D56E2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453" w:type="pct"/>
                  <w:vMerge w:val="continue"/>
                  <w:vAlign w:val="center"/>
                </w:tcPr>
                <w:p w14:paraId="637AE224">
                  <w:pPr>
                    <w:widowControl/>
                    <w:jc w:val="left"/>
                    <w:rPr>
                      <w:rFonts w:eastAsiaTheme="majorEastAsia"/>
                      <w:kern w:val="0"/>
                      <w:szCs w:val="21"/>
                    </w:rPr>
                  </w:pPr>
                </w:p>
              </w:tc>
              <w:tc>
                <w:tcPr>
                  <w:tcW w:w="1145" w:type="pct"/>
                  <w:shd w:val="clear" w:color="auto" w:fill="auto"/>
                  <w:vAlign w:val="center"/>
                </w:tcPr>
                <w:p w14:paraId="6E8FE4CD">
                  <w:pPr>
                    <w:widowControl/>
                    <w:jc w:val="center"/>
                    <w:rPr>
                      <w:rFonts w:eastAsiaTheme="majorEastAsia"/>
                      <w:kern w:val="0"/>
                      <w:szCs w:val="21"/>
                    </w:rPr>
                  </w:pPr>
                  <w:r>
                    <w:rPr>
                      <w:rFonts w:eastAsiaTheme="majorEastAsia"/>
                      <w:kern w:val="0"/>
                      <w:szCs w:val="21"/>
                    </w:rPr>
                    <w:t>小圩社区</w:t>
                  </w:r>
                </w:p>
              </w:tc>
              <w:tc>
                <w:tcPr>
                  <w:tcW w:w="804" w:type="pct"/>
                  <w:shd w:val="clear" w:color="auto" w:fill="auto"/>
                  <w:vAlign w:val="center"/>
                </w:tcPr>
                <w:p w14:paraId="128FEAD9">
                  <w:pPr>
                    <w:widowControl/>
                    <w:jc w:val="center"/>
                    <w:rPr>
                      <w:rFonts w:eastAsiaTheme="majorEastAsia"/>
                      <w:kern w:val="0"/>
                      <w:szCs w:val="21"/>
                    </w:rPr>
                  </w:pPr>
                  <w:r>
                    <w:rPr>
                      <w:rFonts w:eastAsiaTheme="majorEastAsia"/>
                      <w:kern w:val="0"/>
                      <w:szCs w:val="21"/>
                    </w:rPr>
                    <w:t>E</w:t>
                  </w:r>
                </w:p>
              </w:tc>
              <w:tc>
                <w:tcPr>
                  <w:tcW w:w="522" w:type="pct"/>
                  <w:shd w:val="clear" w:color="auto" w:fill="auto"/>
                  <w:vAlign w:val="center"/>
                </w:tcPr>
                <w:p w14:paraId="7520E06D">
                  <w:pPr>
                    <w:widowControl/>
                    <w:jc w:val="center"/>
                    <w:rPr>
                      <w:rFonts w:eastAsiaTheme="majorEastAsia"/>
                      <w:kern w:val="0"/>
                      <w:szCs w:val="21"/>
                    </w:rPr>
                  </w:pPr>
                  <w:r>
                    <w:rPr>
                      <w:rFonts w:eastAsiaTheme="majorEastAsia"/>
                      <w:kern w:val="0"/>
                      <w:szCs w:val="21"/>
                    </w:rPr>
                    <w:t>紧邻</w:t>
                  </w:r>
                </w:p>
              </w:tc>
              <w:tc>
                <w:tcPr>
                  <w:tcW w:w="596" w:type="pct"/>
                  <w:shd w:val="clear" w:color="auto" w:fill="auto"/>
                  <w:noWrap/>
                  <w:vAlign w:val="center"/>
                </w:tcPr>
                <w:p w14:paraId="3CA2BDB6">
                  <w:pPr>
                    <w:widowControl/>
                    <w:jc w:val="center"/>
                    <w:rPr>
                      <w:rFonts w:eastAsiaTheme="majorEastAsia"/>
                      <w:kern w:val="0"/>
                      <w:szCs w:val="21"/>
                    </w:rPr>
                  </w:pPr>
                  <w:r>
                    <w:rPr>
                      <w:rFonts w:eastAsiaTheme="majorEastAsia"/>
                      <w:kern w:val="0"/>
                      <w:szCs w:val="21"/>
                    </w:rPr>
                    <w:t>300</w:t>
                  </w:r>
                </w:p>
              </w:tc>
              <w:tc>
                <w:tcPr>
                  <w:tcW w:w="1478" w:type="pct"/>
                  <w:vMerge w:val="continue"/>
                  <w:vAlign w:val="center"/>
                </w:tcPr>
                <w:p w14:paraId="5BF8E614">
                  <w:pPr>
                    <w:widowControl/>
                    <w:jc w:val="left"/>
                    <w:rPr>
                      <w:rFonts w:eastAsiaTheme="majorEastAsia"/>
                      <w:kern w:val="0"/>
                      <w:szCs w:val="21"/>
                    </w:rPr>
                  </w:pPr>
                </w:p>
              </w:tc>
            </w:tr>
          </w:tbl>
          <w:p w14:paraId="15E6A392">
            <w:pPr>
              <w:pStyle w:val="79"/>
              <w:spacing w:before="0" w:after="0"/>
              <w:rPr>
                <w:rFonts w:cs="Times New Roman"/>
                <w:szCs w:val="24"/>
              </w:rPr>
            </w:pPr>
            <w:r>
              <w:rPr>
                <w:rFonts w:cs="Times New Roman"/>
                <w:szCs w:val="24"/>
              </w:rPr>
              <w:t>4、地下水环境</w:t>
            </w:r>
          </w:p>
          <w:p w14:paraId="218D1DC6">
            <w:pPr>
              <w:pStyle w:val="76"/>
              <w:ind w:firstLine="480"/>
            </w:pPr>
            <w:r>
              <w:t>本项目厂界外500m范围内无地下水集中式饮用水水源和热水、矿泉水、温泉等特殊地下水资源。</w:t>
            </w:r>
          </w:p>
          <w:p w14:paraId="6F48B9BA">
            <w:pPr>
              <w:pStyle w:val="79"/>
              <w:spacing w:before="0" w:after="0"/>
              <w:rPr>
                <w:rFonts w:cs="Times New Roman"/>
                <w:szCs w:val="24"/>
              </w:rPr>
            </w:pPr>
            <w:r>
              <w:rPr>
                <w:rFonts w:cs="Times New Roman"/>
                <w:szCs w:val="24"/>
              </w:rPr>
              <w:t>5、生态环境</w:t>
            </w:r>
          </w:p>
          <w:p w14:paraId="0954CA48">
            <w:pPr>
              <w:pStyle w:val="76"/>
              <w:ind w:firstLine="480"/>
              <w:rPr>
                <w:sz w:val="21"/>
                <w:szCs w:val="21"/>
              </w:rPr>
            </w:pPr>
            <w:r>
              <w:t>本项目位于产业园内，不新增用地且用地范围内无生态环境保护目标。与厂界最近的为相距20米的废黄河（泗阳县）重要湿地，主导功能为湿地生态系统保护，相对位置见附图5。</w:t>
            </w:r>
          </w:p>
        </w:tc>
      </w:tr>
      <w:tr w14:paraId="02CE54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540" w:type="dxa"/>
            <w:tcMar>
              <w:left w:w="28" w:type="dxa"/>
              <w:right w:w="28" w:type="dxa"/>
            </w:tcMar>
            <w:vAlign w:val="center"/>
          </w:tcPr>
          <w:p w14:paraId="23B20AAF">
            <w:pPr>
              <w:adjustRightInd w:val="0"/>
              <w:snapToGrid w:val="0"/>
              <w:jc w:val="center"/>
              <w:rPr>
                <w:kern w:val="0"/>
                <w:szCs w:val="21"/>
              </w:rPr>
            </w:pPr>
            <w:r>
              <w:rPr>
                <w:kern w:val="0"/>
                <w:szCs w:val="21"/>
              </w:rPr>
              <w:t>污染</w:t>
            </w:r>
          </w:p>
          <w:p w14:paraId="00B3C98D">
            <w:pPr>
              <w:adjustRightInd w:val="0"/>
              <w:snapToGrid w:val="0"/>
              <w:jc w:val="center"/>
              <w:rPr>
                <w:kern w:val="0"/>
                <w:szCs w:val="21"/>
              </w:rPr>
            </w:pPr>
            <w:r>
              <w:rPr>
                <w:kern w:val="0"/>
                <w:szCs w:val="21"/>
              </w:rPr>
              <w:t>物排</w:t>
            </w:r>
          </w:p>
          <w:p w14:paraId="1FA71358">
            <w:pPr>
              <w:adjustRightInd w:val="0"/>
              <w:snapToGrid w:val="0"/>
              <w:jc w:val="center"/>
              <w:rPr>
                <w:kern w:val="0"/>
                <w:szCs w:val="21"/>
              </w:rPr>
            </w:pPr>
            <w:r>
              <w:rPr>
                <w:kern w:val="0"/>
                <w:szCs w:val="21"/>
              </w:rPr>
              <w:t>放控</w:t>
            </w:r>
          </w:p>
          <w:p w14:paraId="7CBD37DC">
            <w:pPr>
              <w:adjustRightInd w:val="0"/>
              <w:snapToGrid w:val="0"/>
              <w:jc w:val="center"/>
              <w:rPr>
                <w:kern w:val="0"/>
                <w:szCs w:val="21"/>
              </w:rPr>
            </w:pPr>
            <w:r>
              <w:rPr>
                <w:kern w:val="0"/>
                <w:szCs w:val="21"/>
              </w:rPr>
              <w:t>制标</w:t>
            </w:r>
          </w:p>
          <w:p w14:paraId="28FB3106">
            <w:pPr>
              <w:adjustRightInd w:val="0"/>
              <w:snapToGrid w:val="0"/>
              <w:jc w:val="center"/>
              <w:rPr>
                <w:kern w:val="0"/>
                <w:szCs w:val="21"/>
              </w:rPr>
            </w:pPr>
            <w:r>
              <w:rPr>
                <w:kern w:val="0"/>
                <w:szCs w:val="21"/>
              </w:rPr>
              <w:t>准</w:t>
            </w:r>
          </w:p>
        </w:tc>
        <w:tc>
          <w:tcPr>
            <w:tcW w:w="8532" w:type="dxa"/>
            <w:vAlign w:val="center"/>
          </w:tcPr>
          <w:p w14:paraId="603F4022">
            <w:pPr>
              <w:pStyle w:val="78"/>
              <w:spacing w:before="0" w:after="0"/>
              <w:rPr>
                <w:rFonts w:cs="Times New Roman"/>
                <w:bCs/>
                <w:szCs w:val="24"/>
              </w:rPr>
            </w:pPr>
            <w:r>
              <w:rPr>
                <w:rFonts w:cs="Times New Roman"/>
                <w:bCs/>
                <w:szCs w:val="24"/>
              </w:rPr>
              <w:t>1、废气排放标准</w:t>
            </w:r>
          </w:p>
          <w:p w14:paraId="52F4D483">
            <w:pPr>
              <w:adjustRightInd w:val="0"/>
              <w:snapToGrid w:val="0"/>
              <w:spacing w:line="500" w:lineRule="exact"/>
              <w:ind w:firstLine="480" w:firstLineChars="200"/>
            </w:pPr>
            <w:r>
              <w:rPr>
                <w:sz w:val="24"/>
              </w:rPr>
              <w:t>本项目营运期产生的</w:t>
            </w:r>
            <w:bookmarkStart w:id="37" w:name="_Hlk59007929"/>
            <w:r>
              <w:rPr>
                <w:sz w:val="24"/>
                <w:szCs w:val="22"/>
              </w:rPr>
              <w:t>纺丝油剂有组织废气的非甲烷总烃、切片结晶干燥废气的颗粒物及</w:t>
            </w:r>
            <w:r>
              <w:rPr>
                <w:rFonts w:hint="eastAsia"/>
                <w:sz w:val="24"/>
                <w:szCs w:val="22"/>
              </w:rPr>
              <w:t>氨和</w:t>
            </w:r>
            <w:r>
              <w:rPr>
                <w:sz w:val="24"/>
                <w:szCs w:val="22"/>
              </w:rPr>
              <w:t>四氢呋喃、废丝回收废气的颗粒物与非甲烷总烃执行《合成树脂工业污染物排放标准》</w:t>
            </w:r>
            <w:r>
              <w:rPr>
                <w:rFonts w:hint="eastAsia"/>
                <w:sz w:val="24"/>
                <w:szCs w:val="22"/>
              </w:rPr>
              <w:t>及其修改单</w:t>
            </w:r>
            <w:r>
              <w:rPr>
                <w:sz w:val="24"/>
                <w:szCs w:val="22"/>
              </w:rPr>
              <w:t>（GB31572-2015）表5标准</w:t>
            </w:r>
            <w:bookmarkEnd w:id="37"/>
            <w:r>
              <w:rPr>
                <w:sz w:val="24"/>
              </w:rPr>
              <w:t>，</w:t>
            </w:r>
            <w:r>
              <w:rPr>
                <w:sz w:val="24"/>
                <w:szCs w:val="22"/>
              </w:rPr>
              <w:t>厂界无组织颗粒物、非甲烷总烃排放浓度分别执行《大气污染物综合排放标准》（DB32/ 4041-2021）表3标准、《合成树脂工业污染物排放标准》</w:t>
            </w:r>
            <w:r>
              <w:rPr>
                <w:rFonts w:hint="eastAsia"/>
                <w:sz w:val="24"/>
                <w:szCs w:val="22"/>
              </w:rPr>
              <w:t>及其修改单</w:t>
            </w:r>
            <w:r>
              <w:rPr>
                <w:sz w:val="24"/>
                <w:szCs w:val="22"/>
              </w:rPr>
              <w:t>（GB31572-2015）表9标准，厂区内非甲烷总烃无组织排放限值执行《大气污染物综合排放标准》（DB32/ 4041-2021）表2标准。</w:t>
            </w:r>
            <w:r>
              <w:rPr>
                <w:sz w:val="24"/>
              </w:rPr>
              <w:t>具体见表3-5。</w:t>
            </w:r>
          </w:p>
          <w:p w14:paraId="06026E90">
            <w:pPr>
              <w:pStyle w:val="77"/>
              <w:spacing w:line="240" w:lineRule="auto"/>
              <w:rPr>
                <w:szCs w:val="24"/>
              </w:rPr>
            </w:pPr>
            <w:r>
              <w:rPr>
                <w:szCs w:val="24"/>
              </w:rPr>
              <w:t>表3-5 大气污染物无组织排放标准限值</w:t>
            </w:r>
          </w:p>
          <w:tbl>
            <w:tblPr>
              <w:tblStyle w:val="46"/>
              <w:tblW w:w="889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80"/>
              <w:gridCol w:w="919"/>
              <w:gridCol w:w="1685"/>
              <w:gridCol w:w="928"/>
              <w:gridCol w:w="1106"/>
              <w:gridCol w:w="1471"/>
              <w:gridCol w:w="2107"/>
            </w:tblGrid>
            <w:tr w14:paraId="70EEC0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70" w:hRule="atLeast"/>
                <w:tblHeader/>
                <w:jc w:val="center"/>
              </w:trPr>
              <w:tc>
                <w:tcPr>
                  <w:tcW w:w="703" w:type="dxa"/>
                  <w:vAlign w:val="center"/>
                </w:tcPr>
                <w:p w14:paraId="7A7BBFB2">
                  <w:pPr>
                    <w:jc w:val="center"/>
                    <w:rPr>
                      <w:b/>
                      <w:bCs/>
                      <w:szCs w:val="21"/>
                    </w:rPr>
                  </w:pPr>
                  <w:r>
                    <w:rPr>
                      <w:b/>
                      <w:bCs/>
                      <w:szCs w:val="21"/>
                    </w:rPr>
                    <w:t>排放源</w:t>
                  </w:r>
                </w:p>
              </w:tc>
              <w:tc>
                <w:tcPr>
                  <w:tcW w:w="963" w:type="dxa"/>
                  <w:vAlign w:val="center"/>
                </w:tcPr>
                <w:p w14:paraId="6FE6642A">
                  <w:pPr>
                    <w:jc w:val="center"/>
                    <w:rPr>
                      <w:b/>
                      <w:bCs/>
                      <w:szCs w:val="21"/>
                    </w:rPr>
                  </w:pPr>
                  <w:r>
                    <w:rPr>
                      <w:b/>
                      <w:bCs/>
                      <w:szCs w:val="21"/>
                    </w:rPr>
                    <w:t>污染物</w:t>
                  </w:r>
                </w:p>
              </w:tc>
              <w:tc>
                <w:tcPr>
                  <w:tcW w:w="1696" w:type="dxa"/>
                  <w:vAlign w:val="center"/>
                </w:tcPr>
                <w:p w14:paraId="3EDC6F23">
                  <w:pPr>
                    <w:jc w:val="center"/>
                    <w:rPr>
                      <w:b/>
                      <w:bCs/>
                      <w:szCs w:val="21"/>
                    </w:rPr>
                  </w:pPr>
                  <w:r>
                    <w:rPr>
                      <w:b/>
                      <w:bCs/>
                      <w:szCs w:val="21"/>
                    </w:rPr>
                    <w:t>排气筒编号</w:t>
                  </w:r>
                </w:p>
              </w:tc>
              <w:tc>
                <w:tcPr>
                  <w:tcW w:w="963" w:type="dxa"/>
                  <w:vAlign w:val="center"/>
                </w:tcPr>
                <w:p w14:paraId="293243BC">
                  <w:pPr>
                    <w:jc w:val="center"/>
                    <w:rPr>
                      <w:b/>
                      <w:bCs/>
                      <w:szCs w:val="21"/>
                    </w:rPr>
                  </w:pPr>
                  <w:r>
                    <w:rPr>
                      <w:b/>
                      <w:bCs/>
                      <w:szCs w:val="21"/>
                    </w:rPr>
                    <w:t>排气筒高度(m)</w:t>
                  </w:r>
                </w:p>
              </w:tc>
              <w:tc>
                <w:tcPr>
                  <w:tcW w:w="1121" w:type="dxa"/>
                  <w:vAlign w:val="center"/>
                </w:tcPr>
                <w:p w14:paraId="2168A5C5">
                  <w:pPr>
                    <w:jc w:val="center"/>
                    <w:rPr>
                      <w:b/>
                      <w:bCs/>
                      <w:szCs w:val="21"/>
                    </w:rPr>
                  </w:pPr>
                  <w:r>
                    <w:rPr>
                      <w:b/>
                      <w:bCs/>
                      <w:szCs w:val="21"/>
                    </w:rPr>
                    <w:t>排放浓度(mg/m</w:t>
                  </w:r>
                  <w:r>
                    <w:rPr>
                      <w:b/>
                      <w:bCs/>
                      <w:szCs w:val="21"/>
                      <w:vertAlign w:val="superscript"/>
                    </w:rPr>
                    <w:t>3</w:t>
                  </w:r>
                  <w:r>
                    <w:rPr>
                      <w:b/>
                      <w:bCs/>
                      <w:szCs w:val="21"/>
                    </w:rPr>
                    <w:t>)</w:t>
                  </w:r>
                </w:p>
              </w:tc>
              <w:tc>
                <w:tcPr>
                  <w:tcW w:w="1519" w:type="dxa"/>
                  <w:vAlign w:val="center"/>
                </w:tcPr>
                <w:p w14:paraId="1B9967A8">
                  <w:pPr>
                    <w:jc w:val="center"/>
                    <w:rPr>
                      <w:b/>
                      <w:bCs/>
                      <w:szCs w:val="21"/>
                    </w:rPr>
                  </w:pPr>
                  <w:r>
                    <w:rPr>
                      <w:b/>
                      <w:bCs/>
                      <w:szCs w:val="21"/>
                    </w:rPr>
                    <w:t>无组织排放监测浓度值(mg/m</w:t>
                  </w:r>
                  <w:r>
                    <w:rPr>
                      <w:b/>
                      <w:bCs/>
                      <w:szCs w:val="21"/>
                      <w:vertAlign w:val="superscript"/>
                    </w:rPr>
                    <w:t>3</w:t>
                  </w:r>
                  <w:r>
                    <w:rPr>
                      <w:b/>
                      <w:bCs/>
                      <w:szCs w:val="21"/>
                    </w:rPr>
                    <w:t>)</w:t>
                  </w:r>
                </w:p>
              </w:tc>
              <w:tc>
                <w:tcPr>
                  <w:tcW w:w="1931" w:type="dxa"/>
                  <w:vAlign w:val="center"/>
                </w:tcPr>
                <w:p w14:paraId="66A05F6A">
                  <w:pPr>
                    <w:jc w:val="center"/>
                    <w:rPr>
                      <w:b/>
                      <w:bCs/>
                      <w:szCs w:val="21"/>
                    </w:rPr>
                  </w:pPr>
                  <w:r>
                    <w:rPr>
                      <w:b/>
                      <w:bCs/>
                      <w:szCs w:val="21"/>
                    </w:rPr>
                    <w:t>执行标准</w:t>
                  </w:r>
                </w:p>
              </w:tc>
            </w:tr>
            <w:tr w14:paraId="29756E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03" w:type="dxa"/>
                  <w:vMerge w:val="restart"/>
                  <w:vAlign w:val="center"/>
                </w:tcPr>
                <w:p w14:paraId="457B1BAD">
                  <w:pPr>
                    <w:jc w:val="center"/>
                    <w:rPr>
                      <w:szCs w:val="21"/>
                    </w:rPr>
                  </w:pPr>
                  <w:r>
                    <w:rPr>
                      <w:szCs w:val="21"/>
                    </w:rPr>
                    <w:t>切片结晶干燥废气</w:t>
                  </w:r>
                </w:p>
              </w:tc>
              <w:tc>
                <w:tcPr>
                  <w:tcW w:w="963" w:type="dxa"/>
                  <w:vAlign w:val="center"/>
                </w:tcPr>
                <w:p w14:paraId="0EAA9748">
                  <w:pPr>
                    <w:adjustRightInd w:val="0"/>
                    <w:jc w:val="center"/>
                    <w:textAlignment w:val="baseline"/>
                    <w:rPr>
                      <w:kern w:val="0"/>
                      <w:szCs w:val="21"/>
                    </w:rPr>
                  </w:pPr>
                  <w:r>
                    <w:rPr>
                      <w:kern w:val="0"/>
                      <w:szCs w:val="21"/>
                    </w:rPr>
                    <w:t>颗粒物</w:t>
                  </w:r>
                </w:p>
              </w:tc>
              <w:tc>
                <w:tcPr>
                  <w:tcW w:w="1696" w:type="dxa"/>
                  <w:vMerge w:val="restart"/>
                  <w:vAlign w:val="center"/>
                </w:tcPr>
                <w:p w14:paraId="6D41B3D1">
                  <w:pPr>
                    <w:jc w:val="center"/>
                    <w:rPr>
                      <w:szCs w:val="21"/>
                    </w:rPr>
                  </w:pPr>
                  <w:r>
                    <w:rPr>
                      <w:szCs w:val="21"/>
                    </w:rPr>
                    <w:t>DA016</w:t>
                  </w:r>
                </w:p>
              </w:tc>
              <w:tc>
                <w:tcPr>
                  <w:tcW w:w="963" w:type="dxa"/>
                  <w:vMerge w:val="restart"/>
                  <w:vAlign w:val="center"/>
                </w:tcPr>
                <w:p w14:paraId="65538DF2">
                  <w:pPr>
                    <w:jc w:val="center"/>
                    <w:rPr>
                      <w:szCs w:val="21"/>
                    </w:rPr>
                  </w:pPr>
                  <w:r>
                    <w:rPr>
                      <w:szCs w:val="21"/>
                    </w:rPr>
                    <w:t>26</w:t>
                  </w:r>
                </w:p>
              </w:tc>
              <w:tc>
                <w:tcPr>
                  <w:tcW w:w="1121" w:type="dxa"/>
                  <w:vAlign w:val="center"/>
                </w:tcPr>
                <w:p w14:paraId="5301DFCE">
                  <w:pPr>
                    <w:jc w:val="center"/>
                    <w:rPr>
                      <w:szCs w:val="21"/>
                    </w:rPr>
                  </w:pPr>
                  <w:r>
                    <w:rPr>
                      <w:szCs w:val="21"/>
                    </w:rPr>
                    <w:t>20</w:t>
                  </w:r>
                </w:p>
              </w:tc>
              <w:tc>
                <w:tcPr>
                  <w:tcW w:w="1519" w:type="dxa"/>
                  <w:vAlign w:val="center"/>
                </w:tcPr>
                <w:p w14:paraId="60980DC6">
                  <w:pPr>
                    <w:jc w:val="center"/>
                    <w:rPr>
                      <w:szCs w:val="21"/>
                    </w:rPr>
                  </w:pPr>
                  <w:bookmarkStart w:id="38" w:name="OLE_LINK16"/>
                  <w:r>
                    <w:rPr>
                      <w:szCs w:val="21"/>
                    </w:rPr>
                    <w:t>/</w:t>
                  </w:r>
                  <w:bookmarkEnd w:id="38"/>
                </w:p>
              </w:tc>
              <w:tc>
                <w:tcPr>
                  <w:tcW w:w="1931" w:type="dxa"/>
                  <w:vMerge w:val="restart"/>
                  <w:vAlign w:val="center"/>
                </w:tcPr>
                <w:p w14:paraId="43A753EF">
                  <w:pPr>
                    <w:jc w:val="center"/>
                    <w:rPr>
                      <w:szCs w:val="21"/>
                    </w:rPr>
                  </w:pPr>
                  <w:r>
                    <w:rPr>
                      <w:szCs w:val="21"/>
                    </w:rPr>
                    <w:t>执行《合成树脂工业污染物排放标准》</w:t>
                  </w:r>
                  <w:r>
                    <w:rPr>
                      <w:rFonts w:hint="eastAsia"/>
                      <w:szCs w:val="21"/>
                    </w:rPr>
                    <w:t>及其修改单</w:t>
                  </w:r>
                  <w:r>
                    <w:rPr>
                      <w:szCs w:val="21"/>
                    </w:rPr>
                    <w:t>（GB31572-2015）表5标准</w:t>
                  </w:r>
                </w:p>
              </w:tc>
            </w:tr>
            <w:tr w14:paraId="1F7626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03" w:type="dxa"/>
                  <w:vMerge w:val="continue"/>
                  <w:vAlign w:val="center"/>
                </w:tcPr>
                <w:p w14:paraId="21265E7C">
                  <w:pPr>
                    <w:jc w:val="center"/>
                    <w:rPr>
                      <w:szCs w:val="21"/>
                    </w:rPr>
                  </w:pPr>
                </w:p>
              </w:tc>
              <w:tc>
                <w:tcPr>
                  <w:tcW w:w="963" w:type="dxa"/>
                  <w:vAlign w:val="center"/>
                </w:tcPr>
                <w:p w14:paraId="58038DD8">
                  <w:pPr>
                    <w:adjustRightInd w:val="0"/>
                    <w:jc w:val="center"/>
                    <w:textAlignment w:val="baseline"/>
                    <w:rPr>
                      <w:kern w:val="0"/>
                      <w:szCs w:val="21"/>
                    </w:rPr>
                  </w:pPr>
                  <w:r>
                    <w:rPr>
                      <w:kern w:val="0"/>
                      <w:szCs w:val="21"/>
                    </w:rPr>
                    <w:t>四氢呋喃*</w:t>
                  </w:r>
                </w:p>
              </w:tc>
              <w:tc>
                <w:tcPr>
                  <w:tcW w:w="1696" w:type="dxa"/>
                  <w:vMerge w:val="continue"/>
                  <w:vAlign w:val="center"/>
                </w:tcPr>
                <w:p w14:paraId="1B6571CC">
                  <w:pPr>
                    <w:jc w:val="center"/>
                    <w:rPr>
                      <w:szCs w:val="21"/>
                    </w:rPr>
                  </w:pPr>
                </w:p>
              </w:tc>
              <w:tc>
                <w:tcPr>
                  <w:tcW w:w="963" w:type="dxa"/>
                  <w:vMerge w:val="continue"/>
                  <w:vAlign w:val="center"/>
                </w:tcPr>
                <w:p w14:paraId="1DCB647F">
                  <w:pPr>
                    <w:jc w:val="center"/>
                    <w:rPr>
                      <w:szCs w:val="21"/>
                    </w:rPr>
                  </w:pPr>
                </w:p>
              </w:tc>
              <w:tc>
                <w:tcPr>
                  <w:tcW w:w="1121" w:type="dxa"/>
                  <w:vAlign w:val="center"/>
                </w:tcPr>
                <w:p w14:paraId="1EDB1742">
                  <w:pPr>
                    <w:jc w:val="center"/>
                    <w:rPr>
                      <w:szCs w:val="21"/>
                    </w:rPr>
                  </w:pPr>
                  <w:r>
                    <w:rPr>
                      <w:szCs w:val="21"/>
                    </w:rPr>
                    <w:t>0.5</w:t>
                  </w:r>
                </w:p>
              </w:tc>
              <w:tc>
                <w:tcPr>
                  <w:tcW w:w="1519" w:type="dxa"/>
                  <w:vAlign w:val="center"/>
                </w:tcPr>
                <w:p w14:paraId="5617FE84">
                  <w:pPr>
                    <w:jc w:val="center"/>
                    <w:rPr>
                      <w:szCs w:val="21"/>
                    </w:rPr>
                  </w:pPr>
                  <w:r>
                    <w:rPr>
                      <w:szCs w:val="21"/>
                    </w:rPr>
                    <w:t>/</w:t>
                  </w:r>
                </w:p>
              </w:tc>
              <w:tc>
                <w:tcPr>
                  <w:tcW w:w="1931" w:type="dxa"/>
                  <w:vMerge w:val="continue"/>
                  <w:vAlign w:val="center"/>
                </w:tcPr>
                <w:p w14:paraId="718BE8FD">
                  <w:pPr>
                    <w:jc w:val="center"/>
                    <w:rPr>
                      <w:szCs w:val="21"/>
                    </w:rPr>
                  </w:pPr>
                </w:p>
              </w:tc>
            </w:tr>
            <w:tr w14:paraId="37E05A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03" w:type="dxa"/>
                  <w:vMerge w:val="continue"/>
                  <w:vAlign w:val="center"/>
                </w:tcPr>
                <w:p w14:paraId="70AFEB83">
                  <w:pPr>
                    <w:jc w:val="center"/>
                    <w:rPr>
                      <w:szCs w:val="21"/>
                    </w:rPr>
                  </w:pPr>
                </w:p>
              </w:tc>
              <w:tc>
                <w:tcPr>
                  <w:tcW w:w="963" w:type="dxa"/>
                  <w:vAlign w:val="center"/>
                </w:tcPr>
                <w:p w14:paraId="27EAF554">
                  <w:pPr>
                    <w:adjustRightInd w:val="0"/>
                    <w:jc w:val="center"/>
                    <w:textAlignment w:val="baseline"/>
                    <w:rPr>
                      <w:kern w:val="0"/>
                      <w:szCs w:val="21"/>
                    </w:rPr>
                  </w:pPr>
                  <w:r>
                    <w:rPr>
                      <w:kern w:val="0"/>
                      <w:szCs w:val="21"/>
                    </w:rPr>
                    <w:t>颗粒物</w:t>
                  </w:r>
                </w:p>
              </w:tc>
              <w:tc>
                <w:tcPr>
                  <w:tcW w:w="1696" w:type="dxa"/>
                  <w:vMerge w:val="restart"/>
                  <w:vAlign w:val="center"/>
                </w:tcPr>
                <w:p w14:paraId="7BD2715A">
                  <w:pPr>
                    <w:jc w:val="center"/>
                    <w:rPr>
                      <w:szCs w:val="21"/>
                    </w:rPr>
                  </w:pPr>
                  <w:r>
                    <w:rPr>
                      <w:szCs w:val="21"/>
                    </w:rPr>
                    <w:t>DA017</w:t>
                  </w:r>
                </w:p>
              </w:tc>
              <w:tc>
                <w:tcPr>
                  <w:tcW w:w="963" w:type="dxa"/>
                  <w:vMerge w:val="restart"/>
                  <w:vAlign w:val="center"/>
                </w:tcPr>
                <w:p w14:paraId="535381BB">
                  <w:pPr>
                    <w:jc w:val="center"/>
                    <w:rPr>
                      <w:szCs w:val="21"/>
                    </w:rPr>
                  </w:pPr>
                  <w:r>
                    <w:rPr>
                      <w:szCs w:val="21"/>
                    </w:rPr>
                    <w:t>26</w:t>
                  </w:r>
                </w:p>
              </w:tc>
              <w:tc>
                <w:tcPr>
                  <w:tcW w:w="1121" w:type="dxa"/>
                  <w:vMerge w:val="restart"/>
                  <w:vAlign w:val="center"/>
                </w:tcPr>
                <w:p w14:paraId="45A4BC79">
                  <w:pPr>
                    <w:jc w:val="center"/>
                    <w:rPr>
                      <w:szCs w:val="21"/>
                    </w:rPr>
                  </w:pPr>
                  <w:r>
                    <w:rPr>
                      <w:szCs w:val="21"/>
                    </w:rPr>
                    <w:t>20</w:t>
                  </w:r>
                </w:p>
              </w:tc>
              <w:tc>
                <w:tcPr>
                  <w:tcW w:w="1519" w:type="dxa"/>
                  <w:vAlign w:val="center"/>
                </w:tcPr>
                <w:p w14:paraId="5BDF4A1E">
                  <w:pPr>
                    <w:jc w:val="center"/>
                    <w:rPr>
                      <w:szCs w:val="21"/>
                    </w:rPr>
                  </w:pPr>
                  <w:r>
                    <w:rPr>
                      <w:szCs w:val="21"/>
                    </w:rPr>
                    <w:t>/</w:t>
                  </w:r>
                </w:p>
              </w:tc>
              <w:tc>
                <w:tcPr>
                  <w:tcW w:w="1931" w:type="dxa"/>
                  <w:vMerge w:val="continue"/>
                  <w:vAlign w:val="center"/>
                </w:tcPr>
                <w:p w14:paraId="202B4AC6">
                  <w:pPr>
                    <w:jc w:val="center"/>
                    <w:rPr>
                      <w:szCs w:val="21"/>
                    </w:rPr>
                  </w:pPr>
                </w:p>
              </w:tc>
            </w:tr>
            <w:tr w14:paraId="5E72A8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03" w:type="dxa"/>
                  <w:vMerge w:val="continue"/>
                  <w:vAlign w:val="center"/>
                </w:tcPr>
                <w:p w14:paraId="3682C95F">
                  <w:pPr>
                    <w:jc w:val="center"/>
                    <w:rPr>
                      <w:szCs w:val="21"/>
                    </w:rPr>
                  </w:pPr>
                </w:p>
              </w:tc>
              <w:tc>
                <w:tcPr>
                  <w:tcW w:w="963" w:type="dxa"/>
                  <w:vAlign w:val="center"/>
                </w:tcPr>
                <w:p w14:paraId="5274065F">
                  <w:pPr>
                    <w:adjustRightInd w:val="0"/>
                    <w:jc w:val="center"/>
                    <w:textAlignment w:val="baseline"/>
                    <w:rPr>
                      <w:kern w:val="0"/>
                      <w:szCs w:val="21"/>
                    </w:rPr>
                  </w:pPr>
                  <w:r>
                    <w:rPr>
                      <w:kern w:val="0"/>
                      <w:szCs w:val="21"/>
                    </w:rPr>
                    <w:t>氨</w:t>
                  </w:r>
                </w:p>
              </w:tc>
              <w:tc>
                <w:tcPr>
                  <w:tcW w:w="1696" w:type="dxa"/>
                  <w:vMerge w:val="continue"/>
                  <w:vAlign w:val="center"/>
                </w:tcPr>
                <w:p w14:paraId="48254194">
                  <w:pPr>
                    <w:jc w:val="center"/>
                    <w:rPr>
                      <w:szCs w:val="21"/>
                    </w:rPr>
                  </w:pPr>
                </w:p>
              </w:tc>
              <w:tc>
                <w:tcPr>
                  <w:tcW w:w="963" w:type="dxa"/>
                  <w:vMerge w:val="continue"/>
                  <w:vAlign w:val="center"/>
                </w:tcPr>
                <w:p w14:paraId="5851A727">
                  <w:pPr>
                    <w:jc w:val="center"/>
                    <w:rPr>
                      <w:szCs w:val="21"/>
                    </w:rPr>
                  </w:pPr>
                </w:p>
              </w:tc>
              <w:tc>
                <w:tcPr>
                  <w:tcW w:w="1121" w:type="dxa"/>
                  <w:vMerge w:val="continue"/>
                  <w:vAlign w:val="center"/>
                </w:tcPr>
                <w:p w14:paraId="4F865B95">
                  <w:pPr>
                    <w:jc w:val="center"/>
                    <w:rPr>
                      <w:szCs w:val="21"/>
                    </w:rPr>
                  </w:pPr>
                </w:p>
              </w:tc>
              <w:tc>
                <w:tcPr>
                  <w:tcW w:w="1519" w:type="dxa"/>
                  <w:vAlign w:val="center"/>
                </w:tcPr>
                <w:p w14:paraId="707449DA">
                  <w:pPr>
                    <w:jc w:val="center"/>
                    <w:rPr>
                      <w:szCs w:val="21"/>
                    </w:rPr>
                  </w:pPr>
                  <w:r>
                    <w:rPr>
                      <w:rFonts w:hint="eastAsia"/>
                      <w:szCs w:val="21"/>
                    </w:rPr>
                    <w:t>/</w:t>
                  </w:r>
                </w:p>
              </w:tc>
              <w:tc>
                <w:tcPr>
                  <w:tcW w:w="1931" w:type="dxa"/>
                  <w:vMerge w:val="continue"/>
                  <w:vAlign w:val="center"/>
                </w:tcPr>
                <w:p w14:paraId="38423186">
                  <w:pPr>
                    <w:jc w:val="center"/>
                    <w:rPr>
                      <w:szCs w:val="21"/>
                    </w:rPr>
                  </w:pPr>
                </w:p>
              </w:tc>
            </w:tr>
            <w:tr w14:paraId="0428FE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03" w:type="dxa"/>
                  <w:vMerge w:val="restart"/>
                  <w:vAlign w:val="center"/>
                </w:tcPr>
                <w:p w14:paraId="7CBA37F3">
                  <w:pPr>
                    <w:jc w:val="center"/>
                    <w:rPr>
                      <w:szCs w:val="21"/>
                    </w:rPr>
                  </w:pPr>
                  <w:r>
                    <w:rPr>
                      <w:szCs w:val="21"/>
                    </w:rPr>
                    <w:t>废丝回收废气</w:t>
                  </w:r>
                </w:p>
              </w:tc>
              <w:tc>
                <w:tcPr>
                  <w:tcW w:w="963" w:type="dxa"/>
                  <w:vAlign w:val="center"/>
                </w:tcPr>
                <w:p w14:paraId="1DC327D8">
                  <w:pPr>
                    <w:adjustRightInd w:val="0"/>
                    <w:jc w:val="center"/>
                    <w:textAlignment w:val="baseline"/>
                    <w:rPr>
                      <w:kern w:val="0"/>
                      <w:szCs w:val="21"/>
                    </w:rPr>
                  </w:pPr>
                  <w:r>
                    <w:rPr>
                      <w:kern w:val="0"/>
                      <w:szCs w:val="21"/>
                    </w:rPr>
                    <w:t>颗粒物</w:t>
                  </w:r>
                </w:p>
              </w:tc>
              <w:tc>
                <w:tcPr>
                  <w:tcW w:w="1696" w:type="dxa"/>
                  <w:vMerge w:val="restart"/>
                  <w:vAlign w:val="center"/>
                </w:tcPr>
                <w:p w14:paraId="1C58C3A9">
                  <w:pPr>
                    <w:jc w:val="center"/>
                    <w:rPr>
                      <w:szCs w:val="21"/>
                    </w:rPr>
                  </w:pPr>
                  <w:r>
                    <w:rPr>
                      <w:szCs w:val="21"/>
                    </w:rPr>
                    <w:t>DA018、DA019</w:t>
                  </w:r>
                </w:p>
              </w:tc>
              <w:tc>
                <w:tcPr>
                  <w:tcW w:w="963" w:type="dxa"/>
                  <w:vAlign w:val="center"/>
                </w:tcPr>
                <w:p w14:paraId="7DA63905">
                  <w:pPr>
                    <w:jc w:val="center"/>
                    <w:rPr>
                      <w:szCs w:val="21"/>
                    </w:rPr>
                  </w:pPr>
                  <w:r>
                    <w:rPr>
                      <w:szCs w:val="21"/>
                    </w:rPr>
                    <w:t>26</w:t>
                  </w:r>
                </w:p>
              </w:tc>
              <w:tc>
                <w:tcPr>
                  <w:tcW w:w="1121" w:type="dxa"/>
                  <w:vAlign w:val="center"/>
                </w:tcPr>
                <w:p w14:paraId="26164C6C">
                  <w:pPr>
                    <w:jc w:val="center"/>
                    <w:rPr>
                      <w:szCs w:val="21"/>
                    </w:rPr>
                  </w:pPr>
                  <w:r>
                    <w:rPr>
                      <w:szCs w:val="21"/>
                    </w:rPr>
                    <w:t>20</w:t>
                  </w:r>
                </w:p>
              </w:tc>
              <w:tc>
                <w:tcPr>
                  <w:tcW w:w="1519" w:type="dxa"/>
                  <w:vAlign w:val="center"/>
                </w:tcPr>
                <w:p w14:paraId="3E3A84E7">
                  <w:pPr>
                    <w:jc w:val="center"/>
                    <w:rPr>
                      <w:szCs w:val="21"/>
                    </w:rPr>
                  </w:pPr>
                  <w:r>
                    <w:rPr>
                      <w:szCs w:val="21"/>
                    </w:rPr>
                    <w:t>/</w:t>
                  </w:r>
                </w:p>
              </w:tc>
              <w:tc>
                <w:tcPr>
                  <w:tcW w:w="1931" w:type="dxa"/>
                  <w:vMerge w:val="continue"/>
                  <w:vAlign w:val="center"/>
                </w:tcPr>
                <w:p w14:paraId="57C96CB8">
                  <w:pPr>
                    <w:jc w:val="center"/>
                    <w:rPr>
                      <w:szCs w:val="21"/>
                    </w:rPr>
                  </w:pPr>
                </w:p>
              </w:tc>
            </w:tr>
            <w:tr w14:paraId="3BEAB3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03" w:type="dxa"/>
                  <w:vMerge w:val="continue"/>
                  <w:vAlign w:val="center"/>
                </w:tcPr>
                <w:p w14:paraId="32A1EC33">
                  <w:pPr>
                    <w:jc w:val="center"/>
                    <w:rPr>
                      <w:szCs w:val="21"/>
                    </w:rPr>
                  </w:pPr>
                </w:p>
              </w:tc>
              <w:tc>
                <w:tcPr>
                  <w:tcW w:w="963" w:type="dxa"/>
                  <w:vAlign w:val="center"/>
                </w:tcPr>
                <w:p w14:paraId="46FC5C34">
                  <w:pPr>
                    <w:adjustRightInd w:val="0"/>
                    <w:jc w:val="center"/>
                    <w:textAlignment w:val="baseline"/>
                    <w:rPr>
                      <w:kern w:val="0"/>
                      <w:szCs w:val="21"/>
                    </w:rPr>
                  </w:pPr>
                  <w:r>
                    <w:rPr>
                      <w:kern w:val="0"/>
                      <w:szCs w:val="21"/>
                    </w:rPr>
                    <w:t>非甲烷总烃</w:t>
                  </w:r>
                </w:p>
              </w:tc>
              <w:tc>
                <w:tcPr>
                  <w:tcW w:w="1696" w:type="dxa"/>
                  <w:vMerge w:val="continue"/>
                  <w:vAlign w:val="center"/>
                </w:tcPr>
                <w:p w14:paraId="29C30AEB">
                  <w:pPr>
                    <w:jc w:val="center"/>
                    <w:rPr>
                      <w:szCs w:val="21"/>
                    </w:rPr>
                  </w:pPr>
                </w:p>
              </w:tc>
              <w:tc>
                <w:tcPr>
                  <w:tcW w:w="963" w:type="dxa"/>
                  <w:vAlign w:val="center"/>
                </w:tcPr>
                <w:p w14:paraId="27F4D341">
                  <w:pPr>
                    <w:jc w:val="center"/>
                    <w:rPr>
                      <w:szCs w:val="21"/>
                    </w:rPr>
                  </w:pPr>
                  <w:r>
                    <w:rPr>
                      <w:szCs w:val="21"/>
                    </w:rPr>
                    <w:t>26</w:t>
                  </w:r>
                </w:p>
              </w:tc>
              <w:tc>
                <w:tcPr>
                  <w:tcW w:w="1121" w:type="dxa"/>
                  <w:vAlign w:val="center"/>
                </w:tcPr>
                <w:p w14:paraId="690DEBF7">
                  <w:pPr>
                    <w:jc w:val="center"/>
                    <w:rPr>
                      <w:szCs w:val="21"/>
                    </w:rPr>
                  </w:pPr>
                  <w:r>
                    <w:rPr>
                      <w:szCs w:val="21"/>
                    </w:rPr>
                    <w:t>60</w:t>
                  </w:r>
                </w:p>
              </w:tc>
              <w:tc>
                <w:tcPr>
                  <w:tcW w:w="1519" w:type="dxa"/>
                  <w:vAlign w:val="center"/>
                </w:tcPr>
                <w:p w14:paraId="3D1719AF">
                  <w:pPr>
                    <w:jc w:val="center"/>
                    <w:rPr>
                      <w:szCs w:val="21"/>
                    </w:rPr>
                  </w:pPr>
                  <w:r>
                    <w:rPr>
                      <w:szCs w:val="21"/>
                    </w:rPr>
                    <w:t>/</w:t>
                  </w:r>
                </w:p>
              </w:tc>
              <w:tc>
                <w:tcPr>
                  <w:tcW w:w="1931" w:type="dxa"/>
                  <w:vMerge w:val="continue"/>
                  <w:vAlign w:val="center"/>
                </w:tcPr>
                <w:p w14:paraId="3F5D4499">
                  <w:pPr>
                    <w:jc w:val="center"/>
                    <w:rPr>
                      <w:szCs w:val="21"/>
                    </w:rPr>
                  </w:pPr>
                </w:p>
              </w:tc>
            </w:tr>
            <w:tr w14:paraId="354EED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03" w:type="dxa"/>
                  <w:vAlign w:val="center"/>
                </w:tcPr>
                <w:p w14:paraId="38288B43">
                  <w:pPr>
                    <w:jc w:val="center"/>
                    <w:rPr>
                      <w:szCs w:val="21"/>
                    </w:rPr>
                  </w:pPr>
                  <w:r>
                    <w:rPr>
                      <w:szCs w:val="21"/>
                    </w:rPr>
                    <w:t>纺丝油剂废气</w:t>
                  </w:r>
                </w:p>
              </w:tc>
              <w:tc>
                <w:tcPr>
                  <w:tcW w:w="963" w:type="dxa"/>
                  <w:vAlign w:val="center"/>
                </w:tcPr>
                <w:p w14:paraId="187CE15C">
                  <w:pPr>
                    <w:adjustRightInd w:val="0"/>
                    <w:jc w:val="center"/>
                    <w:textAlignment w:val="baseline"/>
                    <w:rPr>
                      <w:kern w:val="0"/>
                      <w:szCs w:val="21"/>
                    </w:rPr>
                  </w:pPr>
                  <w:r>
                    <w:rPr>
                      <w:kern w:val="0"/>
                      <w:szCs w:val="21"/>
                    </w:rPr>
                    <w:t>非甲烷总烃</w:t>
                  </w:r>
                </w:p>
              </w:tc>
              <w:tc>
                <w:tcPr>
                  <w:tcW w:w="1696" w:type="dxa"/>
                  <w:vAlign w:val="center"/>
                </w:tcPr>
                <w:p w14:paraId="3F74D8D3">
                  <w:pPr>
                    <w:jc w:val="center"/>
                    <w:rPr>
                      <w:szCs w:val="21"/>
                    </w:rPr>
                  </w:pPr>
                  <w:r>
                    <w:rPr>
                      <w:szCs w:val="21"/>
                    </w:rPr>
                    <w:t>DA010~DA015</w:t>
                  </w:r>
                </w:p>
              </w:tc>
              <w:tc>
                <w:tcPr>
                  <w:tcW w:w="963" w:type="dxa"/>
                  <w:vAlign w:val="center"/>
                </w:tcPr>
                <w:p w14:paraId="7AFF3311">
                  <w:pPr>
                    <w:jc w:val="center"/>
                    <w:rPr>
                      <w:szCs w:val="21"/>
                    </w:rPr>
                  </w:pPr>
                  <w:r>
                    <w:rPr>
                      <w:szCs w:val="21"/>
                    </w:rPr>
                    <w:t>26</w:t>
                  </w:r>
                </w:p>
              </w:tc>
              <w:tc>
                <w:tcPr>
                  <w:tcW w:w="1121" w:type="dxa"/>
                  <w:vAlign w:val="center"/>
                </w:tcPr>
                <w:p w14:paraId="4C22F3C8">
                  <w:pPr>
                    <w:jc w:val="center"/>
                    <w:rPr>
                      <w:szCs w:val="21"/>
                    </w:rPr>
                  </w:pPr>
                  <w:r>
                    <w:rPr>
                      <w:szCs w:val="21"/>
                    </w:rPr>
                    <w:t>60</w:t>
                  </w:r>
                </w:p>
              </w:tc>
              <w:tc>
                <w:tcPr>
                  <w:tcW w:w="1519" w:type="dxa"/>
                  <w:vAlign w:val="center"/>
                </w:tcPr>
                <w:p w14:paraId="10CED85B">
                  <w:pPr>
                    <w:jc w:val="center"/>
                    <w:rPr>
                      <w:szCs w:val="21"/>
                    </w:rPr>
                  </w:pPr>
                  <w:r>
                    <w:rPr>
                      <w:szCs w:val="21"/>
                    </w:rPr>
                    <w:t>/</w:t>
                  </w:r>
                </w:p>
              </w:tc>
              <w:tc>
                <w:tcPr>
                  <w:tcW w:w="1931" w:type="dxa"/>
                  <w:vMerge w:val="continue"/>
                  <w:vAlign w:val="center"/>
                </w:tcPr>
                <w:p w14:paraId="417A6F44">
                  <w:pPr>
                    <w:jc w:val="center"/>
                    <w:rPr>
                      <w:szCs w:val="21"/>
                    </w:rPr>
                  </w:pPr>
                </w:p>
              </w:tc>
            </w:tr>
            <w:tr w14:paraId="2FE644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03" w:type="dxa"/>
                  <w:vMerge w:val="restart"/>
                  <w:vAlign w:val="center"/>
                </w:tcPr>
                <w:p w14:paraId="5ADEA868">
                  <w:pPr>
                    <w:jc w:val="center"/>
                    <w:rPr>
                      <w:szCs w:val="21"/>
                    </w:rPr>
                  </w:pPr>
                  <w:r>
                    <w:rPr>
                      <w:szCs w:val="21"/>
                    </w:rPr>
                    <w:t>厂区内无组织</w:t>
                  </w:r>
                </w:p>
              </w:tc>
              <w:tc>
                <w:tcPr>
                  <w:tcW w:w="963" w:type="dxa"/>
                  <w:vMerge w:val="restart"/>
                  <w:vAlign w:val="center"/>
                </w:tcPr>
                <w:p w14:paraId="46F6398A">
                  <w:pPr>
                    <w:adjustRightInd w:val="0"/>
                    <w:jc w:val="center"/>
                    <w:textAlignment w:val="baseline"/>
                    <w:rPr>
                      <w:kern w:val="0"/>
                      <w:szCs w:val="21"/>
                    </w:rPr>
                  </w:pPr>
                  <w:r>
                    <w:rPr>
                      <w:kern w:val="0"/>
                      <w:szCs w:val="21"/>
                    </w:rPr>
                    <w:t>非甲烷总烃</w:t>
                  </w:r>
                </w:p>
              </w:tc>
              <w:tc>
                <w:tcPr>
                  <w:tcW w:w="1696" w:type="dxa"/>
                  <w:vMerge w:val="restart"/>
                  <w:vAlign w:val="center"/>
                </w:tcPr>
                <w:p w14:paraId="3F704625">
                  <w:pPr>
                    <w:jc w:val="center"/>
                    <w:rPr>
                      <w:szCs w:val="21"/>
                    </w:rPr>
                  </w:pPr>
                  <w:r>
                    <w:rPr>
                      <w:szCs w:val="21"/>
                    </w:rPr>
                    <w:t>/</w:t>
                  </w:r>
                </w:p>
              </w:tc>
              <w:tc>
                <w:tcPr>
                  <w:tcW w:w="963" w:type="dxa"/>
                  <w:vMerge w:val="restart"/>
                  <w:vAlign w:val="center"/>
                </w:tcPr>
                <w:p w14:paraId="515EEC93">
                  <w:pPr>
                    <w:jc w:val="center"/>
                    <w:rPr>
                      <w:szCs w:val="21"/>
                    </w:rPr>
                  </w:pPr>
                  <w:r>
                    <w:rPr>
                      <w:szCs w:val="21"/>
                    </w:rPr>
                    <w:t>/</w:t>
                  </w:r>
                </w:p>
              </w:tc>
              <w:tc>
                <w:tcPr>
                  <w:tcW w:w="1121" w:type="dxa"/>
                  <w:vMerge w:val="restart"/>
                  <w:vAlign w:val="center"/>
                </w:tcPr>
                <w:p w14:paraId="60DA8B55">
                  <w:pPr>
                    <w:jc w:val="center"/>
                    <w:rPr>
                      <w:szCs w:val="21"/>
                    </w:rPr>
                  </w:pPr>
                  <w:r>
                    <w:rPr>
                      <w:szCs w:val="21"/>
                    </w:rPr>
                    <w:t>/</w:t>
                  </w:r>
                </w:p>
              </w:tc>
              <w:tc>
                <w:tcPr>
                  <w:tcW w:w="1519" w:type="dxa"/>
                  <w:vAlign w:val="center"/>
                </w:tcPr>
                <w:p w14:paraId="40BDEF79">
                  <w:pPr>
                    <w:jc w:val="center"/>
                    <w:rPr>
                      <w:szCs w:val="21"/>
                    </w:rPr>
                  </w:pPr>
                  <w:r>
                    <w:rPr>
                      <w:szCs w:val="21"/>
                    </w:rPr>
                    <w:t>6（监控点处1h平均浓度值）</w:t>
                  </w:r>
                </w:p>
              </w:tc>
              <w:tc>
                <w:tcPr>
                  <w:tcW w:w="1931" w:type="dxa"/>
                  <w:vMerge w:val="restart"/>
                  <w:vAlign w:val="center"/>
                </w:tcPr>
                <w:p w14:paraId="135B0095">
                  <w:pPr>
                    <w:jc w:val="center"/>
                    <w:rPr>
                      <w:szCs w:val="21"/>
                    </w:rPr>
                  </w:pPr>
                  <w:r>
                    <w:rPr>
                      <w:szCs w:val="21"/>
                    </w:rPr>
                    <w:t>《大气污染物综合排放标准》（DB32/4041-2021）表2标准</w:t>
                  </w:r>
                </w:p>
              </w:tc>
            </w:tr>
            <w:tr w14:paraId="544CB0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03" w:type="dxa"/>
                  <w:vMerge w:val="continue"/>
                  <w:vAlign w:val="center"/>
                </w:tcPr>
                <w:p w14:paraId="177E98C9">
                  <w:pPr>
                    <w:jc w:val="center"/>
                    <w:rPr>
                      <w:szCs w:val="21"/>
                    </w:rPr>
                  </w:pPr>
                </w:p>
              </w:tc>
              <w:tc>
                <w:tcPr>
                  <w:tcW w:w="963" w:type="dxa"/>
                  <w:vMerge w:val="continue"/>
                  <w:vAlign w:val="center"/>
                </w:tcPr>
                <w:p w14:paraId="4311DBB5">
                  <w:pPr>
                    <w:adjustRightInd w:val="0"/>
                    <w:jc w:val="center"/>
                    <w:textAlignment w:val="baseline"/>
                    <w:rPr>
                      <w:kern w:val="0"/>
                      <w:szCs w:val="21"/>
                    </w:rPr>
                  </w:pPr>
                </w:p>
              </w:tc>
              <w:tc>
                <w:tcPr>
                  <w:tcW w:w="1696" w:type="dxa"/>
                  <w:vMerge w:val="continue"/>
                  <w:vAlign w:val="center"/>
                </w:tcPr>
                <w:p w14:paraId="313C157F">
                  <w:pPr>
                    <w:jc w:val="center"/>
                    <w:rPr>
                      <w:szCs w:val="21"/>
                    </w:rPr>
                  </w:pPr>
                </w:p>
              </w:tc>
              <w:tc>
                <w:tcPr>
                  <w:tcW w:w="963" w:type="dxa"/>
                  <w:vMerge w:val="continue"/>
                  <w:vAlign w:val="center"/>
                </w:tcPr>
                <w:p w14:paraId="41C07D86">
                  <w:pPr>
                    <w:jc w:val="center"/>
                    <w:rPr>
                      <w:szCs w:val="21"/>
                    </w:rPr>
                  </w:pPr>
                </w:p>
              </w:tc>
              <w:tc>
                <w:tcPr>
                  <w:tcW w:w="1121" w:type="dxa"/>
                  <w:vMerge w:val="continue"/>
                  <w:vAlign w:val="center"/>
                </w:tcPr>
                <w:p w14:paraId="041BCC44">
                  <w:pPr>
                    <w:jc w:val="center"/>
                    <w:rPr>
                      <w:szCs w:val="21"/>
                    </w:rPr>
                  </w:pPr>
                </w:p>
              </w:tc>
              <w:tc>
                <w:tcPr>
                  <w:tcW w:w="1519" w:type="dxa"/>
                  <w:vAlign w:val="center"/>
                </w:tcPr>
                <w:p w14:paraId="6F3DBB33">
                  <w:pPr>
                    <w:jc w:val="center"/>
                    <w:rPr>
                      <w:szCs w:val="21"/>
                    </w:rPr>
                  </w:pPr>
                  <w:r>
                    <w:rPr>
                      <w:szCs w:val="21"/>
                    </w:rPr>
                    <w:t>20（监控点处任意一次浓度值）</w:t>
                  </w:r>
                </w:p>
              </w:tc>
              <w:tc>
                <w:tcPr>
                  <w:tcW w:w="1931" w:type="dxa"/>
                  <w:vMerge w:val="continue"/>
                  <w:vAlign w:val="center"/>
                </w:tcPr>
                <w:p w14:paraId="4FC64CCB">
                  <w:pPr>
                    <w:jc w:val="center"/>
                    <w:rPr>
                      <w:szCs w:val="21"/>
                    </w:rPr>
                  </w:pPr>
                </w:p>
              </w:tc>
            </w:tr>
            <w:tr w14:paraId="4C31D8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03" w:type="dxa"/>
                  <w:vMerge w:val="restart"/>
                  <w:vAlign w:val="center"/>
                </w:tcPr>
                <w:p w14:paraId="5ECC5142">
                  <w:pPr>
                    <w:jc w:val="center"/>
                    <w:rPr>
                      <w:szCs w:val="21"/>
                    </w:rPr>
                  </w:pPr>
                  <w:r>
                    <w:rPr>
                      <w:szCs w:val="21"/>
                    </w:rPr>
                    <w:t>厂界无组织</w:t>
                  </w:r>
                </w:p>
              </w:tc>
              <w:tc>
                <w:tcPr>
                  <w:tcW w:w="963" w:type="dxa"/>
                  <w:vAlign w:val="center"/>
                </w:tcPr>
                <w:p w14:paraId="3883A270">
                  <w:pPr>
                    <w:adjustRightInd w:val="0"/>
                    <w:jc w:val="center"/>
                    <w:textAlignment w:val="baseline"/>
                    <w:rPr>
                      <w:kern w:val="0"/>
                      <w:szCs w:val="21"/>
                    </w:rPr>
                  </w:pPr>
                  <w:r>
                    <w:rPr>
                      <w:kern w:val="0"/>
                      <w:szCs w:val="21"/>
                    </w:rPr>
                    <w:t>颗粒物</w:t>
                  </w:r>
                </w:p>
              </w:tc>
              <w:tc>
                <w:tcPr>
                  <w:tcW w:w="1696" w:type="dxa"/>
                  <w:vAlign w:val="center"/>
                </w:tcPr>
                <w:p w14:paraId="4F3E020F">
                  <w:pPr>
                    <w:jc w:val="center"/>
                    <w:rPr>
                      <w:szCs w:val="21"/>
                    </w:rPr>
                  </w:pPr>
                  <w:r>
                    <w:rPr>
                      <w:szCs w:val="21"/>
                    </w:rPr>
                    <w:t>/</w:t>
                  </w:r>
                </w:p>
              </w:tc>
              <w:tc>
                <w:tcPr>
                  <w:tcW w:w="963" w:type="dxa"/>
                  <w:vAlign w:val="center"/>
                </w:tcPr>
                <w:p w14:paraId="068A70AE">
                  <w:pPr>
                    <w:jc w:val="center"/>
                    <w:rPr>
                      <w:szCs w:val="21"/>
                    </w:rPr>
                  </w:pPr>
                  <w:r>
                    <w:rPr>
                      <w:szCs w:val="21"/>
                    </w:rPr>
                    <w:t>/</w:t>
                  </w:r>
                </w:p>
              </w:tc>
              <w:tc>
                <w:tcPr>
                  <w:tcW w:w="1121" w:type="dxa"/>
                  <w:vAlign w:val="center"/>
                </w:tcPr>
                <w:p w14:paraId="222CBD73">
                  <w:pPr>
                    <w:jc w:val="center"/>
                    <w:rPr>
                      <w:szCs w:val="21"/>
                    </w:rPr>
                  </w:pPr>
                  <w:r>
                    <w:rPr>
                      <w:szCs w:val="21"/>
                    </w:rPr>
                    <w:t>/</w:t>
                  </w:r>
                </w:p>
              </w:tc>
              <w:tc>
                <w:tcPr>
                  <w:tcW w:w="1519" w:type="dxa"/>
                  <w:vAlign w:val="center"/>
                </w:tcPr>
                <w:p w14:paraId="7431FBA0">
                  <w:pPr>
                    <w:jc w:val="center"/>
                    <w:rPr>
                      <w:szCs w:val="21"/>
                    </w:rPr>
                  </w:pPr>
                  <w:r>
                    <w:rPr>
                      <w:szCs w:val="21"/>
                    </w:rPr>
                    <w:t>0.5</w:t>
                  </w:r>
                </w:p>
              </w:tc>
              <w:tc>
                <w:tcPr>
                  <w:tcW w:w="1931" w:type="dxa"/>
                  <w:vMerge w:val="restart"/>
                  <w:vAlign w:val="center"/>
                </w:tcPr>
                <w:p w14:paraId="44BAB8AF">
                  <w:pPr>
                    <w:jc w:val="center"/>
                    <w:rPr>
                      <w:szCs w:val="21"/>
                    </w:rPr>
                  </w:pPr>
                  <w:r>
                    <w:rPr>
                      <w:szCs w:val="21"/>
                    </w:rPr>
                    <w:t>《大气污染物综合排放标准》（DB32/4041-2021）表3标准</w:t>
                  </w:r>
                </w:p>
              </w:tc>
            </w:tr>
            <w:tr w14:paraId="3DF591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03" w:type="dxa"/>
                  <w:vMerge w:val="continue"/>
                  <w:vAlign w:val="center"/>
                </w:tcPr>
                <w:p w14:paraId="7703097A">
                  <w:pPr>
                    <w:jc w:val="center"/>
                    <w:rPr>
                      <w:szCs w:val="21"/>
                    </w:rPr>
                  </w:pPr>
                </w:p>
              </w:tc>
              <w:tc>
                <w:tcPr>
                  <w:tcW w:w="963" w:type="dxa"/>
                  <w:vAlign w:val="center"/>
                </w:tcPr>
                <w:p w14:paraId="4A8F8787">
                  <w:pPr>
                    <w:adjustRightInd w:val="0"/>
                    <w:jc w:val="center"/>
                    <w:textAlignment w:val="baseline"/>
                    <w:rPr>
                      <w:kern w:val="0"/>
                      <w:szCs w:val="21"/>
                    </w:rPr>
                  </w:pPr>
                  <w:r>
                    <w:rPr>
                      <w:kern w:val="0"/>
                      <w:szCs w:val="21"/>
                    </w:rPr>
                    <w:t>乙醛</w:t>
                  </w:r>
                </w:p>
              </w:tc>
              <w:tc>
                <w:tcPr>
                  <w:tcW w:w="1696" w:type="dxa"/>
                  <w:vAlign w:val="center"/>
                </w:tcPr>
                <w:p w14:paraId="7F4F29C5">
                  <w:pPr>
                    <w:jc w:val="center"/>
                    <w:rPr>
                      <w:szCs w:val="21"/>
                    </w:rPr>
                  </w:pPr>
                  <w:r>
                    <w:rPr>
                      <w:szCs w:val="21"/>
                    </w:rPr>
                    <w:t>/</w:t>
                  </w:r>
                </w:p>
              </w:tc>
              <w:tc>
                <w:tcPr>
                  <w:tcW w:w="963" w:type="dxa"/>
                  <w:vAlign w:val="center"/>
                </w:tcPr>
                <w:p w14:paraId="1B0261B4">
                  <w:pPr>
                    <w:jc w:val="center"/>
                    <w:rPr>
                      <w:szCs w:val="21"/>
                    </w:rPr>
                  </w:pPr>
                  <w:r>
                    <w:rPr>
                      <w:szCs w:val="21"/>
                    </w:rPr>
                    <w:t>/</w:t>
                  </w:r>
                </w:p>
              </w:tc>
              <w:tc>
                <w:tcPr>
                  <w:tcW w:w="1121" w:type="dxa"/>
                  <w:vAlign w:val="center"/>
                </w:tcPr>
                <w:p w14:paraId="456B0909">
                  <w:pPr>
                    <w:jc w:val="center"/>
                    <w:rPr>
                      <w:szCs w:val="21"/>
                    </w:rPr>
                  </w:pPr>
                  <w:r>
                    <w:rPr>
                      <w:szCs w:val="21"/>
                    </w:rPr>
                    <w:t>/</w:t>
                  </w:r>
                </w:p>
              </w:tc>
              <w:tc>
                <w:tcPr>
                  <w:tcW w:w="1519" w:type="dxa"/>
                  <w:vAlign w:val="center"/>
                </w:tcPr>
                <w:p w14:paraId="36468586">
                  <w:pPr>
                    <w:jc w:val="center"/>
                    <w:rPr>
                      <w:szCs w:val="21"/>
                    </w:rPr>
                  </w:pPr>
                  <w:r>
                    <w:rPr>
                      <w:szCs w:val="21"/>
                    </w:rPr>
                    <w:t>0.01</w:t>
                  </w:r>
                </w:p>
              </w:tc>
              <w:tc>
                <w:tcPr>
                  <w:tcW w:w="1931" w:type="dxa"/>
                  <w:vMerge w:val="continue"/>
                  <w:vAlign w:val="center"/>
                </w:tcPr>
                <w:p w14:paraId="4A7D24B2">
                  <w:pPr>
                    <w:jc w:val="center"/>
                    <w:rPr>
                      <w:szCs w:val="21"/>
                    </w:rPr>
                  </w:pPr>
                </w:p>
              </w:tc>
            </w:tr>
            <w:tr w14:paraId="5375F5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03" w:type="dxa"/>
                  <w:vMerge w:val="continue"/>
                  <w:vAlign w:val="center"/>
                </w:tcPr>
                <w:p w14:paraId="43C042C3">
                  <w:pPr>
                    <w:jc w:val="center"/>
                    <w:rPr>
                      <w:szCs w:val="21"/>
                    </w:rPr>
                  </w:pPr>
                </w:p>
              </w:tc>
              <w:tc>
                <w:tcPr>
                  <w:tcW w:w="963" w:type="dxa"/>
                  <w:vAlign w:val="center"/>
                </w:tcPr>
                <w:p w14:paraId="69989639">
                  <w:pPr>
                    <w:adjustRightInd w:val="0"/>
                    <w:jc w:val="center"/>
                    <w:textAlignment w:val="baseline"/>
                    <w:rPr>
                      <w:kern w:val="0"/>
                      <w:szCs w:val="21"/>
                    </w:rPr>
                  </w:pPr>
                  <w:r>
                    <w:rPr>
                      <w:kern w:val="0"/>
                      <w:szCs w:val="21"/>
                    </w:rPr>
                    <w:t>非甲烷总烃</w:t>
                  </w:r>
                </w:p>
              </w:tc>
              <w:tc>
                <w:tcPr>
                  <w:tcW w:w="1696" w:type="dxa"/>
                  <w:vAlign w:val="center"/>
                </w:tcPr>
                <w:p w14:paraId="229CC0EA">
                  <w:pPr>
                    <w:jc w:val="center"/>
                    <w:rPr>
                      <w:szCs w:val="21"/>
                    </w:rPr>
                  </w:pPr>
                  <w:r>
                    <w:rPr>
                      <w:szCs w:val="21"/>
                    </w:rPr>
                    <w:t>/</w:t>
                  </w:r>
                </w:p>
              </w:tc>
              <w:tc>
                <w:tcPr>
                  <w:tcW w:w="963" w:type="dxa"/>
                  <w:vAlign w:val="center"/>
                </w:tcPr>
                <w:p w14:paraId="1569A572">
                  <w:pPr>
                    <w:jc w:val="center"/>
                    <w:rPr>
                      <w:szCs w:val="21"/>
                    </w:rPr>
                  </w:pPr>
                  <w:r>
                    <w:rPr>
                      <w:szCs w:val="21"/>
                    </w:rPr>
                    <w:t>/</w:t>
                  </w:r>
                </w:p>
              </w:tc>
              <w:tc>
                <w:tcPr>
                  <w:tcW w:w="1121" w:type="dxa"/>
                  <w:vAlign w:val="center"/>
                </w:tcPr>
                <w:p w14:paraId="09AD2262">
                  <w:pPr>
                    <w:jc w:val="center"/>
                    <w:rPr>
                      <w:szCs w:val="21"/>
                    </w:rPr>
                  </w:pPr>
                  <w:r>
                    <w:rPr>
                      <w:szCs w:val="21"/>
                    </w:rPr>
                    <w:t>/</w:t>
                  </w:r>
                </w:p>
              </w:tc>
              <w:tc>
                <w:tcPr>
                  <w:tcW w:w="1519" w:type="dxa"/>
                  <w:vAlign w:val="center"/>
                </w:tcPr>
                <w:p w14:paraId="3A6E16EB">
                  <w:pPr>
                    <w:jc w:val="center"/>
                    <w:rPr>
                      <w:szCs w:val="21"/>
                    </w:rPr>
                  </w:pPr>
                  <w:r>
                    <w:rPr>
                      <w:szCs w:val="21"/>
                    </w:rPr>
                    <w:t>4.0</w:t>
                  </w:r>
                </w:p>
              </w:tc>
              <w:tc>
                <w:tcPr>
                  <w:tcW w:w="1931" w:type="dxa"/>
                  <w:vAlign w:val="center"/>
                </w:tcPr>
                <w:p w14:paraId="163EB9A5">
                  <w:pPr>
                    <w:jc w:val="center"/>
                    <w:rPr>
                      <w:szCs w:val="21"/>
                    </w:rPr>
                  </w:pPr>
                  <w:r>
                    <w:rPr>
                      <w:szCs w:val="21"/>
                    </w:rPr>
                    <w:t>《合成树脂工业污染物排放标准》</w:t>
                  </w:r>
                  <w:r>
                    <w:rPr>
                      <w:rFonts w:hint="eastAsia"/>
                      <w:szCs w:val="21"/>
                    </w:rPr>
                    <w:t>及其修改单</w:t>
                  </w:r>
                  <w:r>
                    <w:rPr>
                      <w:szCs w:val="21"/>
                    </w:rPr>
                    <w:t>（GB31572-2015）</w:t>
                  </w:r>
                  <w:r>
                    <w:rPr>
                      <w:rFonts w:hint="eastAsia"/>
                      <w:szCs w:val="21"/>
                    </w:rPr>
                    <w:t>及其修改单</w:t>
                  </w:r>
                  <w:r>
                    <w:rPr>
                      <w:szCs w:val="21"/>
                    </w:rPr>
                    <w:t>表9标准</w:t>
                  </w:r>
                </w:p>
              </w:tc>
            </w:tr>
            <w:tr w14:paraId="2DC011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03" w:type="dxa"/>
                  <w:vMerge w:val="continue"/>
                  <w:vAlign w:val="center"/>
                </w:tcPr>
                <w:p w14:paraId="5A1E1960">
                  <w:pPr>
                    <w:jc w:val="center"/>
                    <w:rPr>
                      <w:szCs w:val="21"/>
                    </w:rPr>
                  </w:pPr>
                </w:p>
              </w:tc>
              <w:tc>
                <w:tcPr>
                  <w:tcW w:w="963" w:type="dxa"/>
                  <w:vAlign w:val="center"/>
                </w:tcPr>
                <w:p w14:paraId="4FC04B32">
                  <w:pPr>
                    <w:adjustRightInd w:val="0"/>
                    <w:jc w:val="center"/>
                    <w:textAlignment w:val="baseline"/>
                    <w:rPr>
                      <w:kern w:val="0"/>
                      <w:szCs w:val="21"/>
                    </w:rPr>
                  </w:pPr>
                  <w:r>
                    <w:rPr>
                      <w:kern w:val="0"/>
                      <w:szCs w:val="21"/>
                    </w:rPr>
                    <w:t>氨</w:t>
                  </w:r>
                </w:p>
              </w:tc>
              <w:tc>
                <w:tcPr>
                  <w:tcW w:w="1696" w:type="dxa"/>
                  <w:vAlign w:val="center"/>
                </w:tcPr>
                <w:p w14:paraId="1F119668">
                  <w:pPr>
                    <w:jc w:val="center"/>
                    <w:rPr>
                      <w:szCs w:val="21"/>
                    </w:rPr>
                  </w:pPr>
                  <w:r>
                    <w:rPr>
                      <w:szCs w:val="21"/>
                    </w:rPr>
                    <w:t>/</w:t>
                  </w:r>
                </w:p>
              </w:tc>
              <w:tc>
                <w:tcPr>
                  <w:tcW w:w="963" w:type="dxa"/>
                  <w:vAlign w:val="center"/>
                </w:tcPr>
                <w:p w14:paraId="00C3D413">
                  <w:pPr>
                    <w:jc w:val="center"/>
                    <w:rPr>
                      <w:szCs w:val="21"/>
                    </w:rPr>
                  </w:pPr>
                  <w:r>
                    <w:rPr>
                      <w:szCs w:val="21"/>
                    </w:rPr>
                    <w:t>/</w:t>
                  </w:r>
                </w:p>
              </w:tc>
              <w:tc>
                <w:tcPr>
                  <w:tcW w:w="1121" w:type="dxa"/>
                  <w:vAlign w:val="center"/>
                </w:tcPr>
                <w:p w14:paraId="73AB8A88">
                  <w:pPr>
                    <w:jc w:val="center"/>
                    <w:rPr>
                      <w:szCs w:val="21"/>
                    </w:rPr>
                  </w:pPr>
                  <w:r>
                    <w:rPr>
                      <w:szCs w:val="21"/>
                    </w:rPr>
                    <w:t>/</w:t>
                  </w:r>
                </w:p>
              </w:tc>
              <w:tc>
                <w:tcPr>
                  <w:tcW w:w="1519" w:type="dxa"/>
                  <w:vAlign w:val="center"/>
                </w:tcPr>
                <w:p w14:paraId="16EE7500">
                  <w:pPr>
                    <w:jc w:val="center"/>
                    <w:rPr>
                      <w:szCs w:val="21"/>
                    </w:rPr>
                  </w:pPr>
                  <w:r>
                    <w:rPr>
                      <w:szCs w:val="21"/>
                    </w:rPr>
                    <w:t>1.5</w:t>
                  </w:r>
                </w:p>
              </w:tc>
              <w:tc>
                <w:tcPr>
                  <w:tcW w:w="1931" w:type="dxa"/>
                  <w:vAlign w:val="center"/>
                </w:tcPr>
                <w:p w14:paraId="550B4E1A">
                  <w:pPr>
                    <w:jc w:val="center"/>
                    <w:rPr>
                      <w:szCs w:val="21"/>
                    </w:rPr>
                  </w:pPr>
                  <w:r>
                    <w:rPr>
                      <w:szCs w:val="21"/>
                    </w:rPr>
                    <w:t>《恶臭污染物排放标准》(GB14554-93)厂界浓度限值</w:t>
                  </w:r>
                </w:p>
              </w:tc>
            </w:tr>
          </w:tbl>
          <w:p w14:paraId="52C7DDDA">
            <w:pPr>
              <w:pStyle w:val="78"/>
              <w:spacing w:before="0" w:after="0"/>
              <w:rPr>
                <w:rFonts w:cs="Times New Roman"/>
                <w:b w:val="0"/>
                <w:bCs/>
                <w:sz w:val="21"/>
              </w:rPr>
            </w:pPr>
            <w:r>
              <w:rPr>
                <w:rFonts w:cs="Times New Roman"/>
                <w:b w:val="0"/>
                <w:bCs/>
                <w:sz w:val="21"/>
              </w:rPr>
              <w:t>注：*待国家污染物监测方法标准发布后实施。</w:t>
            </w:r>
          </w:p>
          <w:p w14:paraId="1372CB0A">
            <w:pPr>
              <w:pStyle w:val="78"/>
              <w:spacing w:before="0" w:after="0"/>
              <w:rPr>
                <w:rFonts w:cs="Times New Roman"/>
                <w:szCs w:val="24"/>
              </w:rPr>
            </w:pPr>
            <w:r>
              <w:rPr>
                <w:rFonts w:cs="Times New Roman"/>
                <w:szCs w:val="24"/>
              </w:rPr>
              <w:t>2、废水排放标准</w:t>
            </w:r>
          </w:p>
          <w:p w14:paraId="6DFD3EE7">
            <w:pPr>
              <w:pStyle w:val="78"/>
              <w:spacing w:before="0" w:after="0" w:line="500" w:lineRule="exact"/>
              <w:ind w:firstLine="480" w:firstLineChars="200"/>
              <w:jc w:val="both"/>
              <w:rPr>
                <w:rFonts w:cs="Times New Roman"/>
                <w:b w:val="0"/>
                <w:bCs/>
                <w:szCs w:val="24"/>
              </w:rPr>
            </w:pPr>
            <w:r>
              <w:rPr>
                <w:rFonts w:cs="Times New Roman"/>
                <w:b w:val="0"/>
                <w:bCs/>
                <w:szCs w:val="24"/>
              </w:rPr>
              <w:t>本项目生产废水、生活废水经分类收集后</w:t>
            </w:r>
            <w:r>
              <w:rPr>
                <w:rFonts w:hint="eastAsia" w:cs="Times New Roman"/>
                <w:b w:val="0"/>
                <w:bCs/>
                <w:szCs w:val="24"/>
              </w:rPr>
              <w:t>管道输</w:t>
            </w:r>
            <w:r>
              <w:rPr>
                <w:rFonts w:cs="Times New Roman"/>
                <w:b w:val="0"/>
                <w:bCs/>
                <w:szCs w:val="24"/>
              </w:rPr>
              <w:t>送至江苏芮邦科技有限公司厂区污水站分质预处理后各股废水分质</w:t>
            </w:r>
            <w:r>
              <w:rPr>
                <w:rFonts w:hint="eastAsia" w:cs="Times New Roman"/>
                <w:b w:val="0"/>
                <w:bCs/>
                <w:szCs w:val="24"/>
              </w:rPr>
              <w:t>管道输</w:t>
            </w:r>
            <w:r>
              <w:rPr>
                <w:rFonts w:cs="Times New Roman"/>
                <w:b w:val="0"/>
                <w:bCs/>
                <w:szCs w:val="24"/>
              </w:rPr>
              <w:t>送至污水站混合调节池混合后，采用“活性污泥+兼氧好氧”的好氧生化处理工艺和“陶粒过滤+活性炭过滤+精密过滤+反渗透”中水回用深度处理工艺，活性炭过滤器出水中的40%和反渗透淡水在清水池内混合后作为中水回用，中水回用率为80%，反渗透浓水（占比20%）进入除锑系统处理达标后排入市政管网由泗阳高新区污水处理厂（一期）集中处理，尾水执行《城镇污水处理厂污染物排放标准》（GB18918-2002）中一级A标准，排入小长河，最终进入</w:t>
            </w:r>
            <w:r>
              <w:rPr>
                <w:rFonts w:hint="eastAsia" w:cs="Times New Roman"/>
                <w:b w:val="0"/>
                <w:bCs/>
                <w:szCs w:val="24"/>
              </w:rPr>
              <w:t>黄河故道（原废黄河）</w:t>
            </w:r>
            <w:r>
              <w:rPr>
                <w:rFonts w:cs="Times New Roman"/>
                <w:b w:val="0"/>
                <w:bCs/>
                <w:szCs w:val="24"/>
              </w:rPr>
              <w:t>。反渗透淡水执行《城市污水再生利用 工业用水水质》（GB/T 19923-2024）表1标准。</w:t>
            </w:r>
          </w:p>
          <w:p w14:paraId="5299017B">
            <w:pPr>
              <w:spacing w:line="500" w:lineRule="exact"/>
              <w:jc w:val="center"/>
              <w:rPr>
                <w:b/>
                <w:sz w:val="24"/>
              </w:rPr>
            </w:pPr>
            <w:r>
              <w:rPr>
                <w:b/>
                <w:sz w:val="24"/>
              </w:rPr>
              <w:t>表3-6  本项目污水预处理后中水回用出水水质标准（单位: mg/L）</w:t>
            </w:r>
          </w:p>
          <w:tbl>
            <w:tblPr>
              <w:tblStyle w:val="4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63"/>
              <w:gridCol w:w="2563"/>
              <w:gridCol w:w="683"/>
              <w:gridCol w:w="519"/>
              <w:gridCol w:w="493"/>
              <w:gridCol w:w="658"/>
              <w:gridCol w:w="584"/>
              <w:gridCol w:w="833"/>
            </w:tblGrid>
            <w:tr w14:paraId="38E045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41" w:type="pct"/>
                  <w:vAlign w:val="center"/>
                </w:tcPr>
                <w:p w14:paraId="7980FE20">
                  <w:pPr>
                    <w:adjustRightInd w:val="0"/>
                    <w:snapToGrid w:val="0"/>
                    <w:jc w:val="center"/>
                    <w:rPr>
                      <w:b/>
                      <w:bCs/>
                      <w:szCs w:val="21"/>
                    </w:rPr>
                  </w:pPr>
                  <w:r>
                    <w:rPr>
                      <w:b/>
                      <w:bCs/>
                      <w:szCs w:val="21"/>
                    </w:rPr>
                    <w:t>标准</w:t>
                  </w:r>
                </w:p>
              </w:tc>
              <w:tc>
                <w:tcPr>
                  <w:tcW w:w="1441" w:type="pct"/>
                  <w:vAlign w:val="center"/>
                </w:tcPr>
                <w:p w14:paraId="49B98934">
                  <w:pPr>
                    <w:adjustRightInd w:val="0"/>
                    <w:snapToGrid w:val="0"/>
                    <w:jc w:val="center"/>
                    <w:rPr>
                      <w:b/>
                      <w:bCs/>
                      <w:szCs w:val="21"/>
                    </w:rPr>
                  </w:pPr>
                  <w:r>
                    <w:rPr>
                      <w:b/>
                      <w:bCs/>
                      <w:szCs w:val="21"/>
                    </w:rPr>
                    <w:t>使用方式</w:t>
                  </w:r>
                </w:p>
              </w:tc>
              <w:tc>
                <w:tcPr>
                  <w:tcW w:w="383" w:type="pct"/>
                  <w:vAlign w:val="center"/>
                </w:tcPr>
                <w:p w14:paraId="2412336C">
                  <w:pPr>
                    <w:adjustRightInd w:val="0"/>
                    <w:snapToGrid w:val="0"/>
                    <w:jc w:val="center"/>
                    <w:rPr>
                      <w:b/>
                      <w:bCs/>
                      <w:szCs w:val="21"/>
                    </w:rPr>
                  </w:pPr>
                  <w:r>
                    <w:rPr>
                      <w:b/>
                      <w:bCs/>
                      <w:szCs w:val="21"/>
                    </w:rPr>
                    <w:t>COD</w:t>
                  </w:r>
                </w:p>
              </w:tc>
              <w:tc>
                <w:tcPr>
                  <w:tcW w:w="292" w:type="pct"/>
                  <w:vAlign w:val="center"/>
                </w:tcPr>
                <w:p w14:paraId="44D1990D">
                  <w:pPr>
                    <w:adjustRightInd w:val="0"/>
                    <w:snapToGrid w:val="0"/>
                    <w:jc w:val="center"/>
                    <w:rPr>
                      <w:b/>
                      <w:bCs/>
                      <w:szCs w:val="21"/>
                    </w:rPr>
                  </w:pPr>
                  <w:r>
                    <w:rPr>
                      <w:b/>
                      <w:bCs/>
                      <w:szCs w:val="21"/>
                    </w:rPr>
                    <w:t>SS</w:t>
                  </w:r>
                </w:p>
              </w:tc>
              <w:tc>
                <w:tcPr>
                  <w:tcW w:w="277" w:type="pct"/>
                  <w:vAlign w:val="center"/>
                </w:tcPr>
                <w:p w14:paraId="69906AA3">
                  <w:pPr>
                    <w:adjustRightInd w:val="0"/>
                    <w:snapToGrid w:val="0"/>
                    <w:jc w:val="center"/>
                    <w:rPr>
                      <w:b/>
                      <w:bCs/>
                      <w:szCs w:val="21"/>
                    </w:rPr>
                  </w:pPr>
                  <w:r>
                    <w:rPr>
                      <w:b/>
                      <w:bCs/>
                      <w:szCs w:val="21"/>
                    </w:rPr>
                    <w:t>氨氮</w:t>
                  </w:r>
                </w:p>
              </w:tc>
              <w:tc>
                <w:tcPr>
                  <w:tcW w:w="370" w:type="pct"/>
                  <w:vAlign w:val="center"/>
                </w:tcPr>
                <w:p w14:paraId="3F36217F">
                  <w:pPr>
                    <w:adjustRightInd w:val="0"/>
                    <w:snapToGrid w:val="0"/>
                    <w:jc w:val="center"/>
                    <w:rPr>
                      <w:b/>
                      <w:bCs/>
                      <w:szCs w:val="21"/>
                    </w:rPr>
                  </w:pPr>
                  <w:r>
                    <w:rPr>
                      <w:b/>
                      <w:bCs/>
                      <w:szCs w:val="21"/>
                    </w:rPr>
                    <w:t>总磷</w:t>
                  </w:r>
                </w:p>
              </w:tc>
              <w:tc>
                <w:tcPr>
                  <w:tcW w:w="328" w:type="pct"/>
                  <w:vAlign w:val="center"/>
                </w:tcPr>
                <w:p w14:paraId="2F4D2D95">
                  <w:pPr>
                    <w:adjustRightInd w:val="0"/>
                    <w:snapToGrid w:val="0"/>
                    <w:jc w:val="center"/>
                    <w:rPr>
                      <w:b/>
                      <w:bCs/>
                      <w:szCs w:val="21"/>
                    </w:rPr>
                  </w:pPr>
                  <w:r>
                    <w:rPr>
                      <w:b/>
                      <w:bCs/>
                      <w:szCs w:val="21"/>
                    </w:rPr>
                    <w:t>石油类</w:t>
                  </w:r>
                </w:p>
              </w:tc>
              <w:tc>
                <w:tcPr>
                  <w:tcW w:w="468" w:type="pct"/>
                  <w:vAlign w:val="center"/>
                </w:tcPr>
                <w:p w14:paraId="62179D3C">
                  <w:pPr>
                    <w:adjustRightInd w:val="0"/>
                    <w:snapToGrid w:val="0"/>
                    <w:jc w:val="center"/>
                    <w:rPr>
                      <w:b/>
                      <w:bCs/>
                      <w:szCs w:val="21"/>
                    </w:rPr>
                  </w:pPr>
                  <w:r>
                    <w:rPr>
                      <w:b/>
                      <w:bCs/>
                      <w:szCs w:val="21"/>
                    </w:rPr>
                    <w:t>溶解性总固体</w:t>
                  </w:r>
                </w:p>
              </w:tc>
            </w:tr>
            <w:tr w14:paraId="4B71D9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41" w:type="pct"/>
                  <w:vMerge w:val="restart"/>
                  <w:vAlign w:val="center"/>
                </w:tcPr>
                <w:p w14:paraId="7EBF3483">
                  <w:pPr>
                    <w:adjustRightInd w:val="0"/>
                    <w:snapToGrid w:val="0"/>
                    <w:jc w:val="center"/>
                    <w:rPr>
                      <w:szCs w:val="21"/>
                    </w:rPr>
                  </w:pPr>
                  <w:r>
                    <w:rPr>
                      <w:szCs w:val="21"/>
                    </w:rPr>
                    <w:t>《城市污水再生利用 工业用水水质》（GB/T 19923-2024）</w:t>
                  </w:r>
                </w:p>
              </w:tc>
              <w:tc>
                <w:tcPr>
                  <w:tcW w:w="1441" w:type="pct"/>
                  <w:vAlign w:val="center"/>
                </w:tcPr>
                <w:p w14:paraId="1E70A2E9">
                  <w:pPr>
                    <w:adjustRightInd w:val="0"/>
                    <w:snapToGrid w:val="0"/>
                    <w:jc w:val="center"/>
                    <w:rPr>
                      <w:szCs w:val="21"/>
                    </w:rPr>
                  </w:pPr>
                  <w:r>
                    <w:rPr>
                      <w:szCs w:val="21"/>
                    </w:rPr>
                    <w:t>间冷开式循环冷却水补充水、锅炉补给水、工艺用水、产品用水</w:t>
                  </w:r>
                </w:p>
              </w:tc>
              <w:tc>
                <w:tcPr>
                  <w:tcW w:w="383" w:type="pct"/>
                  <w:vAlign w:val="center"/>
                </w:tcPr>
                <w:p w14:paraId="48555CAC">
                  <w:pPr>
                    <w:widowControl/>
                    <w:adjustRightInd w:val="0"/>
                    <w:snapToGrid w:val="0"/>
                    <w:jc w:val="center"/>
                    <w:rPr>
                      <w:szCs w:val="21"/>
                    </w:rPr>
                  </w:pPr>
                  <w:r>
                    <w:rPr>
                      <w:szCs w:val="21"/>
                    </w:rPr>
                    <w:t>50</w:t>
                  </w:r>
                </w:p>
              </w:tc>
              <w:tc>
                <w:tcPr>
                  <w:tcW w:w="292" w:type="pct"/>
                  <w:vAlign w:val="center"/>
                </w:tcPr>
                <w:p w14:paraId="323F9C79">
                  <w:pPr>
                    <w:widowControl/>
                    <w:adjustRightInd w:val="0"/>
                    <w:snapToGrid w:val="0"/>
                    <w:jc w:val="center"/>
                    <w:rPr>
                      <w:szCs w:val="21"/>
                    </w:rPr>
                  </w:pPr>
                  <w:r>
                    <w:rPr>
                      <w:szCs w:val="21"/>
                    </w:rPr>
                    <w:t>/</w:t>
                  </w:r>
                </w:p>
              </w:tc>
              <w:tc>
                <w:tcPr>
                  <w:tcW w:w="277" w:type="pct"/>
                  <w:vAlign w:val="center"/>
                </w:tcPr>
                <w:p w14:paraId="39DC90D7">
                  <w:pPr>
                    <w:widowControl/>
                    <w:adjustRightInd w:val="0"/>
                    <w:snapToGrid w:val="0"/>
                    <w:jc w:val="center"/>
                    <w:rPr>
                      <w:szCs w:val="21"/>
                    </w:rPr>
                  </w:pPr>
                  <w:r>
                    <w:rPr>
                      <w:szCs w:val="21"/>
                    </w:rPr>
                    <w:t>5</w:t>
                  </w:r>
                </w:p>
              </w:tc>
              <w:tc>
                <w:tcPr>
                  <w:tcW w:w="370" w:type="pct"/>
                  <w:vAlign w:val="center"/>
                </w:tcPr>
                <w:p w14:paraId="21F480E9">
                  <w:pPr>
                    <w:widowControl/>
                    <w:adjustRightInd w:val="0"/>
                    <w:snapToGrid w:val="0"/>
                    <w:jc w:val="center"/>
                    <w:rPr>
                      <w:szCs w:val="21"/>
                    </w:rPr>
                  </w:pPr>
                  <w:r>
                    <w:rPr>
                      <w:szCs w:val="21"/>
                    </w:rPr>
                    <w:t>0.5</w:t>
                  </w:r>
                </w:p>
              </w:tc>
              <w:tc>
                <w:tcPr>
                  <w:tcW w:w="328" w:type="pct"/>
                  <w:vAlign w:val="center"/>
                </w:tcPr>
                <w:p w14:paraId="006568C0">
                  <w:pPr>
                    <w:widowControl/>
                    <w:adjustRightInd w:val="0"/>
                    <w:snapToGrid w:val="0"/>
                    <w:jc w:val="center"/>
                    <w:rPr>
                      <w:szCs w:val="21"/>
                    </w:rPr>
                  </w:pPr>
                  <w:r>
                    <w:rPr>
                      <w:szCs w:val="21"/>
                    </w:rPr>
                    <w:t>1.0</w:t>
                  </w:r>
                </w:p>
              </w:tc>
              <w:tc>
                <w:tcPr>
                  <w:tcW w:w="468" w:type="pct"/>
                  <w:vAlign w:val="center"/>
                </w:tcPr>
                <w:p w14:paraId="0BFB2397">
                  <w:pPr>
                    <w:widowControl/>
                    <w:adjustRightInd w:val="0"/>
                    <w:snapToGrid w:val="0"/>
                    <w:jc w:val="center"/>
                    <w:rPr>
                      <w:szCs w:val="21"/>
                    </w:rPr>
                  </w:pPr>
                  <w:r>
                    <w:rPr>
                      <w:szCs w:val="21"/>
                    </w:rPr>
                    <w:t>1000</w:t>
                  </w:r>
                </w:p>
              </w:tc>
            </w:tr>
            <w:tr w14:paraId="2EE48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41" w:type="pct"/>
                  <w:vMerge w:val="continue"/>
                  <w:vAlign w:val="center"/>
                </w:tcPr>
                <w:p w14:paraId="1F98AEBF">
                  <w:pPr>
                    <w:adjustRightInd w:val="0"/>
                    <w:snapToGrid w:val="0"/>
                    <w:jc w:val="center"/>
                    <w:rPr>
                      <w:szCs w:val="21"/>
                    </w:rPr>
                  </w:pPr>
                </w:p>
              </w:tc>
              <w:tc>
                <w:tcPr>
                  <w:tcW w:w="1441" w:type="pct"/>
                  <w:vAlign w:val="center"/>
                </w:tcPr>
                <w:p w14:paraId="7099B749">
                  <w:pPr>
                    <w:adjustRightInd w:val="0"/>
                    <w:snapToGrid w:val="0"/>
                    <w:jc w:val="center"/>
                    <w:rPr>
                      <w:szCs w:val="21"/>
                    </w:rPr>
                  </w:pPr>
                  <w:r>
                    <w:rPr>
                      <w:szCs w:val="21"/>
                    </w:rPr>
                    <w:t>直流冷却水、洗涤用水</w:t>
                  </w:r>
                </w:p>
              </w:tc>
              <w:tc>
                <w:tcPr>
                  <w:tcW w:w="383" w:type="pct"/>
                  <w:vAlign w:val="center"/>
                </w:tcPr>
                <w:p w14:paraId="266167CF">
                  <w:pPr>
                    <w:widowControl/>
                    <w:adjustRightInd w:val="0"/>
                    <w:snapToGrid w:val="0"/>
                    <w:jc w:val="center"/>
                    <w:rPr>
                      <w:szCs w:val="21"/>
                    </w:rPr>
                  </w:pPr>
                  <w:r>
                    <w:rPr>
                      <w:szCs w:val="21"/>
                    </w:rPr>
                    <w:t>50</w:t>
                  </w:r>
                </w:p>
              </w:tc>
              <w:tc>
                <w:tcPr>
                  <w:tcW w:w="292" w:type="pct"/>
                  <w:vAlign w:val="center"/>
                </w:tcPr>
                <w:p w14:paraId="6D62CEA2">
                  <w:pPr>
                    <w:widowControl/>
                    <w:adjustRightInd w:val="0"/>
                    <w:snapToGrid w:val="0"/>
                    <w:jc w:val="center"/>
                    <w:rPr>
                      <w:szCs w:val="21"/>
                    </w:rPr>
                  </w:pPr>
                  <w:r>
                    <w:rPr>
                      <w:szCs w:val="21"/>
                    </w:rPr>
                    <w:t>/</w:t>
                  </w:r>
                </w:p>
              </w:tc>
              <w:tc>
                <w:tcPr>
                  <w:tcW w:w="277" w:type="pct"/>
                  <w:vAlign w:val="center"/>
                </w:tcPr>
                <w:p w14:paraId="19EF1D36">
                  <w:pPr>
                    <w:widowControl/>
                    <w:adjustRightInd w:val="0"/>
                    <w:snapToGrid w:val="0"/>
                    <w:jc w:val="center"/>
                    <w:rPr>
                      <w:szCs w:val="21"/>
                    </w:rPr>
                  </w:pPr>
                  <w:r>
                    <w:rPr>
                      <w:szCs w:val="21"/>
                    </w:rPr>
                    <w:t>5</w:t>
                  </w:r>
                </w:p>
              </w:tc>
              <w:tc>
                <w:tcPr>
                  <w:tcW w:w="370" w:type="pct"/>
                  <w:vAlign w:val="center"/>
                </w:tcPr>
                <w:p w14:paraId="7EE93530">
                  <w:pPr>
                    <w:widowControl/>
                    <w:adjustRightInd w:val="0"/>
                    <w:snapToGrid w:val="0"/>
                    <w:jc w:val="center"/>
                    <w:rPr>
                      <w:szCs w:val="21"/>
                    </w:rPr>
                  </w:pPr>
                  <w:r>
                    <w:rPr>
                      <w:szCs w:val="21"/>
                    </w:rPr>
                    <w:t>0.5</w:t>
                  </w:r>
                </w:p>
              </w:tc>
              <w:tc>
                <w:tcPr>
                  <w:tcW w:w="328" w:type="pct"/>
                  <w:vAlign w:val="center"/>
                </w:tcPr>
                <w:p w14:paraId="05E6B2E0">
                  <w:pPr>
                    <w:widowControl/>
                    <w:adjustRightInd w:val="0"/>
                    <w:snapToGrid w:val="0"/>
                    <w:jc w:val="center"/>
                    <w:rPr>
                      <w:szCs w:val="21"/>
                    </w:rPr>
                  </w:pPr>
                  <w:r>
                    <w:rPr>
                      <w:szCs w:val="21"/>
                    </w:rPr>
                    <w:t>1.0</w:t>
                  </w:r>
                </w:p>
              </w:tc>
              <w:tc>
                <w:tcPr>
                  <w:tcW w:w="468" w:type="pct"/>
                  <w:vAlign w:val="center"/>
                </w:tcPr>
                <w:p w14:paraId="738DAEF9">
                  <w:pPr>
                    <w:widowControl/>
                    <w:adjustRightInd w:val="0"/>
                    <w:snapToGrid w:val="0"/>
                    <w:jc w:val="center"/>
                    <w:rPr>
                      <w:szCs w:val="21"/>
                    </w:rPr>
                  </w:pPr>
                  <w:r>
                    <w:rPr>
                      <w:szCs w:val="21"/>
                    </w:rPr>
                    <w:t>1500</w:t>
                  </w:r>
                </w:p>
              </w:tc>
            </w:tr>
          </w:tbl>
          <w:p w14:paraId="5814861F">
            <w:pPr>
              <w:tabs>
                <w:tab w:val="left" w:pos="0"/>
              </w:tabs>
              <w:spacing w:after="120" w:afterLines="50" w:line="500" w:lineRule="exact"/>
              <w:jc w:val="center"/>
              <w:rPr>
                <w:b/>
                <w:sz w:val="24"/>
                <w:szCs w:val="20"/>
              </w:rPr>
            </w:pPr>
            <w:r>
              <w:rPr>
                <w:b/>
                <w:sz w:val="24"/>
                <w:szCs w:val="20"/>
              </w:rPr>
              <w:t xml:space="preserve">表3-7  </w:t>
            </w:r>
            <w:r>
              <w:rPr>
                <w:b/>
                <w:sz w:val="24"/>
              </w:rPr>
              <w:t>泗阳高新区污水处理厂（一期）接管和排放标准（单位：mg/L，pH无量纲）</w:t>
            </w:r>
          </w:p>
          <w:tbl>
            <w:tblPr>
              <w:tblStyle w:val="46"/>
              <w:tblW w:w="5000" w:type="pct"/>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69"/>
              <w:gridCol w:w="697"/>
              <w:gridCol w:w="929"/>
              <w:gridCol w:w="745"/>
              <w:gridCol w:w="891"/>
              <w:gridCol w:w="891"/>
              <w:gridCol w:w="891"/>
              <w:gridCol w:w="892"/>
              <w:gridCol w:w="891"/>
            </w:tblGrid>
            <w:tr w14:paraId="19E063B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3" w:type="pct"/>
                  <w:tcBorders>
                    <w:top w:val="single" w:color="000000" w:sz="12" w:space="0"/>
                    <w:left w:val="nil"/>
                    <w:bottom w:val="single" w:color="auto" w:sz="4" w:space="0"/>
                    <w:right w:val="single" w:color="auto" w:sz="4" w:space="0"/>
                  </w:tcBorders>
                  <w:vAlign w:val="center"/>
                </w:tcPr>
                <w:p w14:paraId="5521610F">
                  <w:pPr>
                    <w:jc w:val="center"/>
                    <w:rPr>
                      <w:b/>
                      <w:szCs w:val="22"/>
                    </w:rPr>
                  </w:pPr>
                  <w:r>
                    <w:rPr>
                      <w:b/>
                      <w:szCs w:val="22"/>
                    </w:rPr>
                    <w:t>项目</w:t>
                  </w:r>
                </w:p>
              </w:tc>
              <w:tc>
                <w:tcPr>
                  <w:tcW w:w="392" w:type="pct"/>
                  <w:tcBorders>
                    <w:top w:val="single" w:color="000000" w:sz="12" w:space="0"/>
                    <w:left w:val="single" w:color="auto" w:sz="4" w:space="0"/>
                    <w:bottom w:val="single" w:color="auto" w:sz="4" w:space="0"/>
                    <w:right w:val="single" w:color="auto" w:sz="4" w:space="0"/>
                  </w:tcBorders>
                  <w:vAlign w:val="center"/>
                </w:tcPr>
                <w:p w14:paraId="3BFA4D45">
                  <w:pPr>
                    <w:jc w:val="center"/>
                    <w:rPr>
                      <w:b/>
                      <w:szCs w:val="22"/>
                    </w:rPr>
                  </w:pPr>
                  <w:r>
                    <w:rPr>
                      <w:b/>
                      <w:szCs w:val="22"/>
                    </w:rPr>
                    <w:t>pH</w:t>
                  </w:r>
                </w:p>
              </w:tc>
              <w:tc>
                <w:tcPr>
                  <w:tcW w:w="522" w:type="pct"/>
                  <w:tcBorders>
                    <w:top w:val="single" w:color="000000" w:sz="12" w:space="0"/>
                    <w:left w:val="single" w:color="auto" w:sz="4" w:space="0"/>
                    <w:bottom w:val="single" w:color="auto" w:sz="4" w:space="0"/>
                    <w:right w:val="single" w:color="auto" w:sz="4" w:space="0"/>
                  </w:tcBorders>
                  <w:vAlign w:val="center"/>
                </w:tcPr>
                <w:p w14:paraId="675A0492">
                  <w:pPr>
                    <w:jc w:val="center"/>
                    <w:rPr>
                      <w:b/>
                      <w:szCs w:val="22"/>
                    </w:rPr>
                  </w:pPr>
                  <w:r>
                    <w:rPr>
                      <w:b/>
                      <w:szCs w:val="22"/>
                    </w:rPr>
                    <w:t>COD</w:t>
                  </w:r>
                </w:p>
              </w:tc>
              <w:tc>
                <w:tcPr>
                  <w:tcW w:w="419" w:type="pct"/>
                  <w:tcBorders>
                    <w:top w:val="single" w:color="000000" w:sz="12" w:space="0"/>
                    <w:left w:val="single" w:color="auto" w:sz="4" w:space="0"/>
                    <w:bottom w:val="single" w:color="auto" w:sz="4" w:space="0"/>
                    <w:right w:val="single" w:color="auto" w:sz="4" w:space="0"/>
                  </w:tcBorders>
                  <w:vAlign w:val="center"/>
                </w:tcPr>
                <w:p w14:paraId="66F6F879">
                  <w:pPr>
                    <w:jc w:val="center"/>
                    <w:rPr>
                      <w:b/>
                      <w:szCs w:val="22"/>
                    </w:rPr>
                  </w:pPr>
                  <w:r>
                    <w:rPr>
                      <w:b/>
                      <w:szCs w:val="22"/>
                    </w:rPr>
                    <w:t>SS</w:t>
                  </w:r>
                </w:p>
              </w:tc>
              <w:tc>
                <w:tcPr>
                  <w:tcW w:w="501" w:type="pct"/>
                  <w:tcBorders>
                    <w:top w:val="single" w:color="000000" w:sz="12" w:space="0"/>
                    <w:left w:val="single" w:color="auto" w:sz="4" w:space="0"/>
                    <w:bottom w:val="single" w:color="auto" w:sz="4" w:space="0"/>
                    <w:right w:val="single" w:color="auto" w:sz="4" w:space="0"/>
                  </w:tcBorders>
                  <w:vAlign w:val="center"/>
                </w:tcPr>
                <w:p w14:paraId="7038F14B">
                  <w:pPr>
                    <w:jc w:val="center"/>
                    <w:rPr>
                      <w:b/>
                      <w:szCs w:val="22"/>
                    </w:rPr>
                  </w:pPr>
                  <w:r>
                    <w:rPr>
                      <w:b/>
                      <w:szCs w:val="22"/>
                    </w:rPr>
                    <w:t>总氮</w:t>
                  </w:r>
                </w:p>
              </w:tc>
              <w:tc>
                <w:tcPr>
                  <w:tcW w:w="501" w:type="pct"/>
                  <w:tcBorders>
                    <w:top w:val="single" w:color="000000" w:sz="12" w:space="0"/>
                    <w:left w:val="single" w:color="auto" w:sz="4" w:space="0"/>
                    <w:bottom w:val="single" w:color="auto" w:sz="4" w:space="0"/>
                    <w:right w:val="single" w:color="auto" w:sz="4" w:space="0"/>
                  </w:tcBorders>
                  <w:vAlign w:val="center"/>
                </w:tcPr>
                <w:p w14:paraId="22C9B569">
                  <w:pPr>
                    <w:jc w:val="center"/>
                    <w:rPr>
                      <w:b/>
                      <w:szCs w:val="22"/>
                    </w:rPr>
                  </w:pPr>
                  <w:r>
                    <w:rPr>
                      <w:b/>
                      <w:szCs w:val="22"/>
                    </w:rPr>
                    <w:t>氨氮</w:t>
                  </w:r>
                </w:p>
              </w:tc>
              <w:tc>
                <w:tcPr>
                  <w:tcW w:w="501" w:type="pct"/>
                  <w:tcBorders>
                    <w:top w:val="single" w:color="000000" w:sz="12" w:space="0"/>
                    <w:left w:val="single" w:color="auto" w:sz="4" w:space="0"/>
                    <w:bottom w:val="single" w:color="auto" w:sz="4" w:space="0"/>
                    <w:right w:val="single" w:color="auto" w:sz="4" w:space="0"/>
                  </w:tcBorders>
                  <w:vAlign w:val="center"/>
                </w:tcPr>
                <w:p w14:paraId="3021577A">
                  <w:pPr>
                    <w:jc w:val="center"/>
                    <w:rPr>
                      <w:b/>
                      <w:szCs w:val="22"/>
                    </w:rPr>
                  </w:pPr>
                  <w:r>
                    <w:rPr>
                      <w:b/>
                      <w:szCs w:val="22"/>
                    </w:rPr>
                    <w:t>总磷</w:t>
                  </w:r>
                </w:p>
              </w:tc>
              <w:tc>
                <w:tcPr>
                  <w:tcW w:w="501" w:type="pct"/>
                  <w:tcBorders>
                    <w:top w:val="single" w:color="000000" w:sz="12" w:space="0"/>
                    <w:left w:val="single" w:color="auto" w:sz="4" w:space="0"/>
                    <w:bottom w:val="single" w:color="auto" w:sz="4" w:space="0"/>
                    <w:right w:val="nil"/>
                  </w:tcBorders>
                  <w:vAlign w:val="center"/>
                </w:tcPr>
                <w:p w14:paraId="706A00F1">
                  <w:pPr>
                    <w:jc w:val="center"/>
                    <w:rPr>
                      <w:b/>
                      <w:szCs w:val="22"/>
                    </w:rPr>
                  </w:pPr>
                  <w:r>
                    <w:rPr>
                      <w:rFonts w:hint="eastAsia"/>
                      <w:b/>
                      <w:szCs w:val="22"/>
                    </w:rPr>
                    <w:t>动植物油</w:t>
                  </w:r>
                </w:p>
              </w:tc>
              <w:tc>
                <w:tcPr>
                  <w:tcW w:w="500" w:type="pct"/>
                  <w:tcBorders>
                    <w:top w:val="single" w:color="000000" w:sz="12" w:space="0"/>
                    <w:left w:val="single" w:color="auto" w:sz="4" w:space="0"/>
                    <w:bottom w:val="single" w:color="auto" w:sz="4" w:space="0"/>
                    <w:right w:val="nil"/>
                  </w:tcBorders>
                  <w:vAlign w:val="center"/>
                </w:tcPr>
                <w:p w14:paraId="49F2AC92">
                  <w:pPr>
                    <w:jc w:val="center"/>
                    <w:rPr>
                      <w:b/>
                      <w:szCs w:val="22"/>
                    </w:rPr>
                  </w:pPr>
                  <w:r>
                    <w:rPr>
                      <w:b/>
                      <w:szCs w:val="22"/>
                    </w:rPr>
                    <w:t>总锑</w:t>
                  </w:r>
                </w:p>
              </w:tc>
            </w:tr>
            <w:tr w14:paraId="321F0D8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63" w:type="pct"/>
                  <w:tcBorders>
                    <w:top w:val="single" w:color="auto" w:sz="4" w:space="0"/>
                    <w:left w:val="nil"/>
                    <w:bottom w:val="single" w:color="auto" w:sz="4" w:space="0"/>
                    <w:right w:val="single" w:color="auto" w:sz="4" w:space="0"/>
                  </w:tcBorders>
                  <w:vAlign w:val="center"/>
                </w:tcPr>
                <w:p w14:paraId="7F1284AC">
                  <w:pPr>
                    <w:jc w:val="center"/>
                    <w:rPr>
                      <w:szCs w:val="22"/>
                    </w:rPr>
                  </w:pPr>
                  <w:r>
                    <w:rPr>
                      <w:szCs w:val="22"/>
                    </w:rPr>
                    <w:t>接管标准</w:t>
                  </w:r>
                </w:p>
              </w:tc>
              <w:tc>
                <w:tcPr>
                  <w:tcW w:w="392" w:type="pct"/>
                  <w:tcBorders>
                    <w:top w:val="single" w:color="auto" w:sz="4" w:space="0"/>
                    <w:left w:val="single" w:color="auto" w:sz="4" w:space="0"/>
                    <w:bottom w:val="single" w:color="auto" w:sz="4" w:space="0"/>
                    <w:right w:val="single" w:color="auto" w:sz="4" w:space="0"/>
                  </w:tcBorders>
                  <w:vAlign w:val="center"/>
                </w:tcPr>
                <w:p w14:paraId="76E774DC">
                  <w:pPr>
                    <w:jc w:val="center"/>
                    <w:rPr>
                      <w:iCs/>
                      <w:szCs w:val="22"/>
                    </w:rPr>
                  </w:pPr>
                  <w:r>
                    <w:rPr>
                      <w:szCs w:val="22"/>
                    </w:rPr>
                    <w:t>6-9</w:t>
                  </w:r>
                </w:p>
              </w:tc>
              <w:tc>
                <w:tcPr>
                  <w:tcW w:w="522" w:type="pct"/>
                  <w:tcBorders>
                    <w:top w:val="single" w:color="auto" w:sz="4" w:space="0"/>
                    <w:left w:val="single" w:color="auto" w:sz="4" w:space="0"/>
                    <w:bottom w:val="single" w:color="auto" w:sz="4" w:space="0"/>
                    <w:right w:val="single" w:color="auto" w:sz="4" w:space="0"/>
                  </w:tcBorders>
                  <w:vAlign w:val="center"/>
                </w:tcPr>
                <w:p w14:paraId="64FC1105">
                  <w:pPr>
                    <w:jc w:val="center"/>
                    <w:rPr>
                      <w:szCs w:val="22"/>
                    </w:rPr>
                  </w:pPr>
                  <w:r>
                    <w:rPr>
                      <w:szCs w:val="22"/>
                    </w:rPr>
                    <w:t>400</w:t>
                  </w:r>
                </w:p>
              </w:tc>
              <w:tc>
                <w:tcPr>
                  <w:tcW w:w="419" w:type="pct"/>
                  <w:tcBorders>
                    <w:top w:val="single" w:color="auto" w:sz="4" w:space="0"/>
                    <w:left w:val="single" w:color="auto" w:sz="4" w:space="0"/>
                    <w:bottom w:val="single" w:color="auto" w:sz="4" w:space="0"/>
                    <w:right w:val="single" w:color="auto" w:sz="4" w:space="0"/>
                  </w:tcBorders>
                  <w:vAlign w:val="center"/>
                </w:tcPr>
                <w:p w14:paraId="71BDCC97">
                  <w:pPr>
                    <w:jc w:val="center"/>
                    <w:rPr>
                      <w:szCs w:val="22"/>
                    </w:rPr>
                  </w:pPr>
                  <w:r>
                    <w:rPr>
                      <w:szCs w:val="22"/>
                    </w:rPr>
                    <w:t>280</w:t>
                  </w:r>
                </w:p>
              </w:tc>
              <w:tc>
                <w:tcPr>
                  <w:tcW w:w="501" w:type="pct"/>
                  <w:tcBorders>
                    <w:top w:val="single" w:color="auto" w:sz="4" w:space="0"/>
                    <w:left w:val="single" w:color="auto" w:sz="4" w:space="0"/>
                    <w:bottom w:val="single" w:color="auto" w:sz="4" w:space="0"/>
                    <w:right w:val="single" w:color="auto" w:sz="4" w:space="0"/>
                  </w:tcBorders>
                  <w:vAlign w:val="center"/>
                </w:tcPr>
                <w:p w14:paraId="33CAE8D3">
                  <w:pPr>
                    <w:jc w:val="center"/>
                    <w:rPr>
                      <w:szCs w:val="22"/>
                    </w:rPr>
                  </w:pPr>
                  <w:r>
                    <w:rPr>
                      <w:szCs w:val="22"/>
                    </w:rPr>
                    <w:t>35</w:t>
                  </w:r>
                </w:p>
              </w:tc>
              <w:tc>
                <w:tcPr>
                  <w:tcW w:w="501" w:type="pct"/>
                  <w:tcBorders>
                    <w:top w:val="single" w:color="auto" w:sz="4" w:space="0"/>
                    <w:left w:val="single" w:color="auto" w:sz="4" w:space="0"/>
                    <w:bottom w:val="single" w:color="auto" w:sz="4" w:space="0"/>
                    <w:right w:val="single" w:color="auto" w:sz="4" w:space="0"/>
                  </w:tcBorders>
                  <w:vAlign w:val="center"/>
                </w:tcPr>
                <w:p w14:paraId="421EF93F">
                  <w:pPr>
                    <w:jc w:val="center"/>
                    <w:rPr>
                      <w:szCs w:val="22"/>
                    </w:rPr>
                  </w:pPr>
                  <w:r>
                    <w:rPr>
                      <w:szCs w:val="22"/>
                    </w:rPr>
                    <w:t>25</w:t>
                  </w:r>
                </w:p>
              </w:tc>
              <w:tc>
                <w:tcPr>
                  <w:tcW w:w="501" w:type="pct"/>
                  <w:tcBorders>
                    <w:top w:val="single" w:color="auto" w:sz="4" w:space="0"/>
                    <w:left w:val="single" w:color="auto" w:sz="4" w:space="0"/>
                    <w:bottom w:val="single" w:color="auto" w:sz="4" w:space="0"/>
                    <w:right w:val="single" w:color="auto" w:sz="4" w:space="0"/>
                  </w:tcBorders>
                  <w:vAlign w:val="center"/>
                </w:tcPr>
                <w:p w14:paraId="40924137">
                  <w:pPr>
                    <w:jc w:val="center"/>
                    <w:rPr>
                      <w:szCs w:val="22"/>
                    </w:rPr>
                  </w:pPr>
                  <w:r>
                    <w:rPr>
                      <w:szCs w:val="22"/>
                    </w:rPr>
                    <w:t>4.5</w:t>
                  </w:r>
                </w:p>
              </w:tc>
              <w:tc>
                <w:tcPr>
                  <w:tcW w:w="501" w:type="pct"/>
                  <w:tcBorders>
                    <w:top w:val="single" w:color="auto" w:sz="4" w:space="0"/>
                    <w:left w:val="single" w:color="auto" w:sz="4" w:space="0"/>
                    <w:bottom w:val="single" w:color="auto" w:sz="4" w:space="0"/>
                    <w:right w:val="nil"/>
                  </w:tcBorders>
                  <w:vAlign w:val="center"/>
                </w:tcPr>
                <w:p w14:paraId="15861FBC">
                  <w:pPr>
                    <w:jc w:val="center"/>
                    <w:rPr>
                      <w:szCs w:val="22"/>
                    </w:rPr>
                  </w:pPr>
                  <w:r>
                    <w:rPr>
                      <w:rFonts w:hint="eastAsia"/>
                      <w:szCs w:val="22"/>
                    </w:rPr>
                    <w:t>100</w:t>
                  </w:r>
                </w:p>
              </w:tc>
              <w:tc>
                <w:tcPr>
                  <w:tcW w:w="500" w:type="pct"/>
                  <w:tcBorders>
                    <w:top w:val="single" w:color="auto" w:sz="4" w:space="0"/>
                    <w:left w:val="single" w:color="auto" w:sz="4" w:space="0"/>
                    <w:bottom w:val="single" w:color="auto" w:sz="4" w:space="0"/>
                    <w:right w:val="nil"/>
                  </w:tcBorders>
                  <w:vAlign w:val="center"/>
                </w:tcPr>
                <w:p w14:paraId="0B6C3721">
                  <w:pPr>
                    <w:jc w:val="center"/>
                    <w:rPr>
                      <w:szCs w:val="22"/>
                    </w:rPr>
                  </w:pPr>
                  <w:r>
                    <w:rPr>
                      <w:szCs w:val="22"/>
                    </w:rPr>
                    <w:t>0.1</w:t>
                  </w:r>
                </w:p>
              </w:tc>
            </w:tr>
            <w:tr w14:paraId="01F4178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63" w:type="pct"/>
                  <w:tcBorders>
                    <w:top w:val="single" w:color="auto" w:sz="4" w:space="0"/>
                    <w:left w:val="nil"/>
                    <w:bottom w:val="single" w:color="000000" w:sz="12" w:space="0"/>
                    <w:right w:val="single" w:color="auto" w:sz="4" w:space="0"/>
                  </w:tcBorders>
                  <w:vAlign w:val="center"/>
                </w:tcPr>
                <w:p w14:paraId="112E3DE8">
                  <w:pPr>
                    <w:jc w:val="center"/>
                    <w:rPr>
                      <w:szCs w:val="22"/>
                    </w:rPr>
                  </w:pPr>
                  <w:r>
                    <w:rPr>
                      <w:szCs w:val="22"/>
                    </w:rPr>
                    <w:t>最终排放标准</w:t>
                  </w:r>
                </w:p>
              </w:tc>
              <w:tc>
                <w:tcPr>
                  <w:tcW w:w="392" w:type="pct"/>
                  <w:tcBorders>
                    <w:top w:val="single" w:color="auto" w:sz="4" w:space="0"/>
                    <w:left w:val="single" w:color="auto" w:sz="4" w:space="0"/>
                    <w:bottom w:val="single" w:color="000000" w:sz="12" w:space="0"/>
                    <w:right w:val="single" w:color="auto" w:sz="4" w:space="0"/>
                  </w:tcBorders>
                  <w:vAlign w:val="center"/>
                </w:tcPr>
                <w:p w14:paraId="6F5BD66C">
                  <w:pPr>
                    <w:jc w:val="center"/>
                    <w:rPr>
                      <w:szCs w:val="22"/>
                    </w:rPr>
                  </w:pPr>
                  <w:r>
                    <w:rPr>
                      <w:szCs w:val="22"/>
                    </w:rPr>
                    <w:t>6-9</w:t>
                  </w:r>
                </w:p>
              </w:tc>
              <w:tc>
                <w:tcPr>
                  <w:tcW w:w="522" w:type="pct"/>
                  <w:tcBorders>
                    <w:top w:val="single" w:color="auto" w:sz="4" w:space="0"/>
                    <w:left w:val="single" w:color="auto" w:sz="4" w:space="0"/>
                    <w:bottom w:val="single" w:color="000000" w:sz="12" w:space="0"/>
                    <w:right w:val="single" w:color="auto" w:sz="4" w:space="0"/>
                  </w:tcBorders>
                  <w:vAlign w:val="center"/>
                </w:tcPr>
                <w:p w14:paraId="56782F25">
                  <w:pPr>
                    <w:jc w:val="center"/>
                    <w:rPr>
                      <w:szCs w:val="22"/>
                    </w:rPr>
                  </w:pPr>
                  <w:r>
                    <w:rPr>
                      <w:szCs w:val="22"/>
                    </w:rPr>
                    <w:t>50</w:t>
                  </w:r>
                </w:p>
              </w:tc>
              <w:tc>
                <w:tcPr>
                  <w:tcW w:w="419" w:type="pct"/>
                  <w:tcBorders>
                    <w:top w:val="single" w:color="auto" w:sz="4" w:space="0"/>
                    <w:left w:val="single" w:color="auto" w:sz="4" w:space="0"/>
                    <w:bottom w:val="single" w:color="000000" w:sz="12" w:space="0"/>
                    <w:right w:val="single" w:color="auto" w:sz="4" w:space="0"/>
                  </w:tcBorders>
                  <w:vAlign w:val="center"/>
                </w:tcPr>
                <w:p w14:paraId="20C17EC2">
                  <w:pPr>
                    <w:jc w:val="center"/>
                    <w:rPr>
                      <w:szCs w:val="22"/>
                    </w:rPr>
                  </w:pPr>
                  <w:r>
                    <w:rPr>
                      <w:szCs w:val="22"/>
                    </w:rPr>
                    <w:t>10</w:t>
                  </w:r>
                </w:p>
              </w:tc>
              <w:tc>
                <w:tcPr>
                  <w:tcW w:w="501" w:type="pct"/>
                  <w:tcBorders>
                    <w:top w:val="single" w:color="auto" w:sz="4" w:space="0"/>
                    <w:left w:val="single" w:color="auto" w:sz="4" w:space="0"/>
                    <w:bottom w:val="single" w:color="000000" w:sz="12" w:space="0"/>
                    <w:right w:val="single" w:color="auto" w:sz="4" w:space="0"/>
                  </w:tcBorders>
                  <w:vAlign w:val="center"/>
                </w:tcPr>
                <w:p w14:paraId="064D1561">
                  <w:pPr>
                    <w:jc w:val="center"/>
                    <w:rPr>
                      <w:szCs w:val="22"/>
                    </w:rPr>
                  </w:pPr>
                  <w:r>
                    <w:rPr>
                      <w:szCs w:val="22"/>
                    </w:rPr>
                    <w:t>15</w:t>
                  </w:r>
                </w:p>
              </w:tc>
              <w:tc>
                <w:tcPr>
                  <w:tcW w:w="501" w:type="pct"/>
                  <w:tcBorders>
                    <w:top w:val="single" w:color="auto" w:sz="4" w:space="0"/>
                    <w:left w:val="single" w:color="auto" w:sz="4" w:space="0"/>
                    <w:bottom w:val="single" w:color="000000" w:sz="12" w:space="0"/>
                    <w:right w:val="single" w:color="auto" w:sz="4" w:space="0"/>
                  </w:tcBorders>
                  <w:vAlign w:val="center"/>
                </w:tcPr>
                <w:p w14:paraId="10B2B3EC">
                  <w:pPr>
                    <w:jc w:val="center"/>
                    <w:rPr>
                      <w:szCs w:val="22"/>
                    </w:rPr>
                  </w:pPr>
                  <w:r>
                    <w:rPr>
                      <w:szCs w:val="22"/>
                    </w:rPr>
                    <w:t>5（8）</w:t>
                  </w:r>
                </w:p>
              </w:tc>
              <w:tc>
                <w:tcPr>
                  <w:tcW w:w="501" w:type="pct"/>
                  <w:tcBorders>
                    <w:top w:val="single" w:color="auto" w:sz="4" w:space="0"/>
                    <w:left w:val="single" w:color="auto" w:sz="4" w:space="0"/>
                    <w:bottom w:val="single" w:color="000000" w:sz="12" w:space="0"/>
                    <w:right w:val="single" w:color="auto" w:sz="4" w:space="0"/>
                  </w:tcBorders>
                  <w:vAlign w:val="center"/>
                </w:tcPr>
                <w:p w14:paraId="64F1DC83">
                  <w:pPr>
                    <w:jc w:val="center"/>
                    <w:rPr>
                      <w:szCs w:val="22"/>
                    </w:rPr>
                  </w:pPr>
                  <w:r>
                    <w:rPr>
                      <w:szCs w:val="22"/>
                    </w:rPr>
                    <w:t>0.5</w:t>
                  </w:r>
                </w:p>
              </w:tc>
              <w:tc>
                <w:tcPr>
                  <w:tcW w:w="501" w:type="pct"/>
                  <w:tcBorders>
                    <w:top w:val="single" w:color="auto" w:sz="4" w:space="0"/>
                    <w:left w:val="single" w:color="auto" w:sz="4" w:space="0"/>
                    <w:bottom w:val="single" w:color="000000" w:sz="12" w:space="0"/>
                    <w:right w:val="nil"/>
                  </w:tcBorders>
                  <w:vAlign w:val="center"/>
                </w:tcPr>
                <w:p w14:paraId="4E97CB0A">
                  <w:pPr>
                    <w:jc w:val="center"/>
                    <w:rPr>
                      <w:szCs w:val="22"/>
                    </w:rPr>
                  </w:pPr>
                  <w:r>
                    <w:rPr>
                      <w:szCs w:val="22"/>
                    </w:rPr>
                    <w:t>1</w:t>
                  </w:r>
                </w:p>
              </w:tc>
              <w:tc>
                <w:tcPr>
                  <w:tcW w:w="500" w:type="pct"/>
                  <w:tcBorders>
                    <w:top w:val="single" w:color="auto" w:sz="4" w:space="0"/>
                    <w:left w:val="single" w:color="auto" w:sz="4" w:space="0"/>
                    <w:bottom w:val="single" w:color="000000" w:sz="12" w:space="0"/>
                    <w:right w:val="nil"/>
                  </w:tcBorders>
                  <w:vAlign w:val="center"/>
                </w:tcPr>
                <w:p w14:paraId="715DF0A8">
                  <w:pPr>
                    <w:jc w:val="center"/>
                    <w:rPr>
                      <w:szCs w:val="22"/>
                    </w:rPr>
                  </w:pPr>
                  <w:r>
                    <w:rPr>
                      <w:szCs w:val="22"/>
                    </w:rPr>
                    <w:t>/</w:t>
                  </w:r>
                </w:p>
              </w:tc>
            </w:tr>
          </w:tbl>
          <w:p w14:paraId="25373296">
            <w:pPr>
              <w:tabs>
                <w:tab w:val="left" w:pos="0"/>
              </w:tabs>
              <w:ind w:firstLine="422" w:firstLineChars="200"/>
              <w:jc w:val="left"/>
              <w:rPr>
                <w:b/>
                <w:bCs/>
                <w:szCs w:val="21"/>
              </w:rPr>
            </w:pPr>
            <w:r>
              <w:rPr>
                <w:b/>
                <w:bCs/>
                <w:szCs w:val="21"/>
              </w:rPr>
              <w:t>注：污水处理厂尾水氨氮排放标准括号外为水温&gt;12℃时的控制指标，括号内为水温&lt;12℃时的控制指标，本次废水最终外排量计算选用水温&lt;12℃时的控制指标。</w:t>
            </w:r>
          </w:p>
          <w:p w14:paraId="370660F7">
            <w:pPr>
              <w:pStyle w:val="78"/>
              <w:spacing w:before="0" w:after="0"/>
              <w:rPr>
                <w:rFonts w:cs="Times New Roman"/>
                <w:szCs w:val="24"/>
              </w:rPr>
            </w:pPr>
            <w:r>
              <w:rPr>
                <w:rFonts w:cs="Times New Roman"/>
                <w:szCs w:val="24"/>
              </w:rPr>
              <w:t>3、噪声排放标准</w:t>
            </w:r>
          </w:p>
          <w:p w14:paraId="1A268E23">
            <w:pPr>
              <w:widowControl/>
              <w:spacing w:line="360" w:lineRule="auto"/>
              <w:ind w:firstLine="480" w:firstLineChars="200"/>
            </w:pPr>
            <w:r>
              <w:rPr>
                <w:sz w:val="24"/>
              </w:rPr>
              <w:t>本项目施工期执行《建筑施工场界环境噪声排放标准》（GB12523-2011）标准，具体标准见下表。</w:t>
            </w:r>
          </w:p>
          <w:p w14:paraId="3911C709">
            <w:pPr>
              <w:pStyle w:val="77"/>
              <w:spacing w:line="240" w:lineRule="auto"/>
              <w:rPr>
                <w:szCs w:val="24"/>
              </w:rPr>
            </w:pPr>
            <w:r>
              <w:rPr>
                <w:szCs w:val="24"/>
              </w:rPr>
              <w:t>表3-8 噪声排放标准  单位：dB(A)</w:t>
            </w:r>
          </w:p>
          <w:tbl>
            <w:tblPr>
              <w:tblStyle w:val="4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38"/>
              <w:gridCol w:w="724"/>
              <w:gridCol w:w="724"/>
              <w:gridCol w:w="6010"/>
            </w:tblGrid>
            <w:tr w14:paraId="7DD4A7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pct"/>
                  <w:tcBorders>
                    <w:tl2br w:val="nil"/>
                    <w:tr2bl w:val="nil"/>
                  </w:tcBorders>
                  <w:vAlign w:val="center"/>
                </w:tcPr>
                <w:p w14:paraId="47D7B589">
                  <w:pPr>
                    <w:pStyle w:val="16"/>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类别</w:t>
                  </w:r>
                </w:p>
              </w:tc>
              <w:tc>
                <w:tcPr>
                  <w:tcW w:w="407" w:type="pct"/>
                  <w:tcBorders>
                    <w:tl2br w:val="nil"/>
                    <w:tr2bl w:val="nil"/>
                  </w:tcBorders>
                  <w:vAlign w:val="center"/>
                </w:tcPr>
                <w:p w14:paraId="36125D67">
                  <w:pPr>
                    <w:pStyle w:val="16"/>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昼间</w:t>
                  </w:r>
                </w:p>
              </w:tc>
              <w:tc>
                <w:tcPr>
                  <w:tcW w:w="407" w:type="pct"/>
                  <w:tcBorders>
                    <w:tl2br w:val="nil"/>
                    <w:tr2bl w:val="nil"/>
                  </w:tcBorders>
                  <w:vAlign w:val="center"/>
                </w:tcPr>
                <w:p w14:paraId="256F6967">
                  <w:pPr>
                    <w:pStyle w:val="16"/>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夜间</w:t>
                  </w:r>
                </w:p>
              </w:tc>
              <w:tc>
                <w:tcPr>
                  <w:tcW w:w="3378" w:type="pct"/>
                  <w:tcBorders>
                    <w:tl2br w:val="nil"/>
                    <w:tr2bl w:val="nil"/>
                  </w:tcBorders>
                  <w:vAlign w:val="center"/>
                </w:tcPr>
                <w:p w14:paraId="075CF021">
                  <w:pPr>
                    <w:pStyle w:val="16"/>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标准来源</w:t>
                  </w:r>
                </w:p>
              </w:tc>
            </w:tr>
            <w:tr w14:paraId="04F801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tcBorders>
                    <w:tl2br w:val="nil"/>
                    <w:tr2bl w:val="nil"/>
                  </w:tcBorders>
                  <w:vAlign w:val="center"/>
                </w:tcPr>
                <w:p w14:paraId="22B45D91">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施工期噪声</w:t>
                  </w:r>
                </w:p>
              </w:tc>
              <w:tc>
                <w:tcPr>
                  <w:tcW w:w="407" w:type="pct"/>
                  <w:tcBorders>
                    <w:tl2br w:val="nil"/>
                    <w:tr2bl w:val="nil"/>
                  </w:tcBorders>
                  <w:vAlign w:val="center"/>
                </w:tcPr>
                <w:p w14:paraId="6E8B7653">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70</w:t>
                  </w:r>
                </w:p>
              </w:tc>
              <w:tc>
                <w:tcPr>
                  <w:tcW w:w="407" w:type="pct"/>
                  <w:tcBorders>
                    <w:tl2br w:val="nil"/>
                    <w:tr2bl w:val="nil"/>
                  </w:tcBorders>
                  <w:vAlign w:val="center"/>
                </w:tcPr>
                <w:p w14:paraId="5F0430BD">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55</w:t>
                  </w:r>
                </w:p>
              </w:tc>
              <w:tc>
                <w:tcPr>
                  <w:tcW w:w="3378" w:type="pct"/>
                  <w:tcBorders>
                    <w:tl2br w:val="nil"/>
                    <w:tr2bl w:val="nil"/>
                  </w:tcBorders>
                  <w:vAlign w:val="center"/>
                </w:tcPr>
                <w:p w14:paraId="69E5A6A6">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《建筑施工场界环境噪声排放标准》（GB12523-2011）</w:t>
                  </w:r>
                </w:p>
              </w:tc>
            </w:tr>
          </w:tbl>
          <w:p w14:paraId="499C376D">
            <w:pPr>
              <w:widowControl/>
              <w:spacing w:line="360" w:lineRule="auto"/>
              <w:ind w:firstLine="480" w:firstLineChars="200"/>
              <w:rPr>
                <w:sz w:val="24"/>
                <w:lang w:bidi="ar"/>
              </w:rPr>
            </w:pPr>
            <w:r>
              <w:rPr>
                <w:sz w:val="24"/>
              </w:rPr>
              <w:t>本项目运营期厂界噪声执行《工业企业厂界环境噪声排放标准》（GB12348-2008）3类标准，声环境敏感目标处执行《声环境质量标准》（GB 3096－2008 ）2类标准，具体标准见下表。</w:t>
            </w:r>
          </w:p>
          <w:p w14:paraId="7CE6D4AF">
            <w:pPr>
              <w:pStyle w:val="77"/>
              <w:spacing w:line="240" w:lineRule="auto"/>
              <w:rPr>
                <w:szCs w:val="24"/>
              </w:rPr>
            </w:pPr>
            <w:r>
              <w:rPr>
                <w:szCs w:val="24"/>
              </w:rPr>
              <w:t>表3-9 噪声排放标准  单位：dB(A)</w:t>
            </w:r>
          </w:p>
          <w:tbl>
            <w:tblPr>
              <w:tblStyle w:val="4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60"/>
              <w:gridCol w:w="737"/>
              <w:gridCol w:w="737"/>
              <w:gridCol w:w="5962"/>
            </w:tblGrid>
            <w:tr w14:paraId="285C3B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21" w:type="pct"/>
                  <w:tcBorders>
                    <w:tl2br w:val="nil"/>
                    <w:tr2bl w:val="nil"/>
                  </w:tcBorders>
                  <w:vAlign w:val="center"/>
                </w:tcPr>
                <w:p w14:paraId="43D5FC8A">
                  <w:pPr>
                    <w:pStyle w:val="16"/>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类别</w:t>
                  </w:r>
                </w:p>
              </w:tc>
              <w:tc>
                <w:tcPr>
                  <w:tcW w:w="414" w:type="pct"/>
                  <w:tcBorders>
                    <w:tl2br w:val="nil"/>
                    <w:tr2bl w:val="nil"/>
                  </w:tcBorders>
                  <w:vAlign w:val="center"/>
                </w:tcPr>
                <w:p w14:paraId="524EDEAF">
                  <w:pPr>
                    <w:pStyle w:val="16"/>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昼间</w:t>
                  </w:r>
                </w:p>
              </w:tc>
              <w:tc>
                <w:tcPr>
                  <w:tcW w:w="414" w:type="pct"/>
                  <w:tcBorders>
                    <w:tl2br w:val="nil"/>
                    <w:tr2bl w:val="nil"/>
                  </w:tcBorders>
                  <w:vAlign w:val="center"/>
                </w:tcPr>
                <w:p w14:paraId="64AC6E0D">
                  <w:pPr>
                    <w:pStyle w:val="16"/>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夜间</w:t>
                  </w:r>
                </w:p>
              </w:tc>
              <w:tc>
                <w:tcPr>
                  <w:tcW w:w="3351" w:type="pct"/>
                  <w:tcBorders>
                    <w:tl2br w:val="nil"/>
                    <w:tr2bl w:val="nil"/>
                  </w:tcBorders>
                  <w:vAlign w:val="center"/>
                </w:tcPr>
                <w:p w14:paraId="19F41F06">
                  <w:pPr>
                    <w:pStyle w:val="16"/>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标准来源</w:t>
                  </w:r>
                </w:p>
              </w:tc>
            </w:tr>
            <w:tr w14:paraId="6AE587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1" w:type="pct"/>
                  <w:vMerge w:val="restart"/>
                  <w:tcBorders>
                    <w:tl2br w:val="nil"/>
                    <w:tr2bl w:val="nil"/>
                  </w:tcBorders>
                  <w:vAlign w:val="center"/>
                </w:tcPr>
                <w:p w14:paraId="581C4933">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运营期噪声</w:t>
                  </w:r>
                </w:p>
              </w:tc>
              <w:tc>
                <w:tcPr>
                  <w:tcW w:w="414" w:type="pct"/>
                  <w:tcBorders>
                    <w:tl2br w:val="nil"/>
                    <w:tr2bl w:val="nil"/>
                  </w:tcBorders>
                  <w:vAlign w:val="center"/>
                </w:tcPr>
                <w:p w14:paraId="6C7FD0DA">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65</w:t>
                  </w:r>
                </w:p>
              </w:tc>
              <w:tc>
                <w:tcPr>
                  <w:tcW w:w="414" w:type="pct"/>
                  <w:tcBorders>
                    <w:tl2br w:val="nil"/>
                    <w:tr2bl w:val="nil"/>
                  </w:tcBorders>
                  <w:vAlign w:val="center"/>
                </w:tcPr>
                <w:p w14:paraId="3E8D0FDF">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55</w:t>
                  </w:r>
                </w:p>
              </w:tc>
              <w:tc>
                <w:tcPr>
                  <w:tcW w:w="3351" w:type="pct"/>
                  <w:tcBorders>
                    <w:tl2br w:val="nil"/>
                    <w:tr2bl w:val="nil"/>
                  </w:tcBorders>
                  <w:vAlign w:val="center"/>
                </w:tcPr>
                <w:p w14:paraId="624CEF43">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《工业企业厂界环境噪声排放标准》（GB12348-2008）</w:t>
                  </w:r>
                  <w:r>
                    <w:rPr>
                      <w:rFonts w:hint="eastAsia" w:ascii="Times New Roman" w:hAnsi="Times New Roman" w:cs="Times New Roman"/>
                      <w:b w:val="0"/>
                      <w:bCs/>
                      <w:color w:val="auto"/>
                      <w:sz w:val="21"/>
                      <w:szCs w:val="21"/>
                    </w:rPr>
                    <w:t>3类标准</w:t>
                  </w:r>
                </w:p>
              </w:tc>
            </w:tr>
            <w:tr w14:paraId="3948BA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1" w:type="pct"/>
                  <w:vMerge w:val="continue"/>
                  <w:tcBorders>
                    <w:tl2br w:val="nil"/>
                    <w:tr2bl w:val="nil"/>
                  </w:tcBorders>
                  <w:vAlign w:val="center"/>
                </w:tcPr>
                <w:p w14:paraId="100FD719">
                  <w:pPr>
                    <w:pStyle w:val="16"/>
                    <w:spacing w:line="240" w:lineRule="auto"/>
                    <w:jc w:val="center"/>
                    <w:rPr>
                      <w:rFonts w:ascii="Times New Roman" w:hAnsi="Times New Roman" w:cs="Times New Roman"/>
                      <w:b w:val="0"/>
                      <w:bCs/>
                      <w:color w:val="auto"/>
                      <w:sz w:val="21"/>
                      <w:szCs w:val="21"/>
                    </w:rPr>
                  </w:pPr>
                </w:p>
              </w:tc>
              <w:tc>
                <w:tcPr>
                  <w:tcW w:w="414" w:type="pct"/>
                  <w:tcBorders>
                    <w:tl2br w:val="nil"/>
                    <w:tr2bl w:val="nil"/>
                  </w:tcBorders>
                  <w:vAlign w:val="center"/>
                </w:tcPr>
                <w:p w14:paraId="6FD3222F">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60</w:t>
                  </w:r>
                </w:p>
              </w:tc>
              <w:tc>
                <w:tcPr>
                  <w:tcW w:w="414" w:type="pct"/>
                  <w:tcBorders>
                    <w:tl2br w:val="nil"/>
                    <w:tr2bl w:val="nil"/>
                  </w:tcBorders>
                  <w:vAlign w:val="center"/>
                </w:tcPr>
                <w:p w14:paraId="4ADA6D66">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50</w:t>
                  </w:r>
                </w:p>
              </w:tc>
              <w:tc>
                <w:tcPr>
                  <w:tcW w:w="3351" w:type="pct"/>
                  <w:tcBorders>
                    <w:tl2br w:val="nil"/>
                    <w:tr2bl w:val="nil"/>
                  </w:tcBorders>
                  <w:vAlign w:val="center"/>
                </w:tcPr>
                <w:p w14:paraId="36B0E2B4">
                  <w:pPr>
                    <w:pStyle w:val="16"/>
                    <w:spacing w:line="240" w:lineRule="auto"/>
                    <w:jc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声环境质量标准（GB 3096－2008 ）</w:t>
                  </w:r>
                  <w:r>
                    <w:rPr>
                      <w:rFonts w:hint="eastAsia" w:ascii="Times New Roman" w:hAnsi="Times New Roman" w:cs="Times New Roman"/>
                      <w:b w:val="0"/>
                      <w:bCs/>
                      <w:color w:val="auto"/>
                      <w:sz w:val="21"/>
                      <w:szCs w:val="21"/>
                    </w:rPr>
                    <w:t>2类标准</w:t>
                  </w:r>
                </w:p>
              </w:tc>
            </w:tr>
          </w:tbl>
          <w:p w14:paraId="511692A5">
            <w:pPr>
              <w:adjustRightInd w:val="0"/>
              <w:snapToGrid w:val="0"/>
              <w:spacing w:line="500" w:lineRule="exact"/>
              <w:rPr>
                <w:b/>
                <w:bCs/>
                <w:kern w:val="0"/>
                <w:sz w:val="24"/>
              </w:rPr>
            </w:pPr>
            <w:r>
              <w:rPr>
                <w:b/>
                <w:bCs/>
                <w:kern w:val="0"/>
                <w:sz w:val="24"/>
              </w:rPr>
              <w:t>4、固体废物储存、处置标准</w:t>
            </w:r>
          </w:p>
          <w:p w14:paraId="41A5415C">
            <w:pPr>
              <w:pStyle w:val="76"/>
              <w:spacing w:line="500" w:lineRule="exact"/>
              <w:ind w:firstLine="480"/>
              <w:rPr>
                <w:b/>
                <w:kern w:val="0"/>
                <w:szCs w:val="21"/>
              </w:rPr>
            </w:pPr>
            <w:r>
              <w:rPr>
                <w:bCs/>
              </w:rPr>
              <w:t>一般工业固废贮存和处置参照《一般工业固体废物贮存和填埋污染控制标准》（GB18599-2020）要求执行。危险废物处置执行《危险废物贮存污染控制标准》（GB18597-2023）要求，危险废物收集、贮存、运输执行《危险废物收集 贮存 运输技术规范》（HJ2025-2012）、《江苏省固体废物全过程环境监管工作意见》（苏环办</w:t>
            </w:r>
            <w:r>
              <w:t>〔2024〕</w:t>
            </w:r>
            <w:r>
              <w:rPr>
                <w:bCs/>
              </w:rPr>
              <w:t>16号）等文件要求。</w:t>
            </w:r>
          </w:p>
        </w:tc>
      </w:tr>
      <w:tr w14:paraId="16CE47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18" w:hRule="atLeast"/>
          <w:jc w:val="center"/>
        </w:trPr>
        <w:tc>
          <w:tcPr>
            <w:tcW w:w="540" w:type="dxa"/>
            <w:vAlign w:val="center"/>
          </w:tcPr>
          <w:p w14:paraId="5A757B3E">
            <w:pPr>
              <w:adjustRightInd w:val="0"/>
              <w:snapToGrid w:val="0"/>
              <w:jc w:val="center"/>
              <w:rPr>
                <w:kern w:val="0"/>
                <w:szCs w:val="21"/>
              </w:rPr>
            </w:pPr>
            <w:r>
              <w:rPr>
                <w:kern w:val="0"/>
                <w:szCs w:val="21"/>
              </w:rPr>
              <w:t>总量</w:t>
            </w:r>
          </w:p>
          <w:p w14:paraId="2F3A9035">
            <w:pPr>
              <w:adjustRightInd w:val="0"/>
              <w:snapToGrid w:val="0"/>
              <w:jc w:val="center"/>
              <w:rPr>
                <w:kern w:val="0"/>
                <w:szCs w:val="21"/>
              </w:rPr>
            </w:pPr>
            <w:r>
              <w:rPr>
                <w:kern w:val="0"/>
                <w:szCs w:val="21"/>
              </w:rPr>
              <w:t>控制</w:t>
            </w:r>
          </w:p>
          <w:p w14:paraId="74C7F84B">
            <w:pPr>
              <w:adjustRightInd w:val="0"/>
              <w:snapToGrid w:val="0"/>
              <w:jc w:val="center"/>
              <w:rPr>
                <w:kern w:val="0"/>
                <w:szCs w:val="21"/>
              </w:rPr>
            </w:pPr>
            <w:r>
              <w:rPr>
                <w:kern w:val="0"/>
                <w:szCs w:val="21"/>
              </w:rPr>
              <w:t>指标</w:t>
            </w:r>
          </w:p>
        </w:tc>
        <w:tc>
          <w:tcPr>
            <w:tcW w:w="8532" w:type="dxa"/>
            <w:vAlign w:val="center"/>
          </w:tcPr>
          <w:p w14:paraId="0A6CBD78">
            <w:pPr>
              <w:pStyle w:val="76"/>
              <w:ind w:firstLine="480"/>
              <w:rPr>
                <w:bCs/>
              </w:rPr>
            </w:pPr>
            <w:r>
              <w:rPr>
                <w:bCs/>
              </w:rPr>
              <w:t>根据国家对污染物总量控制的要求和本项目的污染因子，核算本项目的污染物排放总量为：</w:t>
            </w:r>
          </w:p>
          <w:p w14:paraId="08AD5467">
            <w:pPr>
              <w:pStyle w:val="76"/>
              <w:ind w:firstLine="480"/>
              <w:rPr>
                <w:bCs/>
              </w:rPr>
            </w:pPr>
            <w:r>
              <w:rPr>
                <w:bCs/>
              </w:rPr>
              <w:t xml:space="preserve">水污染接管量：废水量3663吨、COD1.47t/a、SS </w:t>
            </w:r>
            <w:r>
              <w:rPr>
                <w:kern w:val="0"/>
                <w:szCs w:val="21"/>
              </w:rPr>
              <w:t>1.03</w:t>
            </w:r>
            <w:r>
              <w:rPr>
                <w:bCs/>
              </w:rPr>
              <w:t>t/a、NH</w:t>
            </w:r>
            <w:r>
              <w:rPr>
                <w:bCs/>
                <w:vertAlign w:val="subscript"/>
              </w:rPr>
              <w:t>3</w:t>
            </w:r>
            <w:r>
              <w:rPr>
                <w:bCs/>
              </w:rPr>
              <w:t xml:space="preserve">-N </w:t>
            </w:r>
            <w:r>
              <w:rPr>
                <w:kern w:val="0"/>
                <w:szCs w:val="21"/>
              </w:rPr>
              <w:t>0.09</w:t>
            </w:r>
            <w:r>
              <w:rPr>
                <w:bCs/>
              </w:rPr>
              <w:t xml:space="preserve">t/a、TP </w:t>
            </w:r>
            <w:r>
              <w:rPr>
                <w:kern w:val="0"/>
                <w:szCs w:val="21"/>
              </w:rPr>
              <w:t>0.01</w:t>
            </w:r>
            <w:r>
              <w:rPr>
                <w:bCs/>
              </w:rPr>
              <w:t>t/a、总氮0.13t/a、石油类</w:t>
            </w:r>
            <w:r>
              <w:rPr>
                <w:kern w:val="0"/>
                <w:szCs w:val="21"/>
              </w:rPr>
              <w:t xml:space="preserve">0.02 </w:t>
            </w:r>
            <w:r>
              <w:rPr>
                <w:bCs/>
              </w:rPr>
              <w:t>t/a、动植物油</w:t>
            </w:r>
            <w:r>
              <w:rPr>
                <w:kern w:val="0"/>
                <w:szCs w:val="21"/>
              </w:rPr>
              <w:t>0.02</w:t>
            </w:r>
            <w:r>
              <w:rPr>
                <w:bCs/>
              </w:rPr>
              <w:t>t/a、总锑</w:t>
            </w:r>
            <w:r>
              <w:rPr>
                <w:kern w:val="0"/>
                <w:szCs w:val="21"/>
              </w:rPr>
              <w:t>0.001</w:t>
            </w:r>
            <w:r>
              <w:rPr>
                <w:bCs/>
              </w:rPr>
              <w:t>t/a。</w:t>
            </w:r>
          </w:p>
          <w:p w14:paraId="7C8BA28B">
            <w:pPr>
              <w:pStyle w:val="76"/>
              <w:ind w:firstLine="480"/>
              <w:rPr>
                <w:bCs/>
              </w:rPr>
            </w:pPr>
            <w:r>
              <w:rPr>
                <w:bCs/>
              </w:rPr>
              <w:t>有组织废气污染物排放量：非甲烷总烃17.09t/a、颗粒物1.147t/a。</w:t>
            </w:r>
          </w:p>
          <w:p w14:paraId="13E7B85E">
            <w:pPr>
              <w:pStyle w:val="76"/>
              <w:ind w:firstLine="480"/>
              <w:rPr>
                <w:bCs/>
              </w:rPr>
            </w:pPr>
            <w:r>
              <w:rPr>
                <w:bCs/>
              </w:rPr>
              <w:t>固体废物：本项目各类固废均得到有效地处置和利用，固体废物零排放。</w:t>
            </w:r>
          </w:p>
          <w:p w14:paraId="3B98AA04">
            <w:pPr>
              <w:pStyle w:val="76"/>
              <w:ind w:firstLine="482"/>
              <w:rPr>
                <w:b/>
              </w:rPr>
            </w:pPr>
            <w:r>
              <w:rPr>
                <w:b/>
              </w:rPr>
              <w:t>以新带老量：</w:t>
            </w:r>
          </w:p>
          <w:p w14:paraId="6ABF3A4F">
            <w:pPr>
              <w:pStyle w:val="76"/>
              <w:ind w:firstLine="480"/>
              <w:rPr>
                <w:bCs/>
              </w:rPr>
            </w:pPr>
            <w:r>
              <w:rPr>
                <w:bCs/>
              </w:rPr>
              <w:t>污染物“以新带老”量来源于原一期项目取消建设的纺丝车间2及配套</w:t>
            </w:r>
            <w:r>
              <w:rPr>
                <w:rFonts w:hint="eastAsia"/>
                <w:bCs/>
              </w:rPr>
              <w:t>工程</w:t>
            </w:r>
            <w:r>
              <w:rPr>
                <w:bCs/>
              </w:rPr>
              <w:t>产生的废气、废水。根据《国望高科纤维（宿迁）有限公司年产300万吨智能化、超仿真功能性纤维项目环境影响报告书》，原纺丝车间2及其配套工程废水接管量</w:t>
            </w:r>
            <w:r>
              <w:rPr>
                <w:rFonts w:hint="eastAsia"/>
                <w:bCs/>
              </w:rPr>
              <w:t>3663</w:t>
            </w:r>
            <w:r>
              <w:rPr>
                <w:bCs/>
              </w:rPr>
              <w:t xml:space="preserve"> t/a</w:t>
            </w:r>
            <w:r>
              <w:rPr>
                <w:rFonts w:hint="eastAsia"/>
                <w:bCs/>
              </w:rPr>
              <w:t>、</w:t>
            </w:r>
            <w:r>
              <w:rPr>
                <w:bCs/>
              </w:rPr>
              <w:t xml:space="preserve">COD1.47t/a、SS </w:t>
            </w:r>
            <w:r>
              <w:rPr>
                <w:kern w:val="0"/>
                <w:szCs w:val="21"/>
              </w:rPr>
              <w:t>1.03</w:t>
            </w:r>
            <w:r>
              <w:rPr>
                <w:bCs/>
              </w:rPr>
              <w:t>t/a、NH</w:t>
            </w:r>
            <w:r>
              <w:rPr>
                <w:bCs/>
                <w:vertAlign w:val="subscript"/>
              </w:rPr>
              <w:t>3</w:t>
            </w:r>
            <w:r>
              <w:rPr>
                <w:bCs/>
              </w:rPr>
              <w:t xml:space="preserve">-N </w:t>
            </w:r>
            <w:r>
              <w:rPr>
                <w:kern w:val="0"/>
                <w:szCs w:val="21"/>
              </w:rPr>
              <w:t>0.09</w:t>
            </w:r>
            <w:r>
              <w:rPr>
                <w:bCs/>
              </w:rPr>
              <w:t xml:space="preserve">t/a、TP </w:t>
            </w:r>
            <w:r>
              <w:rPr>
                <w:kern w:val="0"/>
                <w:szCs w:val="21"/>
              </w:rPr>
              <w:t>0.01</w:t>
            </w:r>
            <w:r>
              <w:rPr>
                <w:bCs/>
              </w:rPr>
              <w:t>t/a、总氮0.13t/a、石油类</w:t>
            </w:r>
            <w:r>
              <w:rPr>
                <w:kern w:val="0"/>
                <w:szCs w:val="21"/>
              </w:rPr>
              <w:t xml:space="preserve">0.02 </w:t>
            </w:r>
            <w:r>
              <w:rPr>
                <w:bCs/>
              </w:rPr>
              <w:t>t/a、动植物油</w:t>
            </w:r>
            <w:r>
              <w:rPr>
                <w:kern w:val="0"/>
                <w:szCs w:val="21"/>
              </w:rPr>
              <w:t>0.02</w:t>
            </w:r>
            <w:r>
              <w:rPr>
                <w:bCs/>
              </w:rPr>
              <w:t>t/a、总锑</w:t>
            </w:r>
            <w:r>
              <w:rPr>
                <w:kern w:val="0"/>
                <w:szCs w:val="21"/>
              </w:rPr>
              <w:t>0.001</w:t>
            </w:r>
            <w:r>
              <w:rPr>
                <w:bCs/>
              </w:rPr>
              <w:t>t/a；废气非甲烷总烃排放量：</w:t>
            </w:r>
            <w:r>
              <w:rPr>
                <w:szCs w:val="21"/>
              </w:rPr>
              <w:t>12.04t/a。</w:t>
            </w:r>
          </w:p>
          <w:p w14:paraId="452CE741">
            <w:pPr>
              <w:pStyle w:val="76"/>
              <w:ind w:firstLine="482"/>
              <w:rPr>
                <w:b/>
              </w:rPr>
            </w:pPr>
            <w:r>
              <w:rPr>
                <w:b/>
              </w:rPr>
              <w:t>评价建议总量控制指标：</w:t>
            </w:r>
          </w:p>
          <w:p w14:paraId="66B07A6F">
            <w:pPr>
              <w:pStyle w:val="76"/>
              <w:ind w:firstLine="480"/>
              <w:rPr>
                <w:bCs/>
              </w:rPr>
            </w:pPr>
            <w:r>
              <w:rPr>
                <w:bCs/>
              </w:rPr>
              <w:t>本项目</w:t>
            </w:r>
            <w:r>
              <w:rPr>
                <w:rFonts w:hint="eastAsia"/>
                <w:bCs/>
              </w:rPr>
              <w:t>利用</w:t>
            </w:r>
            <w:r>
              <w:rPr>
                <w:bCs/>
              </w:rPr>
              <w:t>现有300万吨</w:t>
            </w:r>
            <w:r>
              <w:rPr>
                <w:rFonts w:hint="eastAsia"/>
                <w:bCs/>
              </w:rPr>
              <w:t>内成子河西侧剩余50万吨聚酯，并外购少部分切片进行下游纺丝，替换成子河西侧剩余50万吨纺丝线，纺丝组件数量及清洗频次不变，废水量不变。</w:t>
            </w:r>
            <w:r>
              <w:rPr>
                <w:bCs/>
              </w:rPr>
              <w:t>废水总量仍在300万吨范围内，无需新增总量，</w:t>
            </w:r>
            <w:r>
              <w:rPr>
                <w:b/>
              </w:rPr>
              <w:t>且本项目位于成子河西侧厂区排水总量已</w:t>
            </w:r>
            <w:r>
              <w:rPr>
                <w:b/>
                <w:kern w:val="0"/>
              </w:rPr>
              <w:t>纳入芮邦科技总量，不新增总量</w:t>
            </w:r>
            <w:r>
              <w:rPr>
                <w:b/>
              </w:rPr>
              <w:t>。</w:t>
            </w:r>
          </w:p>
          <w:p w14:paraId="1B55DBA7">
            <w:pPr>
              <w:pStyle w:val="76"/>
              <w:ind w:firstLine="482"/>
              <w:rPr>
                <w:b/>
              </w:rPr>
            </w:pPr>
            <w:r>
              <w:rPr>
                <w:b/>
              </w:rPr>
              <w:t>大气污染物建：</w:t>
            </w:r>
            <w:r>
              <w:rPr>
                <w:rFonts w:hint="eastAsia"/>
                <w:b/>
              </w:rPr>
              <w:t>相比于被替代的一期项目成子河西侧建设内容新增了废丝回收生产线产生的颗粒物、非甲烷总烃及切片纺丝干燥产生的颗粒物，优先从现有批复总量内调配，后续建设所需总量根据实际情况增减，履行相应手续，故本项目按照全厂总量不新增考虑</w:t>
            </w:r>
            <w:r>
              <w:rPr>
                <w:b/>
              </w:rPr>
              <w:t>。</w:t>
            </w:r>
          </w:p>
          <w:p w14:paraId="438EE102">
            <w:pPr>
              <w:pStyle w:val="76"/>
              <w:spacing w:line="240" w:lineRule="auto"/>
              <w:ind w:firstLine="0" w:firstLineChars="0"/>
              <w:jc w:val="center"/>
              <w:rPr>
                <w:b/>
              </w:rPr>
            </w:pPr>
            <w:r>
              <w:rPr>
                <w:b/>
              </w:rPr>
              <w:t>表3-10 本项目建成后全厂总量控制指标（t/a）</w:t>
            </w:r>
          </w:p>
          <w:tbl>
            <w:tblPr>
              <w:tblStyle w:val="9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313"/>
              <w:gridCol w:w="1214"/>
              <w:gridCol w:w="1214"/>
              <w:gridCol w:w="689"/>
              <w:gridCol w:w="689"/>
              <w:gridCol w:w="1215"/>
              <w:gridCol w:w="1215"/>
              <w:gridCol w:w="666"/>
            </w:tblGrid>
            <w:tr w14:paraId="4B9372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227" w:type="pct"/>
                  <w:gridSpan w:val="2"/>
                  <w:vAlign w:val="center"/>
                </w:tcPr>
                <w:p w14:paraId="4BE7F056">
                  <w:pPr>
                    <w:widowControl/>
                    <w:jc w:val="center"/>
                    <w:rPr>
                      <w:b/>
                      <w:bCs/>
                      <w:kern w:val="0"/>
                      <w:szCs w:val="21"/>
                    </w:rPr>
                  </w:pPr>
                  <w:r>
                    <w:rPr>
                      <w:b/>
                      <w:bCs/>
                      <w:kern w:val="0"/>
                      <w:szCs w:val="21"/>
                    </w:rPr>
                    <w:t>污染物名称</w:t>
                  </w:r>
                </w:p>
              </w:tc>
              <w:tc>
                <w:tcPr>
                  <w:tcW w:w="586" w:type="pct"/>
                  <w:vAlign w:val="center"/>
                </w:tcPr>
                <w:p w14:paraId="1BFBE7D7">
                  <w:pPr>
                    <w:widowControl/>
                    <w:jc w:val="center"/>
                    <w:rPr>
                      <w:b/>
                      <w:bCs/>
                      <w:kern w:val="0"/>
                      <w:szCs w:val="21"/>
                    </w:rPr>
                  </w:pPr>
                  <w:r>
                    <w:rPr>
                      <w:b/>
                      <w:bCs/>
                      <w:kern w:val="0"/>
                      <w:szCs w:val="21"/>
                    </w:rPr>
                    <w:t>现有项目批复接管量*</w:t>
                  </w:r>
                </w:p>
              </w:tc>
              <w:tc>
                <w:tcPr>
                  <w:tcW w:w="645" w:type="pct"/>
                  <w:vAlign w:val="center"/>
                </w:tcPr>
                <w:p w14:paraId="29F9D95B">
                  <w:pPr>
                    <w:widowControl/>
                    <w:jc w:val="center"/>
                    <w:rPr>
                      <w:b/>
                      <w:bCs/>
                      <w:kern w:val="0"/>
                      <w:szCs w:val="21"/>
                    </w:rPr>
                  </w:pPr>
                  <w:r>
                    <w:rPr>
                      <w:b/>
                      <w:bCs/>
                      <w:kern w:val="0"/>
                      <w:szCs w:val="21"/>
                    </w:rPr>
                    <w:t>现有建设项目总量（接管量，折算）</w:t>
                  </w:r>
                </w:p>
              </w:tc>
              <w:tc>
                <w:tcPr>
                  <w:tcW w:w="436" w:type="pct"/>
                  <w:vAlign w:val="center"/>
                </w:tcPr>
                <w:p w14:paraId="71143F03">
                  <w:pPr>
                    <w:widowControl/>
                    <w:jc w:val="center"/>
                    <w:rPr>
                      <w:b/>
                      <w:bCs/>
                      <w:kern w:val="0"/>
                      <w:szCs w:val="21"/>
                    </w:rPr>
                  </w:pPr>
                  <w:r>
                    <w:rPr>
                      <w:b/>
                      <w:bCs/>
                      <w:kern w:val="0"/>
                      <w:szCs w:val="21"/>
                    </w:rPr>
                    <w:t>本项目接管量*</w:t>
                  </w:r>
                </w:p>
              </w:tc>
              <w:tc>
                <w:tcPr>
                  <w:tcW w:w="436" w:type="pct"/>
                  <w:vAlign w:val="center"/>
                </w:tcPr>
                <w:p w14:paraId="30C256D1">
                  <w:pPr>
                    <w:widowControl/>
                    <w:jc w:val="center"/>
                    <w:rPr>
                      <w:b/>
                      <w:bCs/>
                      <w:kern w:val="0"/>
                      <w:szCs w:val="21"/>
                    </w:rPr>
                  </w:pPr>
                  <w:r>
                    <w:rPr>
                      <w:b/>
                      <w:bCs/>
                      <w:kern w:val="0"/>
                      <w:szCs w:val="21"/>
                    </w:rPr>
                    <w:t>以新带老削减量</w:t>
                  </w:r>
                </w:p>
              </w:tc>
              <w:tc>
                <w:tcPr>
                  <w:tcW w:w="645" w:type="pct"/>
                  <w:vAlign w:val="center"/>
                </w:tcPr>
                <w:p w14:paraId="2A896C2A">
                  <w:pPr>
                    <w:widowControl/>
                    <w:jc w:val="center"/>
                    <w:rPr>
                      <w:b/>
                      <w:bCs/>
                      <w:kern w:val="0"/>
                      <w:szCs w:val="21"/>
                    </w:rPr>
                  </w:pPr>
                  <w:r>
                    <w:rPr>
                      <w:b/>
                      <w:bCs/>
                      <w:kern w:val="0"/>
                      <w:szCs w:val="21"/>
                    </w:rPr>
                    <w:t>本项目建成后接管量*</w:t>
                  </w:r>
                </w:p>
              </w:tc>
              <w:tc>
                <w:tcPr>
                  <w:tcW w:w="586" w:type="pct"/>
                  <w:vAlign w:val="center"/>
                </w:tcPr>
                <w:p w14:paraId="750751BC">
                  <w:pPr>
                    <w:widowControl/>
                    <w:jc w:val="center"/>
                    <w:rPr>
                      <w:b/>
                      <w:bCs/>
                      <w:kern w:val="0"/>
                      <w:szCs w:val="21"/>
                    </w:rPr>
                  </w:pPr>
                  <w:r>
                    <w:rPr>
                      <w:b/>
                      <w:bCs/>
                      <w:kern w:val="0"/>
                      <w:szCs w:val="21"/>
                    </w:rPr>
                    <w:t>所有项目建成后全厂接管量*</w:t>
                  </w:r>
                  <w:r>
                    <w:rPr>
                      <w:rFonts w:hint="eastAsia"/>
                      <w:b/>
                      <w:bCs/>
                      <w:kern w:val="0"/>
                      <w:szCs w:val="21"/>
                    </w:rPr>
                    <w:t>**</w:t>
                  </w:r>
                </w:p>
              </w:tc>
              <w:tc>
                <w:tcPr>
                  <w:tcW w:w="436" w:type="pct"/>
                  <w:vAlign w:val="center"/>
                </w:tcPr>
                <w:p w14:paraId="34D78844">
                  <w:pPr>
                    <w:widowControl/>
                    <w:jc w:val="center"/>
                    <w:rPr>
                      <w:b/>
                      <w:bCs/>
                      <w:kern w:val="0"/>
                      <w:szCs w:val="21"/>
                    </w:rPr>
                  </w:pPr>
                  <w:r>
                    <w:rPr>
                      <w:b/>
                      <w:bCs/>
                      <w:kern w:val="0"/>
                      <w:szCs w:val="21"/>
                    </w:rPr>
                    <w:t>本项目排放增减量</w:t>
                  </w:r>
                </w:p>
              </w:tc>
            </w:tr>
            <w:tr w14:paraId="5A8540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36" w:type="pct"/>
                  <w:vMerge w:val="restart"/>
                  <w:vAlign w:val="center"/>
                </w:tcPr>
                <w:p w14:paraId="72AF4F64">
                  <w:pPr>
                    <w:widowControl/>
                    <w:jc w:val="center"/>
                    <w:rPr>
                      <w:kern w:val="0"/>
                      <w:szCs w:val="21"/>
                    </w:rPr>
                  </w:pPr>
                  <w:r>
                    <w:rPr>
                      <w:kern w:val="0"/>
                      <w:szCs w:val="21"/>
                    </w:rPr>
                    <w:t>废水</w:t>
                  </w:r>
                </w:p>
              </w:tc>
              <w:tc>
                <w:tcPr>
                  <w:tcW w:w="791" w:type="pct"/>
                  <w:vAlign w:val="center"/>
                </w:tcPr>
                <w:p w14:paraId="4A85965B">
                  <w:pPr>
                    <w:widowControl/>
                    <w:jc w:val="center"/>
                    <w:rPr>
                      <w:kern w:val="0"/>
                      <w:szCs w:val="21"/>
                    </w:rPr>
                  </w:pPr>
                  <w:r>
                    <w:rPr>
                      <w:kern w:val="0"/>
                      <w:szCs w:val="21"/>
                    </w:rPr>
                    <w:t>废水量</w:t>
                  </w:r>
                </w:p>
              </w:tc>
              <w:tc>
                <w:tcPr>
                  <w:tcW w:w="586" w:type="pct"/>
                  <w:vAlign w:val="center"/>
                </w:tcPr>
                <w:p w14:paraId="01E5F19C">
                  <w:pPr>
                    <w:widowControl/>
                    <w:jc w:val="center"/>
                    <w:rPr>
                      <w:kern w:val="0"/>
                      <w:szCs w:val="21"/>
                    </w:rPr>
                  </w:pPr>
                  <w:r>
                    <w:rPr>
                      <w:kern w:val="0"/>
                      <w:szCs w:val="21"/>
                    </w:rPr>
                    <w:t>611271.374</w:t>
                  </w:r>
                </w:p>
              </w:tc>
              <w:tc>
                <w:tcPr>
                  <w:tcW w:w="645" w:type="pct"/>
                  <w:noWrap/>
                  <w:vAlign w:val="center"/>
                </w:tcPr>
                <w:p w14:paraId="6D72AB43">
                  <w:pPr>
                    <w:widowControl/>
                    <w:jc w:val="center"/>
                    <w:rPr>
                      <w:kern w:val="0"/>
                      <w:szCs w:val="21"/>
                    </w:rPr>
                  </w:pPr>
                  <w:r>
                    <w:rPr>
                      <w:kern w:val="0"/>
                      <w:szCs w:val="21"/>
                    </w:rPr>
                    <w:t>102438.242</w:t>
                  </w:r>
                </w:p>
              </w:tc>
              <w:tc>
                <w:tcPr>
                  <w:tcW w:w="436" w:type="pct"/>
                  <w:vAlign w:val="center"/>
                </w:tcPr>
                <w:p w14:paraId="63210F05">
                  <w:pPr>
                    <w:widowControl/>
                    <w:jc w:val="center"/>
                    <w:rPr>
                      <w:kern w:val="0"/>
                      <w:szCs w:val="21"/>
                    </w:rPr>
                  </w:pPr>
                  <w:r>
                    <w:rPr>
                      <w:kern w:val="0"/>
                      <w:szCs w:val="21"/>
                    </w:rPr>
                    <w:t>3663</w:t>
                  </w:r>
                </w:p>
              </w:tc>
              <w:tc>
                <w:tcPr>
                  <w:tcW w:w="436" w:type="pct"/>
                  <w:vAlign w:val="center"/>
                </w:tcPr>
                <w:p w14:paraId="064A0FF5">
                  <w:pPr>
                    <w:widowControl/>
                    <w:jc w:val="center"/>
                    <w:rPr>
                      <w:kern w:val="0"/>
                      <w:szCs w:val="21"/>
                    </w:rPr>
                  </w:pPr>
                  <w:r>
                    <w:rPr>
                      <w:kern w:val="0"/>
                      <w:szCs w:val="21"/>
                    </w:rPr>
                    <w:t>3663</w:t>
                  </w:r>
                </w:p>
              </w:tc>
              <w:tc>
                <w:tcPr>
                  <w:tcW w:w="645" w:type="pct"/>
                  <w:noWrap/>
                  <w:vAlign w:val="center"/>
                </w:tcPr>
                <w:p w14:paraId="6252D503">
                  <w:pPr>
                    <w:widowControl/>
                    <w:jc w:val="center"/>
                    <w:rPr>
                      <w:kern w:val="0"/>
                      <w:szCs w:val="21"/>
                    </w:rPr>
                  </w:pPr>
                  <w:r>
                    <w:rPr>
                      <w:kern w:val="0"/>
                      <w:szCs w:val="21"/>
                    </w:rPr>
                    <w:t>102438.242</w:t>
                  </w:r>
                </w:p>
              </w:tc>
              <w:tc>
                <w:tcPr>
                  <w:tcW w:w="586" w:type="pct"/>
                  <w:vAlign w:val="center"/>
                </w:tcPr>
                <w:p w14:paraId="1EC2B7F9">
                  <w:pPr>
                    <w:widowControl/>
                    <w:jc w:val="center"/>
                    <w:rPr>
                      <w:kern w:val="0"/>
                      <w:szCs w:val="21"/>
                    </w:rPr>
                  </w:pPr>
                  <w:r>
                    <w:rPr>
                      <w:kern w:val="0"/>
                      <w:szCs w:val="21"/>
                    </w:rPr>
                    <w:t>611271.374</w:t>
                  </w:r>
                </w:p>
              </w:tc>
              <w:tc>
                <w:tcPr>
                  <w:tcW w:w="436" w:type="pct"/>
                  <w:vAlign w:val="center"/>
                </w:tcPr>
                <w:p w14:paraId="2F1883CE">
                  <w:pPr>
                    <w:widowControl/>
                    <w:jc w:val="center"/>
                    <w:rPr>
                      <w:kern w:val="0"/>
                      <w:szCs w:val="21"/>
                    </w:rPr>
                  </w:pPr>
                  <w:r>
                    <w:rPr>
                      <w:kern w:val="0"/>
                      <w:szCs w:val="21"/>
                    </w:rPr>
                    <w:t>0</w:t>
                  </w:r>
                </w:p>
              </w:tc>
            </w:tr>
            <w:tr w14:paraId="27F4BE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36" w:type="pct"/>
                  <w:vMerge w:val="continue"/>
                  <w:vAlign w:val="center"/>
                </w:tcPr>
                <w:p w14:paraId="44F88C6B">
                  <w:pPr>
                    <w:widowControl/>
                    <w:jc w:val="left"/>
                    <w:rPr>
                      <w:kern w:val="0"/>
                      <w:szCs w:val="21"/>
                    </w:rPr>
                  </w:pPr>
                </w:p>
              </w:tc>
              <w:tc>
                <w:tcPr>
                  <w:tcW w:w="791" w:type="pct"/>
                  <w:vAlign w:val="center"/>
                </w:tcPr>
                <w:p w14:paraId="0E2FCB74">
                  <w:pPr>
                    <w:widowControl/>
                    <w:jc w:val="center"/>
                    <w:rPr>
                      <w:kern w:val="0"/>
                      <w:szCs w:val="21"/>
                    </w:rPr>
                  </w:pPr>
                  <w:r>
                    <w:rPr>
                      <w:kern w:val="0"/>
                      <w:szCs w:val="21"/>
                    </w:rPr>
                    <w:t>COD</w:t>
                  </w:r>
                </w:p>
              </w:tc>
              <w:tc>
                <w:tcPr>
                  <w:tcW w:w="586" w:type="pct"/>
                  <w:vAlign w:val="center"/>
                </w:tcPr>
                <w:p w14:paraId="5A9CC7CD">
                  <w:pPr>
                    <w:widowControl/>
                    <w:jc w:val="center"/>
                    <w:rPr>
                      <w:kern w:val="0"/>
                      <w:szCs w:val="21"/>
                    </w:rPr>
                  </w:pPr>
                  <w:r>
                    <w:rPr>
                      <w:kern w:val="0"/>
                      <w:szCs w:val="21"/>
                    </w:rPr>
                    <w:t>244.51</w:t>
                  </w:r>
                </w:p>
              </w:tc>
              <w:tc>
                <w:tcPr>
                  <w:tcW w:w="645" w:type="pct"/>
                  <w:noWrap/>
                  <w:vAlign w:val="center"/>
                </w:tcPr>
                <w:p w14:paraId="4BA9F92F">
                  <w:pPr>
                    <w:widowControl/>
                    <w:jc w:val="center"/>
                    <w:rPr>
                      <w:kern w:val="0"/>
                      <w:szCs w:val="21"/>
                    </w:rPr>
                  </w:pPr>
                  <w:r>
                    <w:rPr>
                      <w:kern w:val="0"/>
                      <w:szCs w:val="21"/>
                    </w:rPr>
                    <w:t>40.976</w:t>
                  </w:r>
                </w:p>
              </w:tc>
              <w:tc>
                <w:tcPr>
                  <w:tcW w:w="436" w:type="pct"/>
                  <w:vAlign w:val="center"/>
                </w:tcPr>
                <w:p w14:paraId="52C967A0">
                  <w:pPr>
                    <w:widowControl/>
                    <w:jc w:val="center"/>
                    <w:rPr>
                      <w:kern w:val="0"/>
                      <w:szCs w:val="21"/>
                    </w:rPr>
                  </w:pPr>
                  <w:r>
                    <w:rPr>
                      <w:kern w:val="0"/>
                      <w:szCs w:val="21"/>
                    </w:rPr>
                    <w:t>1.47</w:t>
                  </w:r>
                </w:p>
              </w:tc>
              <w:tc>
                <w:tcPr>
                  <w:tcW w:w="436" w:type="pct"/>
                  <w:vAlign w:val="center"/>
                </w:tcPr>
                <w:p w14:paraId="13994004">
                  <w:pPr>
                    <w:widowControl/>
                    <w:jc w:val="center"/>
                    <w:rPr>
                      <w:kern w:val="0"/>
                      <w:szCs w:val="21"/>
                    </w:rPr>
                  </w:pPr>
                  <w:r>
                    <w:rPr>
                      <w:kern w:val="0"/>
                      <w:szCs w:val="21"/>
                    </w:rPr>
                    <w:t>1.47</w:t>
                  </w:r>
                </w:p>
              </w:tc>
              <w:tc>
                <w:tcPr>
                  <w:tcW w:w="645" w:type="pct"/>
                  <w:noWrap/>
                  <w:vAlign w:val="center"/>
                </w:tcPr>
                <w:p w14:paraId="79399997">
                  <w:pPr>
                    <w:widowControl/>
                    <w:jc w:val="center"/>
                    <w:rPr>
                      <w:kern w:val="0"/>
                      <w:szCs w:val="21"/>
                    </w:rPr>
                  </w:pPr>
                  <w:r>
                    <w:rPr>
                      <w:kern w:val="0"/>
                      <w:szCs w:val="21"/>
                    </w:rPr>
                    <w:t>40.976</w:t>
                  </w:r>
                </w:p>
              </w:tc>
              <w:tc>
                <w:tcPr>
                  <w:tcW w:w="586" w:type="pct"/>
                  <w:vAlign w:val="center"/>
                </w:tcPr>
                <w:p w14:paraId="31C62247">
                  <w:pPr>
                    <w:widowControl/>
                    <w:jc w:val="center"/>
                    <w:rPr>
                      <w:kern w:val="0"/>
                      <w:szCs w:val="21"/>
                    </w:rPr>
                  </w:pPr>
                  <w:r>
                    <w:rPr>
                      <w:kern w:val="0"/>
                      <w:szCs w:val="21"/>
                    </w:rPr>
                    <w:t>244.51</w:t>
                  </w:r>
                </w:p>
              </w:tc>
              <w:tc>
                <w:tcPr>
                  <w:tcW w:w="436" w:type="pct"/>
                  <w:vAlign w:val="center"/>
                </w:tcPr>
                <w:p w14:paraId="191DD157">
                  <w:pPr>
                    <w:widowControl/>
                    <w:jc w:val="center"/>
                    <w:rPr>
                      <w:kern w:val="0"/>
                      <w:szCs w:val="21"/>
                    </w:rPr>
                  </w:pPr>
                  <w:r>
                    <w:rPr>
                      <w:kern w:val="0"/>
                      <w:szCs w:val="21"/>
                    </w:rPr>
                    <w:t>0</w:t>
                  </w:r>
                </w:p>
              </w:tc>
            </w:tr>
            <w:tr w14:paraId="13AF92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36" w:type="pct"/>
                  <w:vMerge w:val="continue"/>
                  <w:vAlign w:val="center"/>
                </w:tcPr>
                <w:p w14:paraId="7338B640">
                  <w:pPr>
                    <w:widowControl/>
                    <w:jc w:val="left"/>
                    <w:rPr>
                      <w:kern w:val="0"/>
                      <w:szCs w:val="21"/>
                    </w:rPr>
                  </w:pPr>
                </w:p>
              </w:tc>
              <w:tc>
                <w:tcPr>
                  <w:tcW w:w="791" w:type="pct"/>
                  <w:vAlign w:val="center"/>
                </w:tcPr>
                <w:p w14:paraId="61B4B0BB">
                  <w:pPr>
                    <w:widowControl/>
                    <w:jc w:val="center"/>
                    <w:rPr>
                      <w:kern w:val="0"/>
                      <w:szCs w:val="21"/>
                    </w:rPr>
                  </w:pPr>
                  <w:r>
                    <w:rPr>
                      <w:kern w:val="0"/>
                      <w:szCs w:val="21"/>
                    </w:rPr>
                    <w:t>SS</w:t>
                  </w:r>
                </w:p>
              </w:tc>
              <w:tc>
                <w:tcPr>
                  <w:tcW w:w="586" w:type="pct"/>
                  <w:vAlign w:val="center"/>
                </w:tcPr>
                <w:p w14:paraId="6BECDCF5">
                  <w:pPr>
                    <w:widowControl/>
                    <w:jc w:val="center"/>
                    <w:rPr>
                      <w:kern w:val="0"/>
                      <w:szCs w:val="21"/>
                    </w:rPr>
                  </w:pPr>
                  <w:r>
                    <w:rPr>
                      <w:kern w:val="0"/>
                      <w:szCs w:val="21"/>
                    </w:rPr>
                    <w:t>171.075</w:t>
                  </w:r>
                </w:p>
              </w:tc>
              <w:tc>
                <w:tcPr>
                  <w:tcW w:w="645" w:type="pct"/>
                  <w:noWrap/>
                  <w:vAlign w:val="center"/>
                </w:tcPr>
                <w:p w14:paraId="78E599D6">
                  <w:pPr>
                    <w:widowControl/>
                    <w:jc w:val="center"/>
                    <w:rPr>
                      <w:kern w:val="0"/>
                      <w:szCs w:val="21"/>
                    </w:rPr>
                  </w:pPr>
                  <w:r>
                    <w:rPr>
                      <w:kern w:val="0"/>
                      <w:szCs w:val="21"/>
                    </w:rPr>
                    <w:t>28.624</w:t>
                  </w:r>
                </w:p>
              </w:tc>
              <w:tc>
                <w:tcPr>
                  <w:tcW w:w="436" w:type="pct"/>
                  <w:vAlign w:val="center"/>
                </w:tcPr>
                <w:p w14:paraId="1B4BAA3E">
                  <w:pPr>
                    <w:widowControl/>
                    <w:jc w:val="center"/>
                    <w:rPr>
                      <w:kern w:val="0"/>
                      <w:szCs w:val="21"/>
                    </w:rPr>
                  </w:pPr>
                  <w:r>
                    <w:rPr>
                      <w:kern w:val="0"/>
                      <w:szCs w:val="21"/>
                    </w:rPr>
                    <w:t>1.03</w:t>
                  </w:r>
                </w:p>
              </w:tc>
              <w:tc>
                <w:tcPr>
                  <w:tcW w:w="436" w:type="pct"/>
                  <w:vAlign w:val="center"/>
                </w:tcPr>
                <w:p w14:paraId="40CEDDF9">
                  <w:pPr>
                    <w:widowControl/>
                    <w:jc w:val="center"/>
                    <w:rPr>
                      <w:kern w:val="0"/>
                      <w:szCs w:val="21"/>
                    </w:rPr>
                  </w:pPr>
                  <w:r>
                    <w:rPr>
                      <w:kern w:val="0"/>
                      <w:szCs w:val="21"/>
                    </w:rPr>
                    <w:t>1.03</w:t>
                  </w:r>
                </w:p>
              </w:tc>
              <w:tc>
                <w:tcPr>
                  <w:tcW w:w="645" w:type="pct"/>
                  <w:noWrap/>
                  <w:vAlign w:val="center"/>
                </w:tcPr>
                <w:p w14:paraId="5B265DF1">
                  <w:pPr>
                    <w:widowControl/>
                    <w:jc w:val="center"/>
                    <w:rPr>
                      <w:kern w:val="0"/>
                      <w:szCs w:val="21"/>
                    </w:rPr>
                  </w:pPr>
                  <w:r>
                    <w:rPr>
                      <w:kern w:val="0"/>
                      <w:szCs w:val="21"/>
                    </w:rPr>
                    <w:t>28.624</w:t>
                  </w:r>
                </w:p>
              </w:tc>
              <w:tc>
                <w:tcPr>
                  <w:tcW w:w="586" w:type="pct"/>
                  <w:vAlign w:val="center"/>
                </w:tcPr>
                <w:p w14:paraId="69EEC123">
                  <w:pPr>
                    <w:widowControl/>
                    <w:jc w:val="center"/>
                    <w:rPr>
                      <w:kern w:val="0"/>
                      <w:szCs w:val="21"/>
                    </w:rPr>
                  </w:pPr>
                  <w:r>
                    <w:rPr>
                      <w:kern w:val="0"/>
                      <w:szCs w:val="21"/>
                    </w:rPr>
                    <w:t>171.075</w:t>
                  </w:r>
                </w:p>
              </w:tc>
              <w:tc>
                <w:tcPr>
                  <w:tcW w:w="436" w:type="pct"/>
                  <w:vAlign w:val="center"/>
                </w:tcPr>
                <w:p w14:paraId="07744CB6">
                  <w:pPr>
                    <w:widowControl/>
                    <w:jc w:val="center"/>
                    <w:rPr>
                      <w:kern w:val="0"/>
                      <w:szCs w:val="21"/>
                    </w:rPr>
                  </w:pPr>
                  <w:r>
                    <w:rPr>
                      <w:kern w:val="0"/>
                      <w:szCs w:val="21"/>
                    </w:rPr>
                    <w:t>0</w:t>
                  </w:r>
                </w:p>
              </w:tc>
            </w:tr>
            <w:tr w14:paraId="41E224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36" w:type="pct"/>
                  <w:vMerge w:val="continue"/>
                  <w:vAlign w:val="center"/>
                </w:tcPr>
                <w:p w14:paraId="518C3F95">
                  <w:pPr>
                    <w:widowControl/>
                    <w:jc w:val="left"/>
                    <w:rPr>
                      <w:kern w:val="0"/>
                      <w:szCs w:val="21"/>
                    </w:rPr>
                  </w:pPr>
                </w:p>
              </w:tc>
              <w:tc>
                <w:tcPr>
                  <w:tcW w:w="791" w:type="pct"/>
                  <w:vAlign w:val="center"/>
                </w:tcPr>
                <w:p w14:paraId="0C700608">
                  <w:pPr>
                    <w:widowControl/>
                    <w:jc w:val="center"/>
                    <w:rPr>
                      <w:kern w:val="0"/>
                      <w:szCs w:val="21"/>
                    </w:rPr>
                  </w:pPr>
                  <w:r>
                    <w:rPr>
                      <w:kern w:val="0"/>
                      <w:szCs w:val="21"/>
                    </w:rPr>
                    <w:t>NH</w:t>
                  </w:r>
                  <w:r>
                    <w:rPr>
                      <w:kern w:val="0"/>
                      <w:szCs w:val="21"/>
                      <w:vertAlign w:val="subscript"/>
                    </w:rPr>
                    <w:t>3</w:t>
                  </w:r>
                  <w:r>
                    <w:rPr>
                      <w:kern w:val="0"/>
                      <w:szCs w:val="21"/>
                    </w:rPr>
                    <w:t>-N</w:t>
                  </w:r>
                </w:p>
              </w:tc>
              <w:tc>
                <w:tcPr>
                  <w:tcW w:w="586" w:type="pct"/>
                  <w:vAlign w:val="center"/>
                </w:tcPr>
                <w:p w14:paraId="40A41EA6">
                  <w:pPr>
                    <w:widowControl/>
                    <w:jc w:val="center"/>
                    <w:rPr>
                      <w:kern w:val="0"/>
                      <w:szCs w:val="21"/>
                    </w:rPr>
                  </w:pPr>
                  <w:r>
                    <w:rPr>
                      <w:kern w:val="0"/>
                      <w:szCs w:val="21"/>
                    </w:rPr>
                    <w:t>15.284</w:t>
                  </w:r>
                </w:p>
              </w:tc>
              <w:tc>
                <w:tcPr>
                  <w:tcW w:w="645" w:type="pct"/>
                  <w:noWrap/>
                  <w:vAlign w:val="center"/>
                </w:tcPr>
                <w:p w14:paraId="7338938E">
                  <w:pPr>
                    <w:widowControl/>
                    <w:jc w:val="center"/>
                    <w:rPr>
                      <w:kern w:val="0"/>
                      <w:szCs w:val="21"/>
                    </w:rPr>
                  </w:pPr>
                  <w:r>
                    <w:rPr>
                      <w:kern w:val="0"/>
                      <w:szCs w:val="21"/>
                    </w:rPr>
                    <w:t>2.561</w:t>
                  </w:r>
                </w:p>
              </w:tc>
              <w:tc>
                <w:tcPr>
                  <w:tcW w:w="436" w:type="pct"/>
                  <w:vAlign w:val="center"/>
                </w:tcPr>
                <w:p w14:paraId="5C8192D7">
                  <w:pPr>
                    <w:widowControl/>
                    <w:jc w:val="center"/>
                    <w:rPr>
                      <w:kern w:val="0"/>
                      <w:szCs w:val="21"/>
                    </w:rPr>
                  </w:pPr>
                  <w:r>
                    <w:rPr>
                      <w:kern w:val="0"/>
                      <w:szCs w:val="21"/>
                    </w:rPr>
                    <w:t>0.09</w:t>
                  </w:r>
                </w:p>
              </w:tc>
              <w:tc>
                <w:tcPr>
                  <w:tcW w:w="436" w:type="pct"/>
                  <w:vAlign w:val="center"/>
                </w:tcPr>
                <w:p w14:paraId="71EB1D71">
                  <w:pPr>
                    <w:widowControl/>
                    <w:jc w:val="center"/>
                    <w:rPr>
                      <w:kern w:val="0"/>
                      <w:szCs w:val="21"/>
                    </w:rPr>
                  </w:pPr>
                  <w:r>
                    <w:rPr>
                      <w:kern w:val="0"/>
                      <w:szCs w:val="21"/>
                    </w:rPr>
                    <w:t>0.09</w:t>
                  </w:r>
                </w:p>
              </w:tc>
              <w:tc>
                <w:tcPr>
                  <w:tcW w:w="645" w:type="pct"/>
                  <w:noWrap/>
                  <w:vAlign w:val="center"/>
                </w:tcPr>
                <w:p w14:paraId="63D561FF">
                  <w:pPr>
                    <w:widowControl/>
                    <w:jc w:val="center"/>
                    <w:rPr>
                      <w:kern w:val="0"/>
                      <w:szCs w:val="21"/>
                    </w:rPr>
                  </w:pPr>
                  <w:r>
                    <w:rPr>
                      <w:kern w:val="0"/>
                      <w:szCs w:val="21"/>
                    </w:rPr>
                    <w:t>2.561</w:t>
                  </w:r>
                </w:p>
              </w:tc>
              <w:tc>
                <w:tcPr>
                  <w:tcW w:w="586" w:type="pct"/>
                  <w:vAlign w:val="center"/>
                </w:tcPr>
                <w:p w14:paraId="0C1D6DD9">
                  <w:pPr>
                    <w:widowControl/>
                    <w:jc w:val="center"/>
                    <w:rPr>
                      <w:kern w:val="0"/>
                      <w:szCs w:val="21"/>
                    </w:rPr>
                  </w:pPr>
                  <w:r>
                    <w:rPr>
                      <w:kern w:val="0"/>
                      <w:szCs w:val="21"/>
                    </w:rPr>
                    <w:t>15.284</w:t>
                  </w:r>
                </w:p>
              </w:tc>
              <w:tc>
                <w:tcPr>
                  <w:tcW w:w="436" w:type="pct"/>
                  <w:vAlign w:val="center"/>
                </w:tcPr>
                <w:p w14:paraId="600BDB1F">
                  <w:pPr>
                    <w:widowControl/>
                    <w:jc w:val="center"/>
                    <w:rPr>
                      <w:kern w:val="0"/>
                      <w:szCs w:val="21"/>
                    </w:rPr>
                  </w:pPr>
                  <w:r>
                    <w:rPr>
                      <w:kern w:val="0"/>
                      <w:szCs w:val="21"/>
                    </w:rPr>
                    <w:t>0</w:t>
                  </w:r>
                </w:p>
              </w:tc>
            </w:tr>
            <w:tr w14:paraId="0CF35D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36" w:type="pct"/>
                  <w:vMerge w:val="continue"/>
                  <w:vAlign w:val="center"/>
                </w:tcPr>
                <w:p w14:paraId="1B9C6695">
                  <w:pPr>
                    <w:widowControl/>
                    <w:jc w:val="left"/>
                    <w:rPr>
                      <w:kern w:val="0"/>
                      <w:szCs w:val="21"/>
                    </w:rPr>
                  </w:pPr>
                </w:p>
              </w:tc>
              <w:tc>
                <w:tcPr>
                  <w:tcW w:w="791" w:type="pct"/>
                  <w:vAlign w:val="center"/>
                </w:tcPr>
                <w:p w14:paraId="5A1814B4">
                  <w:pPr>
                    <w:widowControl/>
                    <w:jc w:val="center"/>
                    <w:rPr>
                      <w:kern w:val="0"/>
                      <w:szCs w:val="21"/>
                    </w:rPr>
                  </w:pPr>
                  <w:r>
                    <w:rPr>
                      <w:kern w:val="0"/>
                      <w:szCs w:val="21"/>
                    </w:rPr>
                    <w:t>TP</w:t>
                  </w:r>
                </w:p>
              </w:tc>
              <w:tc>
                <w:tcPr>
                  <w:tcW w:w="586" w:type="pct"/>
                  <w:vAlign w:val="center"/>
                </w:tcPr>
                <w:p w14:paraId="68DF2E88">
                  <w:pPr>
                    <w:widowControl/>
                    <w:jc w:val="center"/>
                    <w:rPr>
                      <w:kern w:val="0"/>
                      <w:szCs w:val="21"/>
                    </w:rPr>
                  </w:pPr>
                  <w:r>
                    <w:rPr>
                      <w:kern w:val="0"/>
                      <w:szCs w:val="21"/>
                    </w:rPr>
                    <w:t>1.224</w:t>
                  </w:r>
                </w:p>
              </w:tc>
              <w:tc>
                <w:tcPr>
                  <w:tcW w:w="645" w:type="pct"/>
                  <w:noWrap/>
                  <w:vAlign w:val="center"/>
                </w:tcPr>
                <w:p w14:paraId="5508FBE2">
                  <w:pPr>
                    <w:widowControl/>
                    <w:jc w:val="center"/>
                    <w:rPr>
                      <w:kern w:val="0"/>
                      <w:szCs w:val="21"/>
                    </w:rPr>
                  </w:pPr>
                  <w:r>
                    <w:rPr>
                      <w:kern w:val="0"/>
                      <w:szCs w:val="21"/>
                    </w:rPr>
                    <w:t>0.206</w:t>
                  </w:r>
                </w:p>
              </w:tc>
              <w:tc>
                <w:tcPr>
                  <w:tcW w:w="436" w:type="pct"/>
                  <w:vAlign w:val="center"/>
                </w:tcPr>
                <w:p w14:paraId="54B3FD31">
                  <w:pPr>
                    <w:widowControl/>
                    <w:jc w:val="center"/>
                    <w:rPr>
                      <w:kern w:val="0"/>
                      <w:szCs w:val="21"/>
                    </w:rPr>
                  </w:pPr>
                  <w:r>
                    <w:rPr>
                      <w:kern w:val="0"/>
                      <w:szCs w:val="21"/>
                    </w:rPr>
                    <w:t>0.01</w:t>
                  </w:r>
                </w:p>
              </w:tc>
              <w:tc>
                <w:tcPr>
                  <w:tcW w:w="436" w:type="pct"/>
                  <w:vAlign w:val="center"/>
                </w:tcPr>
                <w:p w14:paraId="180536D1">
                  <w:pPr>
                    <w:widowControl/>
                    <w:jc w:val="center"/>
                    <w:rPr>
                      <w:kern w:val="0"/>
                      <w:szCs w:val="21"/>
                    </w:rPr>
                  </w:pPr>
                  <w:r>
                    <w:rPr>
                      <w:kern w:val="0"/>
                      <w:szCs w:val="21"/>
                    </w:rPr>
                    <w:t>0.01</w:t>
                  </w:r>
                </w:p>
              </w:tc>
              <w:tc>
                <w:tcPr>
                  <w:tcW w:w="645" w:type="pct"/>
                  <w:noWrap/>
                  <w:vAlign w:val="center"/>
                </w:tcPr>
                <w:p w14:paraId="1B14A6A0">
                  <w:pPr>
                    <w:widowControl/>
                    <w:jc w:val="center"/>
                    <w:rPr>
                      <w:kern w:val="0"/>
                      <w:szCs w:val="21"/>
                    </w:rPr>
                  </w:pPr>
                  <w:r>
                    <w:rPr>
                      <w:kern w:val="0"/>
                      <w:szCs w:val="21"/>
                    </w:rPr>
                    <w:t>0.206</w:t>
                  </w:r>
                </w:p>
              </w:tc>
              <w:tc>
                <w:tcPr>
                  <w:tcW w:w="586" w:type="pct"/>
                  <w:vAlign w:val="center"/>
                </w:tcPr>
                <w:p w14:paraId="02491288">
                  <w:pPr>
                    <w:widowControl/>
                    <w:jc w:val="center"/>
                    <w:rPr>
                      <w:kern w:val="0"/>
                      <w:szCs w:val="21"/>
                    </w:rPr>
                  </w:pPr>
                  <w:r>
                    <w:rPr>
                      <w:kern w:val="0"/>
                      <w:szCs w:val="21"/>
                    </w:rPr>
                    <w:t>1.224</w:t>
                  </w:r>
                </w:p>
              </w:tc>
              <w:tc>
                <w:tcPr>
                  <w:tcW w:w="436" w:type="pct"/>
                  <w:vAlign w:val="center"/>
                </w:tcPr>
                <w:p w14:paraId="4858AD0B">
                  <w:pPr>
                    <w:widowControl/>
                    <w:jc w:val="center"/>
                    <w:rPr>
                      <w:kern w:val="0"/>
                      <w:szCs w:val="21"/>
                    </w:rPr>
                  </w:pPr>
                  <w:r>
                    <w:rPr>
                      <w:kern w:val="0"/>
                      <w:szCs w:val="21"/>
                    </w:rPr>
                    <w:t>0</w:t>
                  </w:r>
                </w:p>
              </w:tc>
            </w:tr>
            <w:tr w14:paraId="45365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36" w:type="pct"/>
                  <w:vMerge w:val="continue"/>
                  <w:vAlign w:val="center"/>
                </w:tcPr>
                <w:p w14:paraId="6F506AA8">
                  <w:pPr>
                    <w:widowControl/>
                    <w:jc w:val="left"/>
                    <w:rPr>
                      <w:kern w:val="0"/>
                      <w:szCs w:val="21"/>
                    </w:rPr>
                  </w:pPr>
                </w:p>
              </w:tc>
              <w:tc>
                <w:tcPr>
                  <w:tcW w:w="791" w:type="pct"/>
                  <w:vAlign w:val="center"/>
                </w:tcPr>
                <w:p w14:paraId="7B1894A1">
                  <w:pPr>
                    <w:widowControl/>
                    <w:jc w:val="center"/>
                    <w:rPr>
                      <w:kern w:val="0"/>
                      <w:szCs w:val="21"/>
                    </w:rPr>
                  </w:pPr>
                  <w:r>
                    <w:rPr>
                      <w:kern w:val="0"/>
                      <w:szCs w:val="21"/>
                    </w:rPr>
                    <w:t>总氮**</w:t>
                  </w:r>
                </w:p>
              </w:tc>
              <w:tc>
                <w:tcPr>
                  <w:tcW w:w="586" w:type="pct"/>
                  <w:vAlign w:val="center"/>
                </w:tcPr>
                <w:p w14:paraId="790AF060">
                  <w:pPr>
                    <w:widowControl/>
                    <w:jc w:val="center"/>
                    <w:rPr>
                      <w:kern w:val="0"/>
                      <w:szCs w:val="21"/>
                    </w:rPr>
                  </w:pPr>
                  <w:r>
                    <w:rPr>
                      <w:kern w:val="0"/>
                      <w:szCs w:val="21"/>
                    </w:rPr>
                    <w:t>21.36</w:t>
                  </w:r>
                </w:p>
              </w:tc>
              <w:tc>
                <w:tcPr>
                  <w:tcW w:w="645" w:type="pct"/>
                  <w:noWrap/>
                  <w:vAlign w:val="center"/>
                </w:tcPr>
                <w:p w14:paraId="33B497E0">
                  <w:pPr>
                    <w:widowControl/>
                    <w:jc w:val="center"/>
                    <w:rPr>
                      <w:kern w:val="0"/>
                      <w:szCs w:val="21"/>
                    </w:rPr>
                  </w:pPr>
                  <w:r>
                    <w:rPr>
                      <w:kern w:val="0"/>
                      <w:szCs w:val="21"/>
                    </w:rPr>
                    <w:t>3.58</w:t>
                  </w:r>
                </w:p>
              </w:tc>
              <w:tc>
                <w:tcPr>
                  <w:tcW w:w="436" w:type="pct"/>
                  <w:vAlign w:val="center"/>
                </w:tcPr>
                <w:p w14:paraId="32332FBD">
                  <w:pPr>
                    <w:widowControl/>
                    <w:jc w:val="center"/>
                    <w:rPr>
                      <w:kern w:val="0"/>
                      <w:szCs w:val="21"/>
                    </w:rPr>
                  </w:pPr>
                  <w:r>
                    <w:rPr>
                      <w:kern w:val="0"/>
                      <w:szCs w:val="21"/>
                    </w:rPr>
                    <w:t>0.13</w:t>
                  </w:r>
                </w:p>
              </w:tc>
              <w:tc>
                <w:tcPr>
                  <w:tcW w:w="436" w:type="pct"/>
                  <w:vAlign w:val="center"/>
                </w:tcPr>
                <w:p w14:paraId="70BB2473">
                  <w:pPr>
                    <w:widowControl/>
                    <w:jc w:val="center"/>
                    <w:rPr>
                      <w:kern w:val="0"/>
                      <w:szCs w:val="21"/>
                    </w:rPr>
                  </w:pPr>
                  <w:r>
                    <w:rPr>
                      <w:kern w:val="0"/>
                      <w:szCs w:val="21"/>
                    </w:rPr>
                    <w:t>0.13</w:t>
                  </w:r>
                </w:p>
              </w:tc>
              <w:tc>
                <w:tcPr>
                  <w:tcW w:w="645" w:type="pct"/>
                  <w:noWrap/>
                  <w:vAlign w:val="center"/>
                </w:tcPr>
                <w:p w14:paraId="567231DC">
                  <w:pPr>
                    <w:widowControl/>
                    <w:jc w:val="center"/>
                    <w:rPr>
                      <w:kern w:val="0"/>
                      <w:szCs w:val="21"/>
                    </w:rPr>
                  </w:pPr>
                  <w:r>
                    <w:rPr>
                      <w:kern w:val="0"/>
                      <w:szCs w:val="21"/>
                    </w:rPr>
                    <w:t>3.58</w:t>
                  </w:r>
                </w:p>
              </w:tc>
              <w:tc>
                <w:tcPr>
                  <w:tcW w:w="586" w:type="pct"/>
                  <w:vAlign w:val="center"/>
                </w:tcPr>
                <w:p w14:paraId="75EF95EB">
                  <w:pPr>
                    <w:widowControl/>
                    <w:jc w:val="center"/>
                    <w:rPr>
                      <w:kern w:val="0"/>
                      <w:szCs w:val="21"/>
                    </w:rPr>
                  </w:pPr>
                  <w:r>
                    <w:rPr>
                      <w:kern w:val="0"/>
                      <w:szCs w:val="21"/>
                    </w:rPr>
                    <w:t>21.36</w:t>
                  </w:r>
                </w:p>
              </w:tc>
              <w:tc>
                <w:tcPr>
                  <w:tcW w:w="436" w:type="pct"/>
                  <w:vAlign w:val="center"/>
                </w:tcPr>
                <w:p w14:paraId="03573FC7">
                  <w:pPr>
                    <w:widowControl/>
                    <w:jc w:val="center"/>
                    <w:rPr>
                      <w:kern w:val="0"/>
                      <w:szCs w:val="21"/>
                    </w:rPr>
                  </w:pPr>
                  <w:r>
                    <w:rPr>
                      <w:kern w:val="0"/>
                      <w:szCs w:val="21"/>
                    </w:rPr>
                    <w:t>0</w:t>
                  </w:r>
                </w:p>
              </w:tc>
            </w:tr>
            <w:tr w14:paraId="1A2BC5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36" w:type="pct"/>
                  <w:vMerge w:val="continue"/>
                  <w:vAlign w:val="center"/>
                </w:tcPr>
                <w:p w14:paraId="516FB57B">
                  <w:pPr>
                    <w:widowControl/>
                    <w:jc w:val="left"/>
                    <w:rPr>
                      <w:kern w:val="0"/>
                      <w:szCs w:val="21"/>
                    </w:rPr>
                  </w:pPr>
                </w:p>
              </w:tc>
              <w:tc>
                <w:tcPr>
                  <w:tcW w:w="791" w:type="pct"/>
                  <w:vAlign w:val="center"/>
                </w:tcPr>
                <w:p w14:paraId="45921B5B">
                  <w:pPr>
                    <w:widowControl/>
                    <w:jc w:val="center"/>
                    <w:rPr>
                      <w:kern w:val="0"/>
                      <w:szCs w:val="21"/>
                    </w:rPr>
                  </w:pPr>
                  <w:r>
                    <w:rPr>
                      <w:kern w:val="0"/>
                      <w:szCs w:val="21"/>
                    </w:rPr>
                    <w:t>石油类</w:t>
                  </w:r>
                </w:p>
              </w:tc>
              <w:tc>
                <w:tcPr>
                  <w:tcW w:w="586" w:type="pct"/>
                  <w:vAlign w:val="center"/>
                </w:tcPr>
                <w:p w14:paraId="11304C93">
                  <w:pPr>
                    <w:widowControl/>
                    <w:jc w:val="center"/>
                    <w:rPr>
                      <w:kern w:val="0"/>
                      <w:szCs w:val="21"/>
                    </w:rPr>
                  </w:pPr>
                  <w:r>
                    <w:rPr>
                      <w:kern w:val="0"/>
                      <w:szCs w:val="21"/>
                    </w:rPr>
                    <w:t>3.05</w:t>
                  </w:r>
                </w:p>
              </w:tc>
              <w:tc>
                <w:tcPr>
                  <w:tcW w:w="645" w:type="pct"/>
                  <w:noWrap/>
                  <w:vAlign w:val="center"/>
                </w:tcPr>
                <w:p w14:paraId="04F66711">
                  <w:pPr>
                    <w:widowControl/>
                    <w:jc w:val="center"/>
                    <w:rPr>
                      <w:kern w:val="0"/>
                      <w:szCs w:val="21"/>
                    </w:rPr>
                  </w:pPr>
                  <w:r>
                    <w:rPr>
                      <w:kern w:val="0"/>
                      <w:szCs w:val="21"/>
                    </w:rPr>
                    <w:t>3.05</w:t>
                  </w:r>
                </w:p>
              </w:tc>
              <w:tc>
                <w:tcPr>
                  <w:tcW w:w="436" w:type="pct"/>
                  <w:vAlign w:val="center"/>
                </w:tcPr>
                <w:p w14:paraId="7BDCAB79">
                  <w:pPr>
                    <w:widowControl/>
                    <w:jc w:val="center"/>
                    <w:rPr>
                      <w:kern w:val="0"/>
                      <w:szCs w:val="21"/>
                    </w:rPr>
                  </w:pPr>
                  <w:r>
                    <w:rPr>
                      <w:kern w:val="0"/>
                      <w:szCs w:val="21"/>
                    </w:rPr>
                    <w:t>0.02</w:t>
                  </w:r>
                </w:p>
              </w:tc>
              <w:tc>
                <w:tcPr>
                  <w:tcW w:w="436" w:type="pct"/>
                  <w:vAlign w:val="center"/>
                </w:tcPr>
                <w:p w14:paraId="5BAB38EA">
                  <w:pPr>
                    <w:widowControl/>
                    <w:jc w:val="center"/>
                    <w:rPr>
                      <w:kern w:val="0"/>
                      <w:szCs w:val="21"/>
                    </w:rPr>
                  </w:pPr>
                  <w:r>
                    <w:rPr>
                      <w:kern w:val="0"/>
                      <w:szCs w:val="21"/>
                    </w:rPr>
                    <w:t>0.02</w:t>
                  </w:r>
                </w:p>
              </w:tc>
              <w:tc>
                <w:tcPr>
                  <w:tcW w:w="645" w:type="pct"/>
                  <w:noWrap/>
                  <w:vAlign w:val="center"/>
                </w:tcPr>
                <w:p w14:paraId="52B361DE">
                  <w:pPr>
                    <w:widowControl/>
                    <w:jc w:val="center"/>
                    <w:rPr>
                      <w:kern w:val="0"/>
                      <w:szCs w:val="21"/>
                    </w:rPr>
                  </w:pPr>
                  <w:r>
                    <w:rPr>
                      <w:kern w:val="0"/>
                      <w:szCs w:val="21"/>
                    </w:rPr>
                    <w:t>3.05</w:t>
                  </w:r>
                </w:p>
              </w:tc>
              <w:tc>
                <w:tcPr>
                  <w:tcW w:w="586" w:type="pct"/>
                  <w:vAlign w:val="center"/>
                </w:tcPr>
                <w:p w14:paraId="46BE5AF6">
                  <w:pPr>
                    <w:widowControl/>
                    <w:jc w:val="center"/>
                    <w:rPr>
                      <w:kern w:val="0"/>
                      <w:szCs w:val="21"/>
                    </w:rPr>
                  </w:pPr>
                  <w:r>
                    <w:rPr>
                      <w:kern w:val="0"/>
                      <w:szCs w:val="21"/>
                    </w:rPr>
                    <w:t>3.05</w:t>
                  </w:r>
                </w:p>
              </w:tc>
              <w:tc>
                <w:tcPr>
                  <w:tcW w:w="436" w:type="pct"/>
                  <w:vAlign w:val="center"/>
                </w:tcPr>
                <w:p w14:paraId="0FB47CFE">
                  <w:pPr>
                    <w:widowControl/>
                    <w:jc w:val="center"/>
                    <w:rPr>
                      <w:kern w:val="0"/>
                      <w:szCs w:val="21"/>
                    </w:rPr>
                  </w:pPr>
                  <w:r>
                    <w:rPr>
                      <w:kern w:val="0"/>
                      <w:szCs w:val="21"/>
                    </w:rPr>
                    <w:t>0</w:t>
                  </w:r>
                </w:p>
              </w:tc>
            </w:tr>
            <w:tr w14:paraId="6B2182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36" w:type="pct"/>
                  <w:vMerge w:val="continue"/>
                  <w:vAlign w:val="center"/>
                </w:tcPr>
                <w:p w14:paraId="1C4F7BA0">
                  <w:pPr>
                    <w:widowControl/>
                    <w:jc w:val="left"/>
                    <w:rPr>
                      <w:kern w:val="0"/>
                      <w:szCs w:val="21"/>
                    </w:rPr>
                  </w:pPr>
                </w:p>
              </w:tc>
              <w:tc>
                <w:tcPr>
                  <w:tcW w:w="791" w:type="pct"/>
                  <w:vAlign w:val="center"/>
                </w:tcPr>
                <w:p w14:paraId="3046672B">
                  <w:pPr>
                    <w:widowControl/>
                    <w:jc w:val="center"/>
                    <w:rPr>
                      <w:kern w:val="0"/>
                      <w:szCs w:val="21"/>
                    </w:rPr>
                  </w:pPr>
                  <w:r>
                    <w:rPr>
                      <w:kern w:val="0"/>
                      <w:szCs w:val="21"/>
                    </w:rPr>
                    <w:t>动植物油</w:t>
                  </w:r>
                </w:p>
              </w:tc>
              <w:tc>
                <w:tcPr>
                  <w:tcW w:w="586" w:type="pct"/>
                  <w:vAlign w:val="center"/>
                </w:tcPr>
                <w:p w14:paraId="17F09F63">
                  <w:pPr>
                    <w:widowControl/>
                    <w:jc w:val="center"/>
                    <w:rPr>
                      <w:kern w:val="0"/>
                      <w:szCs w:val="21"/>
                    </w:rPr>
                  </w:pPr>
                  <w:r>
                    <w:rPr>
                      <w:kern w:val="0"/>
                      <w:szCs w:val="21"/>
                    </w:rPr>
                    <w:t>3.05</w:t>
                  </w:r>
                </w:p>
              </w:tc>
              <w:tc>
                <w:tcPr>
                  <w:tcW w:w="645" w:type="pct"/>
                  <w:noWrap/>
                  <w:vAlign w:val="center"/>
                </w:tcPr>
                <w:p w14:paraId="051F4660">
                  <w:pPr>
                    <w:widowControl/>
                    <w:jc w:val="center"/>
                    <w:rPr>
                      <w:kern w:val="0"/>
                      <w:szCs w:val="21"/>
                    </w:rPr>
                  </w:pPr>
                  <w:r>
                    <w:rPr>
                      <w:kern w:val="0"/>
                      <w:szCs w:val="21"/>
                    </w:rPr>
                    <w:t>3.05</w:t>
                  </w:r>
                </w:p>
              </w:tc>
              <w:tc>
                <w:tcPr>
                  <w:tcW w:w="436" w:type="pct"/>
                  <w:vAlign w:val="center"/>
                </w:tcPr>
                <w:p w14:paraId="1BDB8733">
                  <w:pPr>
                    <w:widowControl/>
                    <w:jc w:val="center"/>
                    <w:rPr>
                      <w:kern w:val="0"/>
                      <w:szCs w:val="21"/>
                    </w:rPr>
                  </w:pPr>
                  <w:r>
                    <w:rPr>
                      <w:kern w:val="0"/>
                      <w:szCs w:val="21"/>
                    </w:rPr>
                    <w:t>0.02</w:t>
                  </w:r>
                </w:p>
              </w:tc>
              <w:tc>
                <w:tcPr>
                  <w:tcW w:w="436" w:type="pct"/>
                  <w:vAlign w:val="center"/>
                </w:tcPr>
                <w:p w14:paraId="4FDE7D74">
                  <w:pPr>
                    <w:widowControl/>
                    <w:jc w:val="center"/>
                    <w:rPr>
                      <w:kern w:val="0"/>
                      <w:szCs w:val="21"/>
                    </w:rPr>
                  </w:pPr>
                  <w:r>
                    <w:rPr>
                      <w:kern w:val="0"/>
                      <w:szCs w:val="21"/>
                    </w:rPr>
                    <w:t>0.02</w:t>
                  </w:r>
                </w:p>
              </w:tc>
              <w:tc>
                <w:tcPr>
                  <w:tcW w:w="645" w:type="pct"/>
                  <w:noWrap/>
                  <w:vAlign w:val="center"/>
                </w:tcPr>
                <w:p w14:paraId="257FA163">
                  <w:pPr>
                    <w:widowControl/>
                    <w:jc w:val="center"/>
                    <w:rPr>
                      <w:kern w:val="0"/>
                      <w:szCs w:val="21"/>
                    </w:rPr>
                  </w:pPr>
                  <w:r>
                    <w:rPr>
                      <w:kern w:val="0"/>
                      <w:szCs w:val="21"/>
                    </w:rPr>
                    <w:t>3.05</w:t>
                  </w:r>
                </w:p>
              </w:tc>
              <w:tc>
                <w:tcPr>
                  <w:tcW w:w="586" w:type="pct"/>
                  <w:vAlign w:val="center"/>
                </w:tcPr>
                <w:p w14:paraId="2C5F0911">
                  <w:pPr>
                    <w:widowControl/>
                    <w:jc w:val="center"/>
                    <w:rPr>
                      <w:kern w:val="0"/>
                      <w:szCs w:val="21"/>
                    </w:rPr>
                  </w:pPr>
                  <w:r>
                    <w:rPr>
                      <w:kern w:val="0"/>
                      <w:szCs w:val="21"/>
                    </w:rPr>
                    <w:t>3.05</w:t>
                  </w:r>
                </w:p>
              </w:tc>
              <w:tc>
                <w:tcPr>
                  <w:tcW w:w="436" w:type="pct"/>
                  <w:vAlign w:val="center"/>
                </w:tcPr>
                <w:p w14:paraId="54EB8A32">
                  <w:pPr>
                    <w:widowControl/>
                    <w:jc w:val="center"/>
                    <w:rPr>
                      <w:kern w:val="0"/>
                      <w:szCs w:val="21"/>
                    </w:rPr>
                  </w:pPr>
                  <w:r>
                    <w:rPr>
                      <w:kern w:val="0"/>
                      <w:szCs w:val="21"/>
                    </w:rPr>
                    <w:t>0</w:t>
                  </w:r>
                </w:p>
              </w:tc>
            </w:tr>
            <w:tr w14:paraId="09A988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36" w:type="pct"/>
                  <w:vMerge w:val="continue"/>
                  <w:vAlign w:val="center"/>
                </w:tcPr>
                <w:p w14:paraId="7FA29AE7">
                  <w:pPr>
                    <w:widowControl/>
                    <w:jc w:val="left"/>
                    <w:rPr>
                      <w:kern w:val="0"/>
                      <w:szCs w:val="21"/>
                    </w:rPr>
                  </w:pPr>
                </w:p>
              </w:tc>
              <w:tc>
                <w:tcPr>
                  <w:tcW w:w="791" w:type="pct"/>
                  <w:vAlign w:val="center"/>
                </w:tcPr>
                <w:p w14:paraId="1C1D79F2">
                  <w:pPr>
                    <w:widowControl/>
                    <w:jc w:val="center"/>
                    <w:rPr>
                      <w:kern w:val="0"/>
                      <w:szCs w:val="21"/>
                    </w:rPr>
                  </w:pPr>
                  <w:r>
                    <w:rPr>
                      <w:kern w:val="0"/>
                      <w:szCs w:val="21"/>
                    </w:rPr>
                    <w:t>总锑</w:t>
                  </w:r>
                </w:p>
              </w:tc>
              <w:tc>
                <w:tcPr>
                  <w:tcW w:w="586" w:type="pct"/>
                  <w:vAlign w:val="center"/>
                </w:tcPr>
                <w:p w14:paraId="31DBED4A">
                  <w:pPr>
                    <w:widowControl/>
                    <w:jc w:val="center"/>
                    <w:rPr>
                      <w:kern w:val="0"/>
                      <w:szCs w:val="21"/>
                    </w:rPr>
                  </w:pPr>
                  <w:r>
                    <w:rPr>
                      <w:kern w:val="0"/>
                      <w:szCs w:val="21"/>
                    </w:rPr>
                    <w:t>0.06</w:t>
                  </w:r>
                </w:p>
              </w:tc>
              <w:tc>
                <w:tcPr>
                  <w:tcW w:w="645" w:type="pct"/>
                  <w:noWrap/>
                  <w:vAlign w:val="center"/>
                </w:tcPr>
                <w:p w14:paraId="5D2B0872">
                  <w:pPr>
                    <w:widowControl/>
                    <w:jc w:val="center"/>
                    <w:rPr>
                      <w:kern w:val="0"/>
                      <w:szCs w:val="21"/>
                    </w:rPr>
                  </w:pPr>
                  <w:r>
                    <w:rPr>
                      <w:kern w:val="0"/>
                      <w:szCs w:val="21"/>
                    </w:rPr>
                    <w:t>0.01</w:t>
                  </w:r>
                </w:p>
              </w:tc>
              <w:tc>
                <w:tcPr>
                  <w:tcW w:w="436" w:type="pct"/>
                  <w:vAlign w:val="center"/>
                </w:tcPr>
                <w:p w14:paraId="56EFF214">
                  <w:pPr>
                    <w:widowControl/>
                    <w:jc w:val="center"/>
                    <w:rPr>
                      <w:kern w:val="0"/>
                      <w:szCs w:val="21"/>
                    </w:rPr>
                  </w:pPr>
                  <w:r>
                    <w:rPr>
                      <w:kern w:val="0"/>
                      <w:szCs w:val="21"/>
                    </w:rPr>
                    <w:t>0.001</w:t>
                  </w:r>
                </w:p>
              </w:tc>
              <w:tc>
                <w:tcPr>
                  <w:tcW w:w="436" w:type="pct"/>
                  <w:vAlign w:val="center"/>
                </w:tcPr>
                <w:p w14:paraId="4E26BBFC">
                  <w:pPr>
                    <w:widowControl/>
                    <w:jc w:val="center"/>
                    <w:rPr>
                      <w:kern w:val="0"/>
                      <w:szCs w:val="21"/>
                    </w:rPr>
                  </w:pPr>
                  <w:r>
                    <w:rPr>
                      <w:kern w:val="0"/>
                      <w:szCs w:val="21"/>
                    </w:rPr>
                    <w:t>0.001</w:t>
                  </w:r>
                </w:p>
              </w:tc>
              <w:tc>
                <w:tcPr>
                  <w:tcW w:w="645" w:type="pct"/>
                  <w:noWrap/>
                  <w:vAlign w:val="center"/>
                </w:tcPr>
                <w:p w14:paraId="3F06A0C4">
                  <w:pPr>
                    <w:widowControl/>
                    <w:jc w:val="center"/>
                    <w:rPr>
                      <w:kern w:val="0"/>
                      <w:szCs w:val="21"/>
                    </w:rPr>
                  </w:pPr>
                  <w:r>
                    <w:rPr>
                      <w:kern w:val="0"/>
                      <w:szCs w:val="21"/>
                    </w:rPr>
                    <w:t>0.01</w:t>
                  </w:r>
                </w:p>
              </w:tc>
              <w:tc>
                <w:tcPr>
                  <w:tcW w:w="586" w:type="pct"/>
                  <w:vAlign w:val="center"/>
                </w:tcPr>
                <w:p w14:paraId="7C526075">
                  <w:pPr>
                    <w:widowControl/>
                    <w:jc w:val="center"/>
                    <w:rPr>
                      <w:kern w:val="0"/>
                      <w:szCs w:val="21"/>
                    </w:rPr>
                  </w:pPr>
                  <w:r>
                    <w:rPr>
                      <w:kern w:val="0"/>
                      <w:szCs w:val="21"/>
                    </w:rPr>
                    <w:t>0.06</w:t>
                  </w:r>
                </w:p>
              </w:tc>
              <w:tc>
                <w:tcPr>
                  <w:tcW w:w="436" w:type="pct"/>
                  <w:vAlign w:val="center"/>
                </w:tcPr>
                <w:p w14:paraId="7F4B5FDC">
                  <w:pPr>
                    <w:widowControl/>
                    <w:jc w:val="center"/>
                    <w:rPr>
                      <w:kern w:val="0"/>
                      <w:szCs w:val="21"/>
                    </w:rPr>
                  </w:pPr>
                  <w:r>
                    <w:rPr>
                      <w:kern w:val="0"/>
                      <w:szCs w:val="21"/>
                    </w:rPr>
                    <w:t>0</w:t>
                  </w:r>
                </w:p>
              </w:tc>
            </w:tr>
            <w:tr w14:paraId="2D358A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36" w:type="pct"/>
                  <w:vMerge w:val="restart"/>
                  <w:vAlign w:val="center"/>
                </w:tcPr>
                <w:p w14:paraId="47F074D6">
                  <w:pPr>
                    <w:widowControl/>
                    <w:jc w:val="center"/>
                    <w:rPr>
                      <w:kern w:val="0"/>
                      <w:szCs w:val="21"/>
                    </w:rPr>
                  </w:pPr>
                  <w:r>
                    <w:rPr>
                      <w:kern w:val="0"/>
                      <w:szCs w:val="21"/>
                    </w:rPr>
                    <w:t>废气</w:t>
                  </w:r>
                </w:p>
              </w:tc>
              <w:tc>
                <w:tcPr>
                  <w:tcW w:w="791" w:type="pct"/>
                  <w:vAlign w:val="center"/>
                </w:tcPr>
                <w:p w14:paraId="6EBF00F8">
                  <w:pPr>
                    <w:widowControl/>
                    <w:jc w:val="center"/>
                    <w:rPr>
                      <w:kern w:val="0"/>
                      <w:szCs w:val="21"/>
                    </w:rPr>
                  </w:pPr>
                  <w:r>
                    <w:rPr>
                      <w:kern w:val="0"/>
                      <w:szCs w:val="21"/>
                    </w:rPr>
                    <w:t>SO</w:t>
                  </w:r>
                  <w:r>
                    <w:rPr>
                      <w:kern w:val="0"/>
                      <w:szCs w:val="21"/>
                      <w:vertAlign w:val="subscript"/>
                    </w:rPr>
                    <w:t>2</w:t>
                  </w:r>
                </w:p>
              </w:tc>
              <w:tc>
                <w:tcPr>
                  <w:tcW w:w="586" w:type="pct"/>
                  <w:vAlign w:val="center"/>
                </w:tcPr>
                <w:p w14:paraId="30951205">
                  <w:pPr>
                    <w:widowControl/>
                    <w:jc w:val="center"/>
                    <w:rPr>
                      <w:kern w:val="0"/>
                      <w:szCs w:val="21"/>
                    </w:rPr>
                  </w:pPr>
                  <w:r>
                    <w:rPr>
                      <w:kern w:val="0"/>
                      <w:szCs w:val="21"/>
                    </w:rPr>
                    <w:t>72.66</w:t>
                  </w:r>
                </w:p>
              </w:tc>
              <w:tc>
                <w:tcPr>
                  <w:tcW w:w="645" w:type="pct"/>
                  <w:vAlign w:val="center"/>
                </w:tcPr>
                <w:p w14:paraId="61E12142">
                  <w:pPr>
                    <w:widowControl/>
                    <w:jc w:val="center"/>
                    <w:rPr>
                      <w:kern w:val="0"/>
                      <w:szCs w:val="21"/>
                    </w:rPr>
                  </w:pPr>
                  <w:r>
                    <w:rPr>
                      <w:kern w:val="0"/>
                      <w:szCs w:val="21"/>
                    </w:rPr>
                    <w:t>72.66</w:t>
                  </w:r>
                </w:p>
              </w:tc>
              <w:tc>
                <w:tcPr>
                  <w:tcW w:w="436" w:type="pct"/>
                  <w:vAlign w:val="center"/>
                </w:tcPr>
                <w:p w14:paraId="14C5B9D8">
                  <w:pPr>
                    <w:widowControl/>
                    <w:jc w:val="center"/>
                    <w:rPr>
                      <w:kern w:val="0"/>
                      <w:szCs w:val="21"/>
                    </w:rPr>
                  </w:pPr>
                  <w:r>
                    <w:rPr>
                      <w:kern w:val="0"/>
                      <w:szCs w:val="21"/>
                    </w:rPr>
                    <w:t>0</w:t>
                  </w:r>
                </w:p>
              </w:tc>
              <w:tc>
                <w:tcPr>
                  <w:tcW w:w="436" w:type="pct"/>
                  <w:vAlign w:val="center"/>
                </w:tcPr>
                <w:p w14:paraId="00775748">
                  <w:pPr>
                    <w:widowControl/>
                    <w:jc w:val="center"/>
                    <w:rPr>
                      <w:kern w:val="0"/>
                      <w:szCs w:val="21"/>
                    </w:rPr>
                  </w:pPr>
                  <w:r>
                    <w:rPr>
                      <w:kern w:val="0"/>
                      <w:szCs w:val="21"/>
                    </w:rPr>
                    <w:t>0</w:t>
                  </w:r>
                </w:p>
              </w:tc>
              <w:tc>
                <w:tcPr>
                  <w:tcW w:w="645" w:type="pct"/>
                  <w:vAlign w:val="center"/>
                </w:tcPr>
                <w:p w14:paraId="7D5C2764">
                  <w:pPr>
                    <w:widowControl/>
                    <w:jc w:val="center"/>
                    <w:rPr>
                      <w:kern w:val="0"/>
                      <w:szCs w:val="21"/>
                    </w:rPr>
                  </w:pPr>
                  <w:r>
                    <w:rPr>
                      <w:kern w:val="0"/>
                      <w:szCs w:val="21"/>
                    </w:rPr>
                    <w:t>72.66</w:t>
                  </w:r>
                </w:p>
              </w:tc>
              <w:tc>
                <w:tcPr>
                  <w:tcW w:w="586" w:type="pct"/>
                  <w:vAlign w:val="center"/>
                </w:tcPr>
                <w:p w14:paraId="5360170C">
                  <w:pPr>
                    <w:widowControl/>
                    <w:jc w:val="center"/>
                    <w:rPr>
                      <w:kern w:val="0"/>
                      <w:szCs w:val="21"/>
                    </w:rPr>
                  </w:pPr>
                  <w:r>
                    <w:rPr>
                      <w:kern w:val="0"/>
                      <w:szCs w:val="21"/>
                    </w:rPr>
                    <w:t>72.66</w:t>
                  </w:r>
                </w:p>
              </w:tc>
              <w:tc>
                <w:tcPr>
                  <w:tcW w:w="436" w:type="pct"/>
                  <w:vAlign w:val="center"/>
                </w:tcPr>
                <w:p w14:paraId="28610625">
                  <w:pPr>
                    <w:widowControl/>
                    <w:jc w:val="center"/>
                    <w:rPr>
                      <w:kern w:val="0"/>
                      <w:szCs w:val="21"/>
                    </w:rPr>
                  </w:pPr>
                  <w:r>
                    <w:rPr>
                      <w:kern w:val="0"/>
                      <w:szCs w:val="21"/>
                    </w:rPr>
                    <w:t>0</w:t>
                  </w:r>
                </w:p>
              </w:tc>
            </w:tr>
            <w:tr w14:paraId="273869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36" w:type="pct"/>
                  <w:vMerge w:val="continue"/>
                  <w:vAlign w:val="center"/>
                </w:tcPr>
                <w:p w14:paraId="7A1571B3">
                  <w:pPr>
                    <w:widowControl/>
                    <w:jc w:val="left"/>
                    <w:rPr>
                      <w:kern w:val="0"/>
                      <w:szCs w:val="21"/>
                    </w:rPr>
                  </w:pPr>
                </w:p>
              </w:tc>
              <w:tc>
                <w:tcPr>
                  <w:tcW w:w="791" w:type="pct"/>
                  <w:vAlign w:val="center"/>
                </w:tcPr>
                <w:p w14:paraId="23B7C6FB">
                  <w:pPr>
                    <w:widowControl/>
                    <w:jc w:val="center"/>
                    <w:rPr>
                      <w:kern w:val="0"/>
                      <w:szCs w:val="21"/>
                    </w:rPr>
                  </w:pPr>
                  <w:r>
                    <w:rPr>
                      <w:kern w:val="0"/>
                      <w:szCs w:val="21"/>
                    </w:rPr>
                    <w:t>NOx</w:t>
                  </w:r>
                </w:p>
              </w:tc>
              <w:tc>
                <w:tcPr>
                  <w:tcW w:w="586" w:type="pct"/>
                  <w:vAlign w:val="center"/>
                </w:tcPr>
                <w:p w14:paraId="5C5954D6">
                  <w:pPr>
                    <w:widowControl/>
                    <w:jc w:val="center"/>
                    <w:rPr>
                      <w:kern w:val="0"/>
                      <w:szCs w:val="21"/>
                    </w:rPr>
                  </w:pPr>
                  <w:r>
                    <w:rPr>
                      <w:kern w:val="0"/>
                      <w:szCs w:val="21"/>
                    </w:rPr>
                    <w:t>90.74</w:t>
                  </w:r>
                </w:p>
              </w:tc>
              <w:tc>
                <w:tcPr>
                  <w:tcW w:w="645" w:type="pct"/>
                  <w:vAlign w:val="center"/>
                </w:tcPr>
                <w:p w14:paraId="6A1884C9">
                  <w:pPr>
                    <w:widowControl/>
                    <w:jc w:val="center"/>
                    <w:rPr>
                      <w:kern w:val="0"/>
                      <w:szCs w:val="21"/>
                    </w:rPr>
                  </w:pPr>
                  <w:r>
                    <w:rPr>
                      <w:kern w:val="0"/>
                      <w:szCs w:val="21"/>
                    </w:rPr>
                    <w:t>90.74</w:t>
                  </w:r>
                </w:p>
              </w:tc>
              <w:tc>
                <w:tcPr>
                  <w:tcW w:w="436" w:type="pct"/>
                  <w:vAlign w:val="center"/>
                </w:tcPr>
                <w:p w14:paraId="49AAF434">
                  <w:pPr>
                    <w:widowControl/>
                    <w:jc w:val="center"/>
                    <w:rPr>
                      <w:kern w:val="0"/>
                      <w:szCs w:val="21"/>
                    </w:rPr>
                  </w:pPr>
                  <w:r>
                    <w:rPr>
                      <w:kern w:val="0"/>
                      <w:szCs w:val="21"/>
                    </w:rPr>
                    <w:t>0</w:t>
                  </w:r>
                </w:p>
              </w:tc>
              <w:tc>
                <w:tcPr>
                  <w:tcW w:w="436" w:type="pct"/>
                  <w:vAlign w:val="center"/>
                </w:tcPr>
                <w:p w14:paraId="3E6738EC">
                  <w:pPr>
                    <w:widowControl/>
                    <w:jc w:val="center"/>
                    <w:rPr>
                      <w:kern w:val="0"/>
                      <w:szCs w:val="21"/>
                    </w:rPr>
                  </w:pPr>
                  <w:r>
                    <w:rPr>
                      <w:kern w:val="0"/>
                      <w:szCs w:val="21"/>
                    </w:rPr>
                    <w:t>0</w:t>
                  </w:r>
                </w:p>
              </w:tc>
              <w:tc>
                <w:tcPr>
                  <w:tcW w:w="645" w:type="pct"/>
                  <w:vAlign w:val="center"/>
                </w:tcPr>
                <w:p w14:paraId="18FF7AE5">
                  <w:pPr>
                    <w:widowControl/>
                    <w:jc w:val="center"/>
                    <w:rPr>
                      <w:kern w:val="0"/>
                      <w:szCs w:val="21"/>
                    </w:rPr>
                  </w:pPr>
                  <w:r>
                    <w:rPr>
                      <w:kern w:val="0"/>
                      <w:szCs w:val="21"/>
                    </w:rPr>
                    <w:t>90.74</w:t>
                  </w:r>
                </w:p>
              </w:tc>
              <w:tc>
                <w:tcPr>
                  <w:tcW w:w="586" w:type="pct"/>
                  <w:vAlign w:val="center"/>
                </w:tcPr>
                <w:p w14:paraId="1C1A6FC5">
                  <w:pPr>
                    <w:widowControl/>
                    <w:jc w:val="center"/>
                    <w:rPr>
                      <w:kern w:val="0"/>
                      <w:szCs w:val="21"/>
                    </w:rPr>
                  </w:pPr>
                  <w:r>
                    <w:rPr>
                      <w:kern w:val="0"/>
                      <w:szCs w:val="21"/>
                    </w:rPr>
                    <w:t>90.74</w:t>
                  </w:r>
                </w:p>
              </w:tc>
              <w:tc>
                <w:tcPr>
                  <w:tcW w:w="436" w:type="pct"/>
                  <w:vAlign w:val="center"/>
                </w:tcPr>
                <w:p w14:paraId="3D3EA478">
                  <w:pPr>
                    <w:widowControl/>
                    <w:jc w:val="center"/>
                    <w:rPr>
                      <w:kern w:val="0"/>
                      <w:szCs w:val="21"/>
                    </w:rPr>
                  </w:pPr>
                  <w:r>
                    <w:rPr>
                      <w:kern w:val="0"/>
                      <w:szCs w:val="21"/>
                    </w:rPr>
                    <w:t>0</w:t>
                  </w:r>
                </w:p>
              </w:tc>
            </w:tr>
            <w:tr w14:paraId="18F63F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36" w:type="pct"/>
                  <w:vMerge w:val="continue"/>
                  <w:vAlign w:val="center"/>
                </w:tcPr>
                <w:p w14:paraId="3A3478DE">
                  <w:pPr>
                    <w:widowControl/>
                    <w:jc w:val="left"/>
                    <w:rPr>
                      <w:kern w:val="0"/>
                      <w:szCs w:val="21"/>
                    </w:rPr>
                  </w:pPr>
                </w:p>
              </w:tc>
              <w:tc>
                <w:tcPr>
                  <w:tcW w:w="791" w:type="pct"/>
                  <w:vAlign w:val="center"/>
                </w:tcPr>
                <w:p w14:paraId="0A0DB1EC">
                  <w:pPr>
                    <w:widowControl/>
                    <w:jc w:val="center"/>
                    <w:rPr>
                      <w:kern w:val="0"/>
                      <w:szCs w:val="21"/>
                    </w:rPr>
                  </w:pPr>
                  <w:r>
                    <w:rPr>
                      <w:kern w:val="0"/>
                      <w:szCs w:val="21"/>
                    </w:rPr>
                    <w:t>颗粒物</w:t>
                  </w:r>
                </w:p>
              </w:tc>
              <w:tc>
                <w:tcPr>
                  <w:tcW w:w="586" w:type="pct"/>
                  <w:vAlign w:val="center"/>
                </w:tcPr>
                <w:p w14:paraId="4A6F52F8">
                  <w:pPr>
                    <w:widowControl/>
                    <w:jc w:val="center"/>
                    <w:rPr>
                      <w:kern w:val="0"/>
                      <w:szCs w:val="21"/>
                    </w:rPr>
                  </w:pPr>
                  <w:r>
                    <w:rPr>
                      <w:kern w:val="0"/>
                      <w:szCs w:val="21"/>
                    </w:rPr>
                    <w:t>17.46</w:t>
                  </w:r>
                </w:p>
              </w:tc>
              <w:tc>
                <w:tcPr>
                  <w:tcW w:w="645" w:type="pct"/>
                  <w:vAlign w:val="center"/>
                </w:tcPr>
                <w:p w14:paraId="2BCEE2B1">
                  <w:pPr>
                    <w:widowControl/>
                    <w:jc w:val="center"/>
                    <w:rPr>
                      <w:kern w:val="0"/>
                      <w:szCs w:val="21"/>
                    </w:rPr>
                  </w:pPr>
                  <w:r>
                    <w:rPr>
                      <w:kern w:val="0"/>
                      <w:szCs w:val="21"/>
                    </w:rPr>
                    <w:t>13.63</w:t>
                  </w:r>
                </w:p>
              </w:tc>
              <w:tc>
                <w:tcPr>
                  <w:tcW w:w="436" w:type="pct"/>
                  <w:vAlign w:val="center"/>
                </w:tcPr>
                <w:p w14:paraId="3ADB57AC">
                  <w:pPr>
                    <w:widowControl/>
                    <w:jc w:val="center"/>
                    <w:rPr>
                      <w:kern w:val="0"/>
                      <w:szCs w:val="21"/>
                    </w:rPr>
                  </w:pPr>
                  <w:r>
                    <w:rPr>
                      <w:kern w:val="0"/>
                      <w:szCs w:val="21"/>
                    </w:rPr>
                    <w:t>1.147</w:t>
                  </w:r>
                </w:p>
              </w:tc>
              <w:tc>
                <w:tcPr>
                  <w:tcW w:w="436" w:type="pct"/>
                  <w:vAlign w:val="center"/>
                </w:tcPr>
                <w:p w14:paraId="0BBF443E">
                  <w:pPr>
                    <w:widowControl/>
                    <w:jc w:val="center"/>
                    <w:rPr>
                      <w:kern w:val="0"/>
                      <w:szCs w:val="21"/>
                    </w:rPr>
                  </w:pPr>
                  <w:r>
                    <w:rPr>
                      <w:kern w:val="0"/>
                      <w:szCs w:val="21"/>
                    </w:rPr>
                    <w:t>0</w:t>
                  </w:r>
                </w:p>
              </w:tc>
              <w:tc>
                <w:tcPr>
                  <w:tcW w:w="645" w:type="pct"/>
                  <w:vAlign w:val="center"/>
                </w:tcPr>
                <w:p w14:paraId="43A9C16F">
                  <w:pPr>
                    <w:widowControl/>
                    <w:jc w:val="center"/>
                    <w:rPr>
                      <w:kern w:val="0"/>
                      <w:szCs w:val="21"/>
                    </w:rPr>
                  </w:pPr>
                  <w:r>
                    <w:rPr>
                      <w:kern w:val="0"/>
                      <w:szCs w:val="21"/>
                    </w:rPr>
                    <w:t>14.777</w:t>
                  </w:r>
                </w:p>
              </w:tc>
              <w:tc>
                <w:tcPr>
                  <w:tcW w:w="586" w:type="pct"/>
                  <w:vAlign w:val="center"/>
                </w:tcPr>
                <w:p w14:paraId="626EA107">
                  <w:pPr>
                    <w:widowControl/>
                    <w:jc w:val="center"/>
                    <w:rPr>
                      <w:kern w:val="0"/>
                      <w:szCs w:val="21"/>
                    </w:rPr>
                  </w:pPr>
                  <w:r>
                    <w:rPr>
                      <w:kern w:val="0"/>
                      <w:szCs w:val="21"/>
                    </w:rPr>
                    <w:t>17.46</w:t>
                  </w:r>
                  <w:r>
                    <w:rPr>
                      <w:rFonts w:hint="eastAsia"/>
                      <w:kern w:val="0"/>
                      <w:szCs w:val="21"/>
                    </w:rPr>
                    <w:t>***</w:t>
                  </w:r>
                </w:p>
              </w:tc>
              <w:tc>
                <w:tcPr>
                  <w:tcW w:w="436" w:type="pct"/>
                  <w:vAlign w:val="center"/>
                </w:tcPr>
                <w:p w14:paraId="4924845A">
                  <w:pPr>
                    <w:widowControl/>
                    <w:jc w:val="center"/>
                    <w:rPr>
                      <w:kern w:val="0"/>
                      <w:szCs w:val="21"/>
                    </w:rPr>
                  </w:pPr>
                  <w:r>
                    <w:rPr>
                      <w:rFonts w:hint="eastAsia"/>
                      <w:kern w:val="0"/>
                      <w:szCs w:val="21"/>
                    </w:rPr>
                    <w:t>0</w:t>
                  </w:r>
                </w:p>
              </w:tc>
            </w:tr>
            <w:tr w14:paraId="302663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36" w:type="pct"/>
                  <w:vMerge w:val="continue"/>
                  <w:vAlign w:val="center"/>
                </w:tcPr>
                <w:p w14:paraId="39E9EEB6">
                  <w:pPr>
                    <w:widowControl/>
                    <w:jc w:val="left"/>
                    <w:rPr>
                      <w:kern w:val="0"/>
                      <w:szCs w:val="21"/>
                    </w:rPr>
                  </w:pPr>
                </w:p>
              </w:tc>
              <w:tc>
                <w:tcPr>
                  <w:tcW w:w="791" w:type="pct"/>
                  <w:vAlign w:val="center"/>
                </w:tcPr>
                <w:p w14:paraId="5E7795BB">
                  <w:pPr>
                    <w:widowControl/>
                    <w:jc w:val="center"/>
                    <w:rPr>
                      <w:kern w:val="0"/>
                      <w:szCs w:val="21"/>
                    </w:rPr>
                  </w:pPr>
                  <w:r>
                    <w:rPr>
                      <w:kern w:val="0"/>
                      <w:szCs w:val="21"/>
                    </w:rPr>
                    <w:t>汞及其化合物</w:t>
                  </w:r>
                </w:p>
              </w:tc>
              <w:tc>
                <w:tcPr>
                  <w:tcW w:w="586" w:type="pct"/>
                  <w:vAlign w:val="center"/>
                </w:tcPr>
                <w:p w14:paraId="2CB80A11">
                  <w:pPr>
                    <w:widowControl/>
                    <w:jc w:val="center"/>
                    <w:rPr>
                      <w:kern w:val="0"/>
                      <w:szCs w:val="21"/>
                    </w:rPr>
                  </w:pPr>
                  <w:r>
                    <w:rPr>
                      <w:kern w:val="0"/>
                      <w:szCs w:val="21"/>
                    </w:rPr>
                    <w:t>0.016</w:t>
                  </w:r>
                </w:p>
              </w:tc>
              <w:tc>
                <w:tcPr>
                  <w:tcW w:w="645" w:type="pct"/>
                  <w:vAlign w:val="center"/>
                </w:tcPr>
                <w:p w14:paraId="2B66ED91">
                  <w:pPr>
                    <w:widowControl/>
                    <w:jc w:val="center"/>
                    <w:rPr>
                      <w:kern w:val="0"/>
                      <w:szCs w:val="21"/>
                    </w:rPr>
                  </w:pPr>
                  <w:r>
                    <w:rPr>
                      <w:kern w:val="0"/>
                      <w:szCs w:val="21"/>
                    </w:rPr>
                    <w:t>0.016</w:t>
                  </w:r>
                </w:p>
              </w:tc>
              <w:tc>
                <w:tcPr>
                  <w:tcW w:w="436" w:type="pct"/>
                  <w:vAlign w:val="center"/>
                </w:tcPr>
                <w:p w14:paraId="26B4A0C7">
                  <w:pPr>
                    <w:widowControl/>
                    <w:jc w:val="center"/>
                    <w:rPr>
                      <w:kern w:val="0"/>
                      <w:szCs w:val="21"/>
                    </w:rPr>
                  </w:pPr>
                  <w:r>
                    <w:rPr>
                      <w:kern w:val="0"/>
                      <w:szCs w:val="21"/>
                    </w:rPr>
                    <w:t>0</w:t>
                  </w:r>
                </w:p>
              </w:tc>
              <w:tc>
                <w:tcPr>
                  <w:tcW w:w="436" w:type="pct"/>
                  <w:vAlign w:val="center"/>
                </w:tcPr>
                <w:p w14:paraId="7A88C89B">
                  <w:pPr>
                    <w:widowControl/>
                    <w:jc w:val="center"/>
                    <w:rPr>
                      <w:kern w:val="0"/>
                      <w:szCs w:val="21"/>
                    </w:rPr>
                  </w:pPr>
                  <w:r>
                    <w:rPr>
                      <w:kern w:val="0"/>
                      <w:szCs w:val="21"/>
                    </w:rPr>
                    <w:t>0</w:t>
                  </w:r>
                </w:p>
              </w:tc>
              <w:tc>
                <w:tcPr>
                  <w:tcW w:w="645" w:type="pct"/>
                  <w:vAlign w:val="center"/>
                </w:tcPr>
                <w:p w14:paraId="6C84EC19">
                  <w:pPr>
                    <w:widowControl/>
                    <w:jc w:val="center"/>
                    <w:rPr>
                      <w:kern w:val="0"/>
                      <w:szCs w:val="21"/>
                    </w:rPr>
                  </w:pPr>
                  <w:r>
                    <w:rPr>
                      <w:kern w:val="0"/>
                      <w:szCs w:val="21"/>
                    </w:rPr>
                    <w:t>0.016</w:t>
                  </w:r>
                </w:p>
              </w:tc>
              <w:tc>
                <w:tcPr>
                  <w:tcW w:w="586" w:type="pct"/>
                  <w:vAlign w:val="center"/>
                </w:tcPr>
                <w:p w14:paraId="42627CC8">
                  <w:pPr>
                    <w:widowControl/>
                    <w:jc w:val="center"/>
                    <w:rPr>
                      <w:kern w:val="0"/>
                      <w:szCs w:val="21"/>
                    </w:rPr>
                  </w:pPr>
                  <w:r>
                    <w:rPr>
                      <w:kern w:val="0"/>
                      <w:szCs w:val="21"/>
                    </w:rPr>
                    <w:t>0.016</w:t>
                  </w:r>
                </w:p>
              </w:tc>
              <w:tc>
                <w:tcPr>
                  <w:tcW w:w="436" w:type="pct"/>
                  <w:vAlign w:val="center"/>
                </w:tcPr>
                <w:p w14:paraId="5759EEAE">
                  <w:pPr>
                    <w:widowControl/>
                    <w:jc w:val="center"/>
                    <w:rPr>
                      <w:kern w:val="0"/>
                      <w:szCs w:val="21"/>
                    </w:rPr>
                  </w:pPr>
                  <w:r>
                    <w:rPr>
                      <w:kern w:val="0"/>
                      <w:szCs w:val="21"/>
                    </w:rPr>
                    <w:t>0</w:t>
                  </w:r>
                </w:p>
              </w:tc>
            </w:tr>
            <w:tr w14:paraId="5659D4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36" w:type="pct"/>
                  <w:vMerge w:val="continue"/>
                  <w:vAlign w:val="center"/>
                </w:tcPr>
                <w:p w14:paraId="4BD259F9">
                  <w:pPr>
                    <w:widowControl/>
                    <w:jc w:val="left"/>
                    <w:rPr>
                      <w:kern w:val="0"/>
                      <w:szCs w:val="21"/>
                    </w:rPr>
                  </w:pPr>
                </w:p>
              </w:tc>
              <w:tc>
                <w:tcPr>
                  <w:tcW w:w="791" w:type="pct"/>
                  <w:vAlign w:val="center"/>
                </w:tcPr>
                <w:p w14:paraId="5FD277E0">
                  <w:pPr>
                    <w:widowControl/>
                    <w:jc w:val="center"/>
                    <w:rPr>
                      <w:kern w:val="0"/>
                      <w:szCs w:val="21"/>
                    </w:rPr>
                  </w:pPr>
                  <w:r>
                    <w:rPr>
                      <w:kern w:val="0"/>
                      <w:szCs w:val="21"/>
                    </w:rPr>
                    <w:t>非甲烷总烃</w:t>
                  </w:r>
                </w:p>
              </w:tc>
              <w:tc>
                <w:tcPr>
                  <w:tcW w:w="586" w:type="pct"/>
                  <w:vAlign w:val="center"/>
                </w:tcPr>
                <w:p w14:paraId="284DC516">
                  <w:pPr>
                    <w:widowControl/>
                    <w:jc w:val="center"/>
                    <w:rPr>
                      <w:kern w:val="0"/>
                      <w:szCs w:val="21"/>
                    </w:rPr>
                  </w:pPr>
                  <w:r>
                    <w:rPr>
                      <w:kern w:val="0"/>
                      <w:szCs w:val="21"/>
                    </w:rPr>
                    <w:t>92.99</w:t>
                  </w:r>
                </w:p>
              </w:tc>
              <w:tc>
                <w:tcPr>
                  <w:tcW w:w="645" w:type="pct"/>
                  <w:vAlign w:val="center"/>
                </w:tcPr>
                <w:p w14:paraId="4A8EA85F">
                  <w:pPr>
                    <w:widowControl/>
                    <w:jc w:val="center"/>
                    <w:rPr>
                      <w:kern w:val="0"/>
                      <w:szCs w:val="21"/>
                    </w:rPr>
                  </w:pPr>
                  <w:r>
                    <w:rPr>
                      <w:kern w:val="0"/>
                      <w:szCs w:val="21"/>
                    </w:rPr>
                    <w:t>6.977</w:t>
                  </w:r>
                </w:p>
              </w:tc>
              <w:tc>
                <w:tcPr>
                  <w:tcW w:w="436" w:type="pct"/>
                  <w:vAlign w:val="center"/>
                </w:tcPr>
                <w:p w14:paraId="5DDE1402">
                  <w:pPr>
                    <w:widowControl/>
                    <w:jc w:val="center"/>
                    <w:rPr>
                      <w:kern w:val="0"/>
                      <w:szCs w:val="21"/>
                    </w:rPr>
                  </w:pPr>
                  <w:r>
                    <w:rPr>
                      <w:kern w:val="0"/>
                      <w:szCs w:val="21"/>
                    </w:rPr>
                    <w:t>17.09</w:t>
                  </w:r>
                </w:p>
              </w:tc>
              <w:tc>
                <w:tcPr>
                  <w:tcW w:w="436" w:type="pct"/>
                  <w:vAlign w:val="center"/>
                </w:tcPr>
                <w:p w14:paraId="2BB28637">
                  <w:pPr>
                    <w:widowControl/>
                    <w:jc w:val="center"/>
                    <w:rPr>
                      <w:kern w:val="0"/>
                      <w:szCs w:val="21"/>
                    </w:rPr>
                  </w:pPr>
                  <w:r>
                    <w:rPr>
                      <w:kern w:val="0"/>
                      <w:szCs w:val="21"/>
                    </w:rPr>
                    <w:t>12.04</w:t>
                  </w:r>
                </w:p>
              </w:tc>
              <w:tc>
                <w:tcPr>
                  <w:tcW w:w="645" w:type="pct"/>
                  <w:vAlign w:val="center"/>
                </w:tcPr>
                <w:p w14:paraId="7AD3BEA0">
                  <w:pPr>
                    <w:widowControl/>
                    <w:jc w:val="center"/>
                    <w:rPr>
                      <w:kern w:val="0"/>
                      <w:szCs w:val="21"/>
                    </w:rPr>
                  </w:pPr>
                  <w:r>
                    <w:rPr>
                      <w:kern w:val="0"/>
                      <w:szCs w:val="21"/>
                    </w:rPr>
                    <w:t>12.027</w:t>
                  </w:r>
                </w:p>
              </w:tc>
              <w:tc>
                <w:tcPr>
                  <w:tcW w:w="586" w:type="pct"/>
                  <w:vAlign w:val="center"/>
                </w:tcPr>
                <w:p w14:paraId="2844E761">
                  <w:pPr>
                    <w:widowControl/>
                    <w:jc w:val="center"/>
                    <w:rPr>
                      <w:kern w:val="0"/>
                      <w:szCs w:val="21"/>
                    </w:rPr>
                  </w:pPr>
                  <w:r>
                    <w:rPr>
                      <w:kern w:val="0"/>
                      <w:szCs w:val="21"/>
                    </w:rPr>
                    <w:t>92.99</w:t>
                  </w:r>
                  <w:r>
                    <w:rPr>
                      <w:rFonts w:hint="eastAsia"/>
                      <w:kern w:val="0"/>
                      <w:szCs w:val="21"/>
                    </w:rPr>
                    <w:t>***</w:t>
                  </w:r>
                </w:p>
              </w:tc>
              <w:tc>
                <w:tcPr>
                  <w:tcW w:w="436" w:type="pct"/>
                  <w:vAlign w:val="center"/>
                </w:tcPr>
                <w:p w14:paraId="766D3366">
                  <w:pPr>
                    <w:widowControl/>
                    <w:jc w:val="center"/>
                    <w:rPr>
                      <w:kern w:val="0"/>
                      <w:szCs w:val="21"/>
                    </w:rPr>
                  </w:pPr>
                  <w:r>
                    <w:rPr>
                      <w:rFonts w:hint="eastAsia"/>
                      <w:kern w:val="0"/>
                      <w:szCs w:val="21"/>
                    </w:rPr>
                    <w:t>0</w:t>
                  </w:r>
                </w:p>
              </w:tc>
            </w:tr>
            <w:tr w14:paraId="514B7C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436" w:type="pct"/>
                  <w:vMerge w:val="continue"/>
                  <w:vAlign w:val="center"/>
                </w:tcPr>
                <w:p w14:paraId="4F4C5DA6">
                  <w:pPr>
                    <w:widowControl/>
                    <w:jc w:val="left"/>
                    <w:rPr>
                      <w:kern w:val="0"/>
                      <w:szCs w:val="21"/>
                    </w:rPr>
                  </w:pPr>
                </w:p>
              </w:tc>
              <w:tc>
                <w:tcPr>
                  <w:tcW w:w="791" w:type="pct"/>
                  <w:vAlign w:val="center"/>
                </w:tcPr>
                <w:p w14:paraId="3FB1998C">
                  <w:pPr>
                    <w:widowControl/>
                    <w:jc w:val="center"/>
                    <w:rPr>
                      <w:kern w:val="0"/>
                      <w:szCs w:val="21"/>
                    </w:rPr>
                  </w:pPr>
                  <w:r>
                    <w:rPr>
                      <w:kern w:val="0"/>
                      <w:szCs w:val="21"/>
                    </w:rPr>
                    <w:t>乙醛</w:t>
                  </w:r>
                </w:p>
              </w:tc>
              <w:tc>
                <w:tcPr>
                  <w:tcW w:w="586" w:type="pct"/>
                  <w:vAlign w:val="center"/>
                </w:tcPr>
                <w:p w14:paraId="1B5C6D73">
                  <w:pPr>
                    <w:widowControl/>
                    <w:jc w:val="center"/>
                    <w:rPr>
                      <w:kern w:val="0"/>
                      <w:szCs w:val="21"/>
                    </w:rPr>
                  </w:pPr>
                  <w:r>
                    <w:rPr>
                      <w:kern w:val="0"/>
                      <w:szCs w:val="21"/>
                    </w:rPr>
                    <w:t>0.3</w:t>
                  </w:r>
                </w:p>
              </w:tc>
              <w:tc>
                <w:tcPr>
                  <w:tcW w:w="645" w:type="pct"/>
                  <w:vAlign w:val="center"/>
                </w:tcPr>
                <w:p w14:paraId="43DF833C">
                  <w:pPr>
                    <w:widowControl/>
                    <w:jc w:val="center"/>
                    <w:rPr>
                      <w:kern w:val="0"/>
                      <w:szCs w:val="21"/>
                    </w:rPr>
                  </w:pPr>
                  <w:r>
                    <w:rPr>
                      <w:kern w:val="0"/>
                      <w:szCs w:val="21"/>
                    </w:rPr>
                    <w:t>0.1307</w:t>
                  </w:r>
                </w:p>
              </w:tc>
              <w:tc>
                <w:tcPr>
                  <w:tcW w:w="436" w:type="pct"/>
                  <w:vAlign w:val="center"/>
                </w:tcPr>
                <w:p w14:paraId="70BA5FF3">
                  <w:pPr>
                    <w:widowControl/>
                    <w:jc w:val="center"/>
                    <w:rPr>
                      <w:kern w:val="0"/>
                      <w:szCs w:val="21"/>
                    </w:rPr>
                  </w:pPr>
                  <w:r>
                    <w:rPr>
                      <w:kern w:val="0"/>
                      <w:szCs w:val="21"/>
                    </w:rPr>
                    <w:t>0</w:t>
                  </w:r>
                </w:p>
              </w:tc>
              <w:tc>
                <w:tcPr>
                  <w:tcW w:w="436" w:type="pct"/>
                  <w:vAlign w:val="center"/>
                </w:tcPr>
                <w:p w14:paraId="38FFCE3C">
                  <w:pPr>
                    <w:widowControl/>
                    <w:jc w:val="center"/>
                    <w:rPr>
                      <w:kern w:val="0"/>
                      <w:szCs w:val="21"/>
                    </w:rPr>
                  </w:pPr>
                  <w:r>
                    <w:rPr>
                      <w:kern w:val="0"/>
                      <w:szCs w:val="21"/>
                    </w:rPr>
                    <w:t>0</w:t>
                  </w:r>
                </w:p>
              </w:tc>
              <w:tc>
                <w:tcPr>
                  <w:tcW w:w="645" w:type="pct"/>
                  <w:vAlign w:val="center"/>
                </w:tcPr>
                <w:p w14:paraId="4897AF6F">
                  <w:pPr>
                    <w:widowControl/>
                    <w:jc w:val="center"/>
                    <w:rPr>
                      <w:kern w:val="0"/>
                      <w:szCs w:val="21"/>
                    </w:rPr>
                  </w:pPr>
                  <w:r>
                    <w:rPr>
                      <w:kern w:val="0"/>
                      <w:szCs w:val="21"/>
                    </w:rPr>
                    <w:t>0.1307</w:t>
                  </w:r>
                </w:p>
              </w:tc>
              <w:tc>
                <w:tcPr>
                  <w:tcW w:w="586" w:type="pct"/>
                  <w:vAlign w:val="center"/>
                </w:tcPr>
                <w:p w14:paraId="7E3214C8">
                  <w:pPr>
                    <w:widowControl/>
                    <w:jc w:val="center"/>
                    <w:rPr>
                      <w:kern w:val="0"/>
                      <w:szCs w:val="21"/>
                    </w:rPr>
                  </w:pPr>
                  <w:r>
                    <w:rPr>
                      <w:kern w:val="0"/>
                      <w:szCs w:val="21"/>
                    </w:rPr>
                    <w:t>0.3</w:t>
                  </w:r>
                </w:p>
              </w:tc>
              <w:tc>
                <w:tcPr>
                  <w:tcW w:w="436" w:type="pct"/>
                  <w:vAlign w:val="center"/>
                </w:tcPr>
                <w:p w14:paraId="6254263A">
                  <w:pPr>
                    <w:widowControl/>
                    <w:jc w:val="center"/>
                    <w:rPr>
                      <w:kern w:val="0"/>
                      <w:szCs w:val="21"/>
                    </w:rPr>
                  </w:pPr>
                  <w:r>
                    <w:rPr>
                      <w:kern w:val="0"/>
                      <w:szCs w:val="21"/>
                    </w:rPr>
                    <w:t>0</w:t>
                  </w:r>
                </w:p>
              </w:tc>
            </w:tr>
            <w:tr w14:paraId="489A96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36" w:type="pct"/>
                  <w:vMerge w:val="continue"/>
                  <w:vAlign w:val="center"/>
                </w:tcPr>
                <w:p w14:paraId="57FCB67F">
                  <w:pPr>
                    <w:widowControl/>
                    <w:jc w:val="left"/>
                    <w:rPr>
                      <w:kern w:val="0"/>
                      <w:szCs w:val="21"/>
                    </w:rPr>
                  </w:pPr>
                </w:p>
              </w:tc>
              <w:tc>
                <w:tcPr>
                  <w:tcW w:w="791" w:type="pct"/>
                  <w:vAlign w:val="center"/>
                </w:tcPr>
                <w:p w14:paraId="14F2188E">
                  <w:pPr>
                    <w:widowControl/>
                    <w:jc w:val="center"/>
                    <w:rPr>
                      <w:kern w:val="0"/>
                      <w:szCs w:val="21"/>
                    </w:rPr>
                  </w:pPr>
                  <w:r>
                    <w:rPr>
                      <w:kern w:val="0"/>
                      <w:szCs w:val="21"/>
                    </w:rPr>
                    <w:t>乙二醇</w:t>
                  </w:r>
                </w:p>
              </w:tc>
              <w:tc>
                <w:tcPr>
                  <w:tcW w:w="586" w:type="pct"/>
                  <w:vAlign w:val="center"/>
                </w:tcPr>
                <w:p w14:paraId="26A4C113">
                  <w:pPr>
                    <w:widowControl/>
                    <w:jc w:val="center"/>
                    <w:rPr>
                      <w:kern w:val="0"/>
                      <w:szCs w:val="21"/>
                    </w:rPr>
                  </w:pPr>
                  <w:r>
                    <w:rPr>
                      <w:kern w:val="0"/>
                      <w:szCs w:val="21"/>
                    </w:rPr>
                    <w:t>0.175</w:t>
                  </w:r>
                </w:p>
              </w:tc>
              <w:tc>
                <w:tcPr>
                  <w:tcW w:w="645" w:type="pct"/>
                  <w:vAlign w:val="center"/>
                </w:tcPr>
                <w:p w14:paraId="198FC64E">
                  <w:pPr>
                    <w:widowControl/>
                    <w:jc w:val="center"/>
                    <w:rPr>
                      <w:kern w:val="0"/>
                      <w:szCs w:val="21"/>
                    </w:rPr>
                  </w:pPr>
                  <w:r>
                    <w:rPr>
                      <w:kern w:val="0"/>
                      <w:szCs w:val="21"/>
                    </w:rPr>
                    <w:t>0.076</w:t>
                  </w:r>
                </w:p>
              </w:tc>
              <w:tc>
                <w:tcPr>
                  <w:tcW w:w="436" w:type="pct"/>
                  <w:vAlign w:val="center"/>
                </w:tcPr>
                <w:p w14:paraId="3BB74DFE">
                  <w:pPr>
                    <w:widowControl/>
                    <w:jc w:val="center"/>
                    <w:rPr>
                      <w:kern w:val="0"/>
                      <w:szCs w:val="21"/>
                    </w:rPr>
                  </w:pPr>
                  <w:r>
                    <w:rPr>
                      <w:kern w:val="0"/>
                      <w:szCs w:val="21"/>
                    </w:rPr>
                    <w:t>0</w:t>
                  </w:r>
                </w:p>
              </w:tc>
              <w:tc>
                <w:tcPr>
                  <w:tcW w:w="436" w:type="pct"/>
                  <w:vAlign w:val="center"/>
                </w:tcPr>
                <w:p w14:paraId="0237D0D6">
                  <w:pPr>
                    <w:widowControl/>
                    <w:jc w:val="center"/>
                    <w:rPr>
                      <w:kern w:val="0"/>
                      <w:szCs w:val="21"/>
                    </w:rPr>
                  </w:pPr>
                  <w:r>
                    <w:rPr>
                      <w:kern w:val="0"/>
                      <w:szCs w:val="21"/>
                    </w:rPr>
                    <w:t>0</w:t>
                  </w:r>
                </w:p>
              </w:tc>
              <w:tc>
                <w:tcPr>
                  <w:tcW w:w="645" w:type="pct"/>
                  <w:vAlign w:val="center"/>
                </w:tcPr>
                <w:p w14:paraId="325340C3">
                  <w:pPr>
                    <w:widowControl/>
                    <w:jc w:val="center"/>
                    <w:rPr>
                      <w:kern w:val="0"/>
                      <w:szCs w:val="21"/>
                    </w:rPr>
                  </w:pPr>
                  <w:r>
                    <w:rPr>
                      <w:kern w:val="0"/>
                      <w:szCs w:val="21"/>
                    </w:rPr>
                    <w:t>0.076</w:t>
                  </w:r>
                </w:p>
              </w:tc>
              <w:tc>
                <w:tcPr>
                  <w:tcW w:w="586" w:type="pct"/>
                  <w:vAlign w:val="center"/>
                </w:tcPr>
                <w:p w14:paraId="3EE85A53">
                  <w:pPr>
                    <w:widowControl/>
                    <w:jc w:val="center"/>
                    <w:rPr>
                      <w:kern w:val="0"/>
                      <w:szCs w:val="21"/>
                    </w:rPr>
                  </w:pPr>
                  <w:r>
                    <w:rPr>
                      <w:kern w:val="0"/>
                      <w:szCs w:val="21"/>
                    </w:rPr>
                    <w:t>0.175</w:t>
                  </w:r>
                </w:p>
              </w:tc>
              <w:tc>
                <w:tcPr>
                  <w:tcW w:w="436" w:type="pct"/>
                  <w:vAlign w:val="center"/>
                </w:tcPr>
                <w:p w14:paraId="72DDF8B1">
                  <w:pPr>
                    <w:widowControl/>
                    <w:jc w:val="center"/>
                    <w:rPr>
                      <w:kern w:val="0"/>
                      <w:szCs w:val="21"/>
                    </w:rPr>
                  </w:pPr>
                  <w:r>
                    <w:rPr>
                      <w:kern w:val="0"/>
                      <w:szCs w:val="21"/>
                    </w:rPr>
                    <w:t>0</w:t>
                  </w:r>
                </w:p>
              </w:tc>
            </w:tr>
            <w:tr w14:paraId="05E231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36" w:type="pct"/>
                  <w:vMerge w:val="continue"/>
                  <w:vAlign w:val="center"/>
                </w:tcPr>
                <w:p w14:paraId="6D91BA43">
                  <w:pPr>
                    <w:widowControl/>
                    <w:jc w:val="left"/>
                    <w:rPr>
                      <w:kern w:val="0"/>
                      <w:szCs w:val="21"/>
                    </w:rPr>
                  </w:pPr>
                </w:p>
              </w:tc>
              <w:tc>
                <w:tcPr>
                  <w:tcW w:w="791" w:type="pct"/>
                  <w:vAlign w:val="center"/>
                </w:tcPr>
                <w:p w14:paraId="0AA38E62">
                  <w:pPr>
                    <w:widowControl/>
                    <w:jc w:val="center"/>
                    <w:rPr>
                      <w:kern w:val="0"/>
                      <w:szCs w:val="21"/>
                    </w:rPr>
                  </w:pPr>
                  <w:r>
                    <w:rPr>
                      <w:kern w:val="0"/>
                      <w:szCs w:val="21"/>
                    </w:rPr>
                    <w:t>合计（以VOCs计）</w:t>
                  </w:r>
                </w:p>
              </w:tc>
              <w:tc>
                <w:tcPr>
                  <w:tcW w:w="586" w:type="pct"/>
                  <w:vAlign w:val="center"/>
                </w:tcPr>
                <w:p w14:paraId="3F9A0AC3">
                  <w:pPr>
                    <w:widowControl/>
                    <w:jc w:val="center"/>
                    <w:rPr>
                      <w:kern w:val="0"/>
                      <w:szCs w:val="21"/>
                    </w:rPr>
                  </w:pPr>
                  <w:r>
                    <w:rPr>
                      <w:kern w:val="0"/>
                      <w:szCs w:val="21"/>
                    </w:rPr>
                    <w:t>92.99</w:t>
                  </w:r>
                </w:p>
              </w:tc>
              <w:tc>
                <w:tcPr>
                  <w:tcW w:w="645" w:type="pct"/>
                  <w:vAlign w:val="center"/>
                </w:tcPr>
                <w:p w14:paraId="139BA76B">
                  <w:pPr>
                    <w:widowControl/>
                    <w:jc w:val="center"/>
                    <w:rPr>
                      <w:kern w:val="0"/>
                      <w:szCs w:val="21"/>
                    </w:rPr>
                  </w:pPr>
                  <w:r>
                    <w:rPr>
                      <w:kern w:val="0"/>
                      <w:szCs w:val="21"/>
                    </w:rPr>
                    <w:t>6.977</w:t>
                  </w:r>
                </w:p>
              </w:tc>
              <w:tc>
                <w:tcPr>
                  <w:tcW w:w="436" w:type="pct"/>
                  <w:vAlign w:val="center"/>
                </w:tcPr>
                <w:p w14:paraId="55727FC6">
                  <w:pPr>
                    <w:widowControl/>
                    <w:jc w:val="center"/>
                    <w:rPr>
                      <w:kern w:val="0"/>
                      <w:szCs w:val="21"/>
                    </w:rPr>
                  </w:pPr>
                  <w:r>
                    <w:rPr>
                      <w:kern w:val="0"/>
                      <w:szCs w:val="21"/>
                    </w:rPr>
                    <w:t>17.09</w:t>
                  </w:r>
                </w:p>
              </w:tc>
              <w:tc>
                <w:tcPr>
                  <w:tcW w:w="436" w:type="pct"/>
                  <w:vAlign w:val="center"/>
                </w:tcPr>
                <w:p w14:paraId="249CA8D8">
                  <w:pPr>
                    <w:widowControl/>
                    <w:jc w:val="center"/>
                    <w:rPr>
                      <w:kern w:val="0"/>
                      <w:szCs w:val="21"/>
                    </w:rPr>
                  </w:pPr>
                  <w:r>
                    <w:rPr>
                      <w:kern w:val="0"/>
                      <w:szCs w:val="21"/>
                    </w:rPr>
                    <w:t>12.04</w:t>
                  </w:r>
                </w:p>
              </w:tc>
              <w:tc>
                <w:tcPr>
                  <w:tcW w:w="645" w:type="pct"/>
                  <w:vAlign w:val="center"/>
                </w:tcPr>
                <w:p w14:paraId="29063F1C">
                  <w:pPr>
                    <w:widowControl/>
                    <w:jc w:val="center"/>
                    <w:rPr>
                      <w:kern w:val="0"/>
                      <w:szCs w:val="21"/>
                    </w:rPr>
                  </w:pPr>
                  <w:r>
                    <w:rPr>
                      <w:kern w:val="0"/>
                      <w:szCs w:val="21"/>
                    </w:rPr>
                    <w:t>12.027</w:t>
                  </w:r>
                </w:p>
              </w:tc>
              <w:tc>
                <w:tcPr>
                  <w:tcW w:w="586" w:type="pct"/>
                  <w:vAlign w:val="center"/>
                </w:tcPr>
                <w:p w14:paraId="6FAFEA70">
                  <w:pPr>
                    <w:widowControl/>
                    <w:jc w:val="center"/>
                    <w:rPr>
                      <w:kern w:val="0"/>
                      <w:szCs w:val="21"/>
                    </w:rPr>
                  </w:pPr>
                  <w:r>
                    <w:rPr>
                      <w:kern w:val="0"/>
                      <w:szCs w:val="21"/>
                    </w:rPr>
                    <w:t>92.99</w:t>
                  </w:r>
                </w:p>
              </w:tc>
              <w:tc>
                <w:tcPr>
                  <w:tcW w:w="436" w:type="pct"/>
                  <w:vAlign w:val="center"/>
                </w:tcPr>
                <w:p w14:paraId="4AC1BFA6">
                  <w:pPr>
                    <w:widowControl/>
                    <w:jc w:val="center"/>
                    <w:rPr>
                      <w:kern w:val="0"/>
                      <w:szCs w:val="21"/>
                    </w:rPr>
                  </w:pPr>
                  <w:r>
                    <w:rPr>
                      <w:rFonts w:hint="eastAsia"/>
                      <w:kern w:val="0"/>
                      <w:szCs w:val="21"/>
                    </w:rPr>
                    <w:t>0</w:t>
                  </w:r>
                </w:p>
              </w:tc>
            </w:tr>
            <w:tr w14:paraId="032C48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36" w:type="pct"/>
                  <w:vMerge w:val="restart"/>
                  <w:vAlign w:val="center"/>
                </w:tcPr>
                <w:p w14:paraId="51A40229">
                  <w:pPr>
                    <w:widowControl/>
                    <w:jc w:val="center"/>
                    <w:rPr>
                      <w:kern w:val="0"/>
                      <w:szCs w:val="21"/>
                    </w:rPr>
                  </w:pPr>
                  <w:r>
                    <w:rPr>
                      <w:kern w:val="0"/>
                      <w:szCs w:val="21"/>
                    </w:rPr>
                    <w:t>固废</w:t>
                  </w:r>
                </w:p>
              </w:tc>
              <w:tc>
                <w:tcPr>
                  <w:tcW w:w="791" w:type="pct"/>
                  <w:vAlign w:val="center"/>
                </w:tcPr>
                <w:p w14:paraId="1BF3BD88">
                  <w:pPr>
                    <w:widowControl/>
                    <w:jc w:val="center"/>
                    <w:rPr>
                      <w:kern w:val="0"/>
                      <w:szCs w:val="21"/>
                    </w:rPr>
                  </w:pPr>
                  <w:r>
                    <w:rPr>
                      <w:kern w:val="0"/>
                      <w:szCs w:val="21"/>
                    </w:rPr>
                    <w:t>一般固废</w:t>
                  </w:r>
                </w:p>
              </w:tc>
              <w:tc>
                <w:tcPr>
                  <w:tcW w:w="586" w:type="pct"/>
                  <w:vAlign w:val="center"/>
                </w:tcPr>
                <w:p w14:paraId="70BACDB0">
                  <w:pPr>
                    <w:widowControl/>
                    <w:jc w:val="center"/>
                    <w:rPr>
                      <w:kern w:val="0"/>
                      <w:szCs w:val="21"/>
                    </w:rPr>
                  </w:pPr>
                  <w:r>
                    <w:rPr>
                      <w:kern w:val="0"/>
                      <w:szCs w:val="21"/>
                    </w:rPr>
                    <w:t>0</w:t>
                  </w:r>
                </w:p>
              </w:tc>
              <w:tc>
                <w:tcPr>
                  <w:tcW w:w="645" w:type="pct"/>
                  <w:vAlign w:val="center"/>
                </w:tcPr>
                <w:p w14:paraId="4971DD7C">
                  <w:pPr>
                    <w:widowControl/>
                    <w:jc w:val="center"/>
                    <w:rPr>
                      <w:kern w:val="0"/>
                      <w:szCs w:val="21"/>
                    </w:rPr>
                  </w:pPr>
                  <w:r>
                    <w:rPr>
                      <w:kern w:val="0"/>
                      <w:szCs w:val="21"/>
                    </w:rPr>
                    <w:t>0</w:t>
                  </w:r>
                </w:p>
              </w:tc>
              <w:tc>
                <w:tcPr>
                  <w:tcW w:w="436" w:type="pct"/>
                  <w:vAlign w:val="center"/>
                </w:tcPr>
                <w:p w14:paraId="304AC453">
                  <w:pPr>
                    <w:widowControl/>
                    <w:jc w:val="center"/>
                    <w:rPr>
                      <w:kern w:val="0"/>
                      <w:szCs w:val="21"/>
                    </w:rPr>
                  </w:pPr>
                  <w:r>
                    <w:rPr>
                      <w:kern w:val="0"/>
                      <w:szCs w:val="21"/>
                    </w:rPr>
                    <w:t>0</w:t>
                  </w:r>
                </w:p>
              </w:tc>
              <w:tc>
                <w:tcPr>
                  <w:tcW w:w="436" w:type="pct"/>
                  <w:vAlign w:val="center"/>
                </w:tcPr>
                <w:p w14:paraId="3F5A7BAB">
                  <w:pPr>
                    <w:widowControl/>
                    <w:jc w:val="center"/>
                    <w:rPr>
                      <w:kern w:val="0"/>
                      <w:szCs w:val="21"/>
                    </w:rPr>
                  </w:pPr>
                  <w:r>
                    <w:rPr>
                      <w:kern w:val="0"/>
                      <w:szCs w:val="21"/>
                    </w:rPr>
                    <w:t>0</w:t>
                  </w:r>
                </w:p>
              </w:tc>
              <w:tc>
                <w:tcPr>
                  <w:tcW w:w="645" w:type="pct"/>
                  <w:vAlign w:val="center"/>
                </w:tcPr>
                <w:p w14:paraId="0D472EF5">
                  <w:pPr>
                    <w:widowControl/>
                    <w:jc w:val="center"/>
                    <w:rPr>
                      <w:kern w:val="0"/>
                      <w:szCs w:val="21"/>
                    </w:rPr>
                  </w:pPr>
                  <w:r>
                    <w:rPr>
                      <w:kern w:val="0"/>
                      <w:szCs w:val="21"/>
                    </w:rPr>
                    <w:t>0</w:t>
                  </w:r>
                </w:p>
              </w:tc>
              <w:tc>
                <w:tcPr>
                  <w:tcW w:w="586" w:type="pct"/>
                  <w:vAlign w:val="center"/>
                </w:tcPr>
                <w:p w14:paraId="7EE12CB0">
                  <w:pPr>
                    <w:widowControl/>
                    <w:jc w:val="center"/>
                    <w:rPr>
                      <w:kern w:val="0"/>
                      <w:szCs w:val="21"/>
                    </w:rPr>
                  </w:pPr>
                  <w:r>
                    <w:rPr>
                      <w:kern w:val="0"/>
                      <w:szCs w:val="21"/>
                    </w:rPr>
                    <w:t>0</w:t>
                  </w:r>
                </w:p>
              </w:tc>
              <w:tc>
                <w:tcPr>
                  <w:tcW w:w="436" w:type="pct"/>
                  <w:vAlign w:val="center"/>
                </w:tcPr>
                <w:p w14:paraId="1F7C6B47">
                  <w:pPr>
                    <w:widowControl/>
                    <w:jc w:val="center"/>
                    <w:rPr>
                      <w:kern w:val="0"/>
                      <w:szCs w:val="21"/>
                    </w:rPr>
                  </w:pPr>
                  <w:r>
                    <w:rPr>
                      <w:kern w:val="0"/>
                      <w:szCs w:val="21"/>
                    </w:rPr>
                    <w:t>0</w:t>
                  </w:r>
                </w:p>
              </w:tc>
            </w:tr>
            <w:tr w14:paraId="62FD93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36" w:type="pct"/>
                  <w:vMerge w:val="continue"/>
                  <w:vAlign w:val="center"/>
                </w:tcPr>
                <w:p w14:paraId="54EDE6EC">
                  <w:pPr>
                    <w:widowControl/>
                    <w:jc w:val="left"/>
                    <w:rPr>
                      <w:kern w:val="0"/>
                      <w:szCs w:val="21"/>
                    </w:rPr>
                  </w:pPr>
                </w:p>
              </w:tc>
              <w:tc>
                <w:tcPr>
                  <w:tcW w:w="791" w:type="pct"/>
                  <w:vAlign w:val="center"/>
                </w:tcPr>
                <w:p w14:paraId="45C0DB28">
                  <w:pPr>
                    <w:widowControl/>
                    <w:jc w:val="center"/>
                    <w:rPr>
                      <w:kern w:val="0"/>
                      <w:szCs w:val="21"/>
                    </w:rPr>
                  </w:pPr>
                  <w:r>
                    <w:rPr>
                      <w:kern w:val="0"/>
                      <w:szCs w:val="21"/>
                    </w:rPr>
                    <w:t>危险废物</w:t>
                  </w:r>
                </w:p>
              </w:tc>
              <w:tc>
                <w:tcPr>
                  <w:tcW w:w="586" w:type="pct"/>
                  <w:vAlign w:val="center"/>
                </w:tcPr>
                <w:p w14:paraId="12A45BD6">
                  <w:pPr>
                    <w:widowControl/>
                    <w:jc w:val="center"/>
                    <w:rPr>
                      <w:kern w:val="0"/>
                      <w:szCs w:val="21"/>
                    </w:rPr>
                  </w:pPr>
                  <w:r>
                    <w:rPr>
                      <w:kern w:val="0"/>
                      <w:szCs w:val="21"/>
                    </w:rPr>
                    <w:t>0</w:t>
                  </w:r>
                </w:p>
              </w:tc>
              <w:tc>
                <w:tcPr>
                  <w:tcW w:w="645" w:type="pct"/>
                  <w:vAlign w:val="center"/>
                </w:tcPr>
                <w:p w14:paraId="4663CD1A">
                  <w:pPr>
                    <w:widowControl/>
                    <w:jc w:val="center"/>
                    <w:rPr>
                      <w:kern w:val="0"/>
                      <w:szCs w:val="21"/>
                    </w:rPr>
                  </w:pPr>
                  <w:r>
                    <w:rPr>
                      <w:kern w:val="0"/>
                      <w:szCs w:val="21"/>
                    </w:rPr>
                    <w:t>0</w:t>
                  </w:r>
                </w:p>
              </w:tc>
              <w:tc>
                <w:tcPr>
                  <w:tcW w:w="436" w:type="pct"/>
                  <w:vAlign w:val="center"/>
                </w:tcPr>
                <w:p w14:paraId="7DC0264C">
                  <w:pPr>
                    <w:widowControl/>
                    <w:jc w:val="center"/>
                    <w:rPr>
                      <w:kern w:val="0"/>
                      <w:szCs w:val="21"/>
                    </w:rPr>
                  </w:pPr>
                  <w:r>
                    <w:rPr>
                      <w:kern w:val="0"/>
                      <w:szCs w:val="21"/>
                    </w:rPr>
                    <w:t>0</w:t>
                  </w:r>
                </w:p>
              </w:tc>
              <w:tc>
                <w:tcPr>
                  <w:tcW w:w="436" w:type="pct"/>
                  <w:vAlign w:val="center"/>
                </w:tcPr>
                <w:p w14:paraId="4F8A393B">
                  <w:pPr>
                    <w:widowControl/>
                    <w:jc w:val="center"/>
                    <w:rPr>
                      <w:kern w:val="0"/>
                      <w:szCs w:val="21"/>
                    </w:rPr>
                  </w:pPr>
                  <w:r>
                    <w:rPr>
                      <w:kern w:val="0"/>
                      <w:szCs w:val="21"/>
                    </w:rPr>
                    <w:t>0</w:t>
                  </w:r>
                </w:p>
              </w:tc>
              <w:tc>
                <w:tcPr>
                  <w:tcW w:w="645" w:type="pct"/>
                  <w:vAlign w:val="center"/>
                </w:tcPr>
                <w:p w14:paraId="04C25D96">
                  <w:pPr>
                    <w:widowControl/>
                    <w:jc w:val="center"/>
                    <w:rPr>
                      <w:kern w:val="0"/>
                      <w:szCs w:val="21"/>
                    </w:rPr>
                  </w:pPr>
                  <w:r>
                    <w:rPr>
                      <w:kern w:val="0"/>
                      <w:szCs w:val="21"/>
                    </w:rPr>
                    <w:t>0</w:t>
                  </w:r>
                </w:p>
              </w:tc>
              <w:tc>
                <w:tcPr>
                  <w:tcW w:w="586" w:type="pct"/>
                  <w:vAlign w:val="center"/>
                </w:tcPr>
                <w:p w14:paraId="2F8CEC1B">
                  <w:pPr>
                    <w:widowControl/>
                    <w:jc w:val="center"/>
                    <w:rPr>
                      <w:kern w:val="0"/>
                      <w:szCs w:val="21"/>
                    </w:rPr>
                  </w:pPr>
                  <w:r>
                    <w:rPr>
                      <w:kern w:val="0"/>
                      <w:szCs w:val="21"/>
                    </w:rPr>
                    <w:t>0</w:t>
                  </w:r>
                </w:p>
              </w:tc>
              <w:tc>
                <w:tcPr>
                  <w:tcW w:w="436" w:type="pct"/>
                  <w:vAlign w:val="center"/>
                </w:tcPr>
                <w:p w14:paraId="4C4A8C84">
                  <w:pPr>
                    <w:widowControl/>
                    <w:jc w:val="center"/>
                    <w:rPr>
                      <w:kern w:val="0"/>
                      <w:szCs w:val="21"/>
                    </w:rPr>
                  </w:pPr>
                  <w:r>
                    <w:rPr>
                      <w:kern w:val="0"/>
                      <w:szCs w:val="21"/>
                    </w:rPr>
                    <w:t>0</w:t>
                  </w:r>
                </w:p>
              </w:tc>
            </w:tr>
            <w:tr w14:paraId="2A1BAF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36" w:type="pct"/>
                  <w:vMerge w:val="continue"/>
                  <w:vAlign w:val="center"/>
                </w:tcPr>
                <w:p w14:paraId="350E610B">
                  <w:pPr>
                    <w:widowControl/>
                    <w:jc w:val="left"/>
                    <w:rPr>
                      <w:kern w:val="0"/>
                      <w:szCs w:val="21"/>
                    </w:rPr>
                  </w:pPr>
                </w:p>
              </w:tc>
              <w:tc>
                <w:tcPr>
                  <w:tcW w:w="791" w:type="pct"/>
                  <w:vAlign w:val="center"/>
                </w:tcPr>
                <w:p w14:paraId="03ADBAAB">
                  <w:pPr>
                    <w:widowControl/>
                    <w:jc w:val="center"/>
                    <w:rPr>
                      <w:kern w:val="0"/>
                      <w:szCs w:val="21"/>
                    </w:rPr>
                  </w:pPr>
                  <w:r>
                    <w:rPr>
                      <w:kern w:val="0"/>
                      <w:szCs w:val="21"/>
                    </w:rPr>
                    <w:t>生活垃圾</w:t>
                  </w:r>
                </w:p>
              </w:tc>
              <w:tc>
                <w:tcPr>
                  <w:tcW w:w="586" w:type="pct"/>
                  <w:vAlign w:val="center"/>
                </w:tcPr>
                <w:p w14:paraId="3ADED32A">
                  <w:pPr>
                    <w:widowControl/>
                    <w:jc w:val="center"/>
                    <w:rPr>
                      <w:kern w:val="0"/>
                      <w:szCs w:val="21"/>
                    </w:rPr>
                  </w:pPr>
                  <w:r>
                    <w:rPr>
                      <w:kern w:val="0"/>
                      <w:szCs w:val="21"/>
                    </w:rPr>
                    <w:t>0</w:t>
                  </w:r>
                </w:p>
              </w:tc>
              <w:tc>
                <w:tcPr>
                  <w:tcW w:w="645" w:type="pct"/>
                  <w:vAlign w:val="center"/>
                </w:tcPr>
                <w:p w14:paraId="1157D012">
                  <w:pPr>
                    <w:widowControl/>
                    <w:jc w:val="center"/>
                    <w:rPr>
                      <w:kern w:val="0"/>
                      <w:szCs w:val="21"/>
                    </w:rPr>
                  </w:pPr>
                  <w:r>
                    <w:rPr>
                      <w:kern w:val="0"/>
                      <w:szCs w:val="21"/>
                    </w:rPr>
                    <w:t>0</w:t>
                  </w:r>
                </w:p>
              </w:tc>
              <w:tc>
                <w:tcPr>
                  <w:tcW w:w="436" w:type="pct"/>
                  <w:vAlign w:val="center"/>
                </w:tcPr>
                <w:p w14:paraId="70D605E6">
                  <w:pPr>
                    <w:widowControl/>
                    <w:jc w:val="center"/>
                    <w:rPr>
                      <w:kern w:val="0"/>
                      <w:szCs w:val="21"/>
                    </w:rPr>
                  </w:pPr>
                  <w:r>
                    <w:rPr>
                      <w:kern w:val="0"/>
                      <w:szCs w:val="21"/>
                    </w:rPr>
                    <w:t>0</w:t>
                  </w:r>
                </w:p>
              </w:tc>
              <w:tc>
                <w:tcPr>
                  <w:tcW w:w="436" w:type="pct"/>
                  <w:vAlign w:val="center"/>
                </w:tcPr>
                <w:p w14:paraId="5DAD2DB5">
                  <w:pPr>
                    <w:widowControl/>
                    <w:jc w:val="center"/>
                    <w:rPr>
                      <w:kern w:val="0"/>
                      <w:szCs w:val="21"/>
                    </w:rPr>
                  </w:pPr>
                  <w:r>
                    <w:rPr>
                      <w:kern w:val="0"/>
                      <w:szCs w:val="21"/>
                    </w:rPr>
                    <w:t>0</w:t>
                  </w:r>
                </w:p>
              </w:tc>
              <w:tc>
                <w:tcPr>
                  <w:tcW w:w="645" w:type="pct"/>
                  <w:vAlign w:val="center"/>
                </w:tcPr>
                <w:p w14:paraId="57BF5AFC">
                  <w:pPr>
                    <w:widowControl/>
                    <w:jc w:val="center"/>
                    <w:rPr>
                      <w:kern w:val="0"/>
                      <w:szCs w:val="21"/>
                    </w:rPr>
                  </w:pPr>
                  <w:r>
                    <w:rPr>
                      <w:kern w:val="0"/>
                      <w:szCs w:val="21"/>
                    </w:rPr>
                    <w:t>0</w:t>
                  </w:r>
                </w:p>
              </w:tc>
              <w:tc>
                <w:tcPr>
                  <w:tcW w:w="586" w:type="pct"/>
                  <w:vAlign w:val="center"/>
                </w:tcPr>
                <w:p w14:paraId="63125467">
                  <w:pPr>
                    <w:widowControl/>
                    <w:jc w:val="center"/>
                    <w:rPr>
                      <w:kern w:val="0"/>
                      <w:szCs w:val="21"/>
                    </w:rPr>
                  </w:pPr>
                  <w:r>
                    <w:rPr>
                      <w:kern w:val="0"/>
                      <w:szCs w:val="21"/>
                    </w:rPr>
                    <w:t>0</w:t>
                  </w:r>
                </w:p>
              </w:tc>
              <w:tc>
                <w:tcPr>
                  <w:tcW w:w="436" w:type="pct"/>
                  <w:vAlign w:val="center"/>
                </w:tcPr>
                <w:p w14:paraId="513CF1F9">
                  <w:pPr>
                    <w:widowControl/>
                    <w:jc w:val="center"/>
                    <w:rPr>
                      <w:kern w:val="0"/>
                      <w:szCs w:val="21"/>
                    </w:rPr>
                  </w:pPr>
                  <w:r>
                    <w:rPr>
                      <w:kern w:val="0"/>
                      <w:szCs w:val="21"/>
                    </w:rPr>
                    <w:t>0</w:t>
                  </w:r>
                </w:p>
              </w:tc>
            </w:tr>
          </w:tbl>
          <w:p w14:paraId="7FD613F9">
            <w:pPr>
              <w:ind w:firstLine="422" w:firstLineChars="200"/>
            </w:pPr>
            <w:r>
              <w:rPr>
                <w:b/>
              </w:rPr>
              <w:t>注：*本项目建成后全厂废水情况不变，按原批复执行，原批复成子河西侧部分纳入芮邦科技，东侧部分纳入国望高科，纳入国望高科的水量为316675.47t/a，剩余部分纳入芮邦科技。本项目位于成子河西侧纳入现有芮邦科技总量范围内，纳入芮邦科技水量为294595.904t/a。**总氮根据接管浓度补充核算项目排放量。</w:t>
            </w:r>
            <w:r>
              <w:rPr>
                <w:rFonts w:hint="eastAsia"/>
                <w:b/>
              </w:rPr>
              <w:t>***本项目相比于被替代的一期项目成子河西侧建设内容新增了废丝回收生产线产生的颗粒物、非甲烷总烃及切片纺丝干燥产生的颗粒物，优先从现有批复总量内调配，后续建设所需总量根据实际情况增减，履行相应手续。</w:t>
            </w:r>
          </w:p>
        </w:tc>
      </w:tr>
    </w:tbl>
    <w:p w14:paraId="7EDDC020">
      <w:pPr>
        <w:pStyle w:val="42"/>
        <w:jc w:val="center"/>
        <w:outlineLvl w:val="0"/>
        <w:rPr>
          <w:rFonts w:ascii="Times New Roman" w:hAnsi="Times New Roman"/>
          <w:b/>
          <w:snapToGrid w:val="0"/>
          <w:sz w:val="30"/>
          <w:szCs w:val="30"/>
        </w:rPr>
      </w:pPr>
      <w:r>
        <w:rPr>
          <w:rFonts w:ascii="Times New Roman" w:hAnsi="Times New Roman" w:eastAsia="黑体"/>
          <w:snapToGrid w:val="0"/>
          <w:sz w:val="36"/>
          <w:szCs w:val="36"/>
        </w:rPr>
        <w:br w:type="page"/>
      </w:r>
    </w:p>
    <w:p w14:paraId="23A9E879">
      <w:pPr>
        <w:pStyle w:val="42"/>
        <w:jc w:val="center"/>
        <w:outlineLvl w:val="0"/>
        <w:rPr>
          <w:rFonts w:ascii="Times New Roman" w:hAnsi="Times New Roman"/>
          <w:b/>
          <w:snapToGrid w:val="0"/>
          <w:sz w:val="30"/>
          <w:szCs w:val="30"/>
        </w:rPr>
      </w:pPr>
      <w:r>
        <w:rPr>
          <w:rFonts w:ascii="Times New Roman" w:hAnsi="Times New Roman"/>
          <w:b/>
          <w:snapToGrid w:val="0"/>
          <w:sz w:val="30"/>
          <w:szCs w:val="30"/>
        </w:rPr>
        <w:t>四、主要环境影响和保护措施</w:t>
      </w:r>
    </w:p>
    <w:tbl>
      <w:tblPr>
        <w:tblStyle w:val="4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8126"/>
      </w:tblGrid>
      <w:tr w14:paraId="26BA04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30" w:hRule="atLeast"/>
          <w:jc w:val="center"/>
        </w:trPr>
        <w:tc>
          <w:tcPr>
            <w:tcW w:w="699" w:type="dxa"/>
            <w:tcMar>
              <w:left w:w="28" w:type="dxa"/>
              <w:right w:w="28" w:type="dxa"/>
            </w:tcMar>
            <w:vAlign w:val="center"/>
          </w:tcPr>
          <w:p w14:paraId="484832B6">
            <w:pPr>
              <w:pStyle w:val="42"/>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施工</w:t>
            </w:r>
          </w:p>
          <w:p w14:paraId="14CE5845">
            <w:pPr>
              <w:pStyle w:val="42"/>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期环</w:t>
            </w:r>
          </w:p>
          <w:p w14:paraId="4B1D14F9">
            <w:pPr>
              <w:pStyle w:val="42"/>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境保</w:t>
            </w:r>
          </w:p>
          <w:p w14:paraId="35BA805B">
            <w:pPr>
              <w:pStyle w:val="42"/>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护措</w:t>
            </w:r>
          </w:p>
          <w:p w14:paraId="4EDAEC1D">
            <w:pPr>
              <w:pStyle w:val="42"/>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施</w:t>
            </w:r>
          </w:p>
        </w:tc>
        <w:tc>
          <w:tcPr>
            <w:tcW w:w="8126" w:type="dxa"/>
            <w:vAlign w:val="center"/>
          </w:tcPr>
          <w:p w14:paraId="3FA0F232">
            <w:pPr>
              <w:spacing w:line="500" w:lineRule="exact"/>
              <w:ind w:left="-105" w:leftChars="-50" w:firstLine="480" w:firstLineChars="200"/>
              <w:rPr>
                <w:sz w:val="24"/>
              </w:rPr>
            </w:pPr>
            <w:r>
              <w:rPr>
                <w:sz w:val="24"/>
              </w:rPr>
              <w:t>本项目施工期工艺流程及污染环节见图4-1。</w:t>
            </w:r>
          </w:p>
          <w:p w14:paraId="1C7843F4">
            <w:pPr>
              <w:jc w:val="center"/>
              <w:rPr>
                <w:szCs w:val="28"/>
              </w:rPr>
            </w:pPr>
            <w:r>
              <w:rPr>
                <w:szCs w:val="28"/>
              </w:rPr>
              <w:drawing>
                <wp:inline distT="0" distB="0" distL="0" distR="0">
                  <wp:extent cx="4658360" cy="2225040"/>
                  <wp:effectExtent l="0" t="0" r="8890" b="3810"/>
                  <wp:docPr id="9267579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57986" name="图片 1"/>
                          <pic:cNvPicPr>
                            <a:picLocks noChangeAspect="1" noChangeArrowheads="1"/>
                          </pic:cNvPicPr>
                        </pic:nvPicPr>
                        <pic:blipFill>
                          <a:blip r:embed="rId22">
                            <a:extLst>
                              <a:ext uri="{28A0092B-C50C-407E-A947-70E740481C1C}">
                                <a14:useLocalDpi xmlns:a14="http://schemas.microsoft.com/office/drawing/2010/main" val="0"/>
                              </a:ext>
                            </a:extLst>
                          </a:blip>
                          <a:srcRect r="17061" b="13931"/>
                          <a:stretch>
                            <a:fillRect/>
                          </a:stretch>
                        </pic:blipFill>
                        <pic:spPr>
                          <a:xfrm>
                            <a:off x="0" y="0"/>
                            <a:ext cx="4677469" cy="2234460"/>
                          </a:xfrm>
                          <a:prstGeom prst="rect">
                            <a:avLst/>
                          </a:prstGeom>
                          <a:noFill/>
                          <a:ln>
                            <a:noFill/>
                          </a:ln>
                        </pic:spPr>
                      </pic:pic>
                    </a:graphicData>
                  </a:graphic>
                </wp:inline>
              </w:drawing>
            </w:r>
          </w:p>
          <w:p w14:paraId="4CD3AEAC">
            <w:pPr>
              <w:pStyle w:val="2"/>
              <w:jc w:val="center"/>
              <w:rPr>
                <w:b/>
                <w:bCs/>
                <w:sz w:val="24"/>
                <w:szCs w:val="28"/>
              </w:rPr>
            </w:pPr>
            <w:r>
              <w:rPr>
                <w:b/>
                <w:bCs/>
                <w:sz w:val="24"/>
                <w:szCs w:val="28"/>
              </w:rPr>
              <w:t>图4-1 施工期工艺流程及污染环节</w:t>
            </w:r>
          </w:p>
          <w:p w14:paraId="6FE0DDD0">
            <w:pPr>
              <w:pStyle w:val="135"/>
              <w:spacing w:line="480" w:lineRule="exact"/>
              <w:ind w:firstLine="480"/>
              <w:rPr>
                <w:szCs w:val="24"/>
              </w:rPr>
            </w:pPr>
            <w:r>
              <w:rPr>
                <w:szCs w:val="24"/>
              </w:rPr>
              <w:t>本项目在建设阶段由于建设施工，不可避免地对周围环境产生影响。施工期主要污染因子有：施工扬尘、施工废水、噪声、固体废弃物等。</w:t>
            </w:r>
          </w:p>
          <w:p w14:paraId="20AA72E5">
            <w:pPr>
              <w:pStyle w:val="135"/>
              <w:spacing w:line="480" w:lineRule="exact"/>
              <w:ind w:firstLine="480"/>
              <w:rPr>
                <w:szCs w:val="24"/>
              </w:rPr>
            </w:pPr>
            <w:r>
              <w:rPr>
                <w:szCs w:val="24"/>
              </w:rPr>
              <w:t>（1）施工期废气环境影响分析及防治对策</w:t>
            </w:r>
          </w:p>
          <w:p w14:paraId="46067842">
            <w:pPr>
              <w:pStyle w:val="135"/>
              <w:spacing w:line="480" w:lineRule="exact"/>
              <w:ind w:firstLine="480"/>
              <w:rPr>
                <w:szCs w:val="24"/>
              </w:rPr>
            </w:pPr>
            <w:r>
              <w:rPr>
                <w:szCs w:val="24"/>
              </w:rPr>
              <w:t>施工期扬尘主要来源于建筑材料如水泥、白灰、砂子等在其装卸、运输、堆放过程中，因风力作用而产生的扬尘污染；运输车辆往来造成的地面扬尘；施工垃圾在其堆放和清运过程中产生的扬尘；以及施工机械和运输车辆排放的尾气。</w:t>
            </w:r>
          </w:p>
          <w:p w14:paraId="0140573E">
            <w:pPr>
              <w:pStyle w:val="135"/>
              <w:spacing w:line="480" w:lineRule="exact"/>
              <w:ind w:firstLine="480"/>
              <w:rPr>
                <w:szCs w:val="24"/>
              </w:rPr>
            </w:pPr>
            <w:r>
              <w:rPr>
                <w:szCs w:val="24"/>
              </w:rPr>
              <w:t>施工期车辆尾气排放属面源排放，对大气环境的影响范围较小，仅局限在施工现场邻近区域。施工期的扬尘、粉尘污染尤为突出，扬尘和粉尘将对附近的大气环境和周边居民及行人带来不利的影响。在施工过程中，粉尘污染主要来源于：土方的挖掘、堆放、清运、土方回填和场地平整等过程产生的粉尘；建筑材料如水泥、白灰、砂子等在其装卸、运输、堆放过程中，因风力作用将产生扬尘污染；搅拌车辆和运输车辆往来将造成地面扬尘；施工垃圾在其堆放和清运过程中将产生扬尘。</w:t>
            </w:r>
          </w:p>
          <w:p w14:paraId="1C5FA225">
            <w:pPr>
              <w:pStyle w:val="135"/>
              <w:spacing w:line="480" w:lineRule="exact"/>
              <w:ind w:firstLine="480"/>
              <w:rPr>
                <w:szCs w:val="24"/>
              </w:rPr>
            </w:pPr>
            <w:r>
              <w:rPr>
                <w:szCs w:val="24"/>
              </w:rPr>
              <w:t>上述施工过程中产生的废气、粉尘（扬尘）将会造成周围大气环境污染，其中以粉尘的危害较为严重。施工期间产生的粉尘污染主要决定于施工作业方式、材料的堆放及风力等因素，其中受风力因素的影响最大。在一般气象条件下，平均风速为2.5 m/s，建筑工地内TSP浓度为其上风向对照点的2～2.5倍，建筑施工扬尘的影响范围在其下风向可达150 m，影响范围内TSP浓度平均值可达0.49 mg/m</w:t>
            </w:r>
            <w:r>
              <w:rPr>
                <w:szCs w:val="24"/>
                <w:vertAlign w:val="superscript"/>
              </w:rPr>
              <w:t>3</w:t>
            </w:r>
            <w:r>
              <w:rPr>
                <w:szCs w:val="24"/>
              </w:rPr>
              <w:t>。当有围栏时，同等条件下其影响距离可缩短40%。当风速大于5 m/s，施工现场及其下风向部分区域的TSP浓度将超过空气质量标准中的三级标准，而且随着风速的增加，施工扬尘产生的污染程度和超标范围也将随之增强和扩大。</w:t>
            </w:r>
          </w:p>
          <w:p w14:paraId="1BDC16E6">
            <w:pPr>
              <w:pStyle w:val="135"/>
              <w:spacing w:line="480" w:lineRule="exact"/>
              <w:ind w:firstLine="480"/>
              <w:rPr>
                <w:szCs w:val="24"/>
              </w:rPr>
            </w:pPr>
            <w:r>
              <w:rPr>
                <w:szCs w:val="24"/>
              </w:rPr>
              <w:t>由于拟建项目建设周期短，牵涉的范围也较小，且当地的大气扩散条件较好，空气湿润，降雨量大，这在一定程度上可减轻扬尘的影响。但是伴随着土方的挖掘、装卸和运输等施工过程，施工期间可能产生较大的扬尘，将对附近的大气环境和居民、职工生活带来不利的影响。因此必须采取合理可行的控制措施，尽量减轻其污染程度，缩小其影响范围。其主要对策有：</w:t>
            </w:r>
          </w:p>
          <w:p w14:paraId="65673009">
            <w:pPr>
              <w:pStyle w:val="135"/>
              <w:spacing w:line="480" w:lineRule="exact"/>
              <w:ind w:firstLine="480"/>
              <w:rPr>
                <w:szCs w:val="24"/>
              </w:rPr>
            </w:pPr>
            <w:r>
              <w:rPr>
                <w:szCs w:val="24"/>
              </w:rPr>
              <w:t>对施工现场进行科学管理，砂石料应统一堆放，水泥应设专门库房堆放，尽量减少搬运环节，搬运时轻举轻放，防止包装袋破裂。开挖时，对作业面适当喷水，使其保持一定的湿度，以减少扬尘量。而且开挖的泥土应及时运走。谨防运输车辆装载过满，并尽量采取遮盖、密闭措施，减少其沿途抛洒，并及时清扫散落在路面的泥土和灰尘，冲洗轮胎，定时洒水压尘，减少运输过程中的扬尘。</w:t>
            </w:r>
          </w:p>
          <w:p w14:paraId="42AAAD7C">
            <w:pPr>
              <w:pStyle w:val="135"/>
              <w:spacing w:line="480" w:lineRule="exact"/>
              <w:ind w:firstLine="480"/>
              <w:rPr>
                <w:szCs w:val="24"/>
              </w:rPr>
            </w:pPr>
            <w:r>
              <w:rPr>
                <w:szCs w:val="24"/>
              </w:rPr>
              <w:t>现场施工搅拌砂浆、混凝土时应尽量做到不洒、不漏、不剩不倒；混凝土搅拌机应设置在棚内，搅拌时要有喷雾降尘措施。</w:t>
            </w:r>
          </w:p>
          <w:p w14:paraId="28CE58E5">
            <w:pPr>
              <w:pStyle w:val="135"/>
              <w:spacing w:line="480" w:lineRule="exact"/>
              <w:ind w:firstLine="480"/>
              <w:rPr>
                <w:szCs w:val="24"/>
              </w:rPr>
            </w:pPr>
            <w:r>
              <w:rPr>
                <w:szCs w:val="24"/>
              </w:rPr>
              <w:t>施工现场要围栏或部分围栏，减少施工扬尘扩散范围。尽可能减少扬尘附近居民的环境影响，风速过大时应停止施工作业，并对堆放的砂石等建筑材料进行遮盖处理。</w:t>
            </w:r>
          </w:p>
          <w:p w14:paraId="0F3523C8">
            <w:pPr>
              <w:pStyle w:val="135"/>
              <w:spacing w:line="480" w:lineRule="exact"/>
              <w:ind w:firstLine="480"/>
            </w:pPr>
            <w:r>
              <w:t>（2）施工期废水环境影响分析及防治对策</w:t>
            </w:r>
          </w:p>
          <w:p w14:paraId="04AA7A4A">
            <w:pPr>
              <w:pStyle w:val="135"/>
              <w:spacing w:line="480" w:lineRule="exact"/>
              <w:ind w:firstLine="480"/>
            </w:pPr>
            <w:r>
              <w:t>施工过程产生的废水主要有：</w:t>
            </w:r>
          </w:p>
          <w:p w14:paraId="1B221910">
            <w:pPr>
              <w:pStyle w:val="135"/>
              <w:spacing w:line="480" w:lineRule="exact"/>
              <w:ind w:firstLine="480"/>
            </w:pPr>
            <w:r>
              <w:t>a、生产废水</w:t>
            </w:r>
          </w:p>
          <w:p w14:paraId="06284CCA">
            <w:pPr>
              <w:pStyle w:val="135"/>
              <w:spacing w:line="480" w:lineRule="exact"/>
              <w:ind w:firstLine="480"/>
            </w:pPr>
            <w:r>
              <w:t>包括开挖、钻孔产生的泥浆水和各种施工机械设备运转的冷却及洗涤用水。前者含有大量的泥砂，后者则会有一定量的油污。</w:t>
            </w:r>
          </w:p>
          <w:p w14:paraId="531689EB">
            <w:pPr>
              <w:pStyle w:val="135"/>
              <w:spacing w:line="480" w:lineRule="exact"/>
              <w:ind w:firstLine="480"/>
            </w:pPr>
            <w:r>
              <w:t>b、施工现场清洗废水</w:t>
            </w:r>
          </w:p>
          <w:p w14:paraId="22B5E07A">
            <w:pPr>
              <w:pStyle w:val="135"/>
              <w:spacing w:line="480" w:lineRule="exact"/>
              <w:ind w:firstLine="480"/>
            </w:pPr>
            <w:r>
              <w:t>它虽然无大量有毒有害污染物质，但其中可能会含有较多的泥土、砂石和一定的地表油污和化学物品。</w:t>
            </w:r>
          </w:p>
          <w:p w14:paraId="36717593">
            <w:pPr>
              <w:pStyle w:val="135"/>
              <w:spacing w:line="480" w:lineRule="exact"/>
              <w:ind w:firstLine="480"/>
            </w:pPr>
            <w:r>
              <w:t>施工中上述废水量不大，但如果不经处理或处理不当，同样会危害环境。因此，应该注意，施工期废水不应任意直接排放。施工期间，应尽量减少物料流失、散落和溢流现象。施工现场必须建造集水池、沉砂池、排水沟等水处理构筑物，对施工期废污水，应分类收集，按其不同的性质，作相应的处理后排放。此外，施工队伍租用附近民房，生活污水接管至当地市政管网，尽可能减少对周边环境的影响。</w:t>
            </w:r>
          </w:p>
          <w:p w14:paraId="39B8464B">
            <w:pPr>
              <w:pStyle w:val="135"/>
              <w:spacing w:line="480" w:lineRule="exact"/>
              <w:ind w:firstLine="480"/>
            </w:pPr>
            <w:r>
              <w:t>（3）施工期固体废物环境影响分析及防治对策</w:t>
            </w:r>
          </w:p>
          <w:p w14:paraId="6D6D866E">
            <w:pPr>
              <w:pStyle w:val="135"/>
              <w:spacing w:line="480" w:lineRule="exact"/>
              <w:ind w:firstLine="480"/>
            </w:pPr>
            <w:r>
              <w:t>施工期间固体废物主要来自施工所产生的建筑垃圾以及施工人员涌入而产生的生活垃圾，在施工期间也将有一定数量废弃的建筑材料如砂石、石灰、混凝土、木材、废砖、土石方等。施工过程产生的建筑垃圾及时清运，生活垃圾在厂内生活垃圾箱收集，定期由环卫部门清运处理。</w:t>
            </w:r>
          </w:p>
          <w:p w14:paraId="1DCB2C57">
            <w:pPr>
              <w:pStyle w:val="135"/>
              <w:spacing w:line="480" w:lineRule="exact"/>
              <w:ind w:firstLine="480"/>
            </w:pPr>
            <w:r>
              <w:t>施工期间少量涂装和防腐作业过程还产生少量的废包装材料，作为危废，定期委托有资质单位进行处置。</w:t>
            </w:r>
          </w:p>
          <w:p w14:paraId="1670BB2F">
            <w:pPr>
              <w:pStyle w:val="135"/>
              <w:spacing w:line="480" w:lineRule="exact"/>
              <w:ind w:firstLine="480"/>
            </w:pPr>
            <w:r>
              <w:t>采取上述措施后，施工期固体废物产生对环境影响较小。</w:t>
            </w:r>
          </w:p>
          <w:p w14:paraId="7DC9A8AD">
            <w:pPr>
              <w:pStyle w:val="135"/>
              <w:spacing w:line="480" w:lineRule="exact"/>
              <w:ind w:firstLine="480"/>
            </w:pPr>
            <w:r>
              <w:t>（4）施工期噪声环境影响分析及防治对策</w:t>
            </w:r>
          </w:p>
          <w:p w14:paraId="3C58F44D">
            <w:pPr>
              <w:pStyle w:val="135"/>
              <w:spacing w:line="480" w:lineRule="exact"/>
              <w:ind w:firstLine="480"/>
            </w:pPr>
            <w:r>
              <w:t>在施工过程中，由于各种施工机械设备的运转和各类车辆的运行，不可避免地将产生噪声污染。施工中使用地打桩机、挖掘机、推土机、运输车辆等都是噪声的产生源。根据有关资料将主要施工机械的噪声状况列于表4-1中。</w:t>
            </w:r>
          </w:p>
          <w:p w14:paraId="3BA106C3">
            <w:pPr>
              <w:pStyle w:val="256"/>
              <w:jc w:val="center"/>
              <w:rPr>
                <w:rFonts w:ascii="Times New Roman" w:hAnsi="Times New Roman"/>
                <w:b/>
                <w:bCs/>
                <w:sz w:val="24"/>
                <w:szCs w:val="20"/>
              </w:rPr>
            </w:pPr>
            <w:r>
              <w:rPr>
                <w:rFonts w:ascii="Times New Roman" w:hAnsi="Times New Roman"/>
                <w:b/>
                <w:bCs/>
                <w:sz w:val="24"/>
                <w:szCs w:val="20"/>
              </w:rPr>
              <w:t>表4-1  施工机械设备噪声</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57" w:type="dxa"/>
                <w:left w:w="108" w:type="dxa"/>
                <w:bottom w:w="57" w:type="dxa"/>
                <w:right w:w="108" w:type="dxa"/>
              </w:tblCellMar>
            </w:tblPr>
            <w:tblGrid>
              <w:gridCol w:w="2943"/>
              <w:gridCol w:w="4967"/>
            </w:tblGrid>
            <w:tr w14:paraId="50B07F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108" w:type="dxa"/>
                  <w:bottom w:w="57" w:type="dxa"/>
                  <w:right w:w="108" w:type="dxa"/>
                </w:tblCellMar>
              </w:tblPrEx>
              <w:trPr>
                <w:tblHeader/>
              </w:trPr>
              <w:tc>
                <w:tcPr>
                  <w:tcW w:w="1860" w:type="pct"/>
                </w:tcPr>
                <w:p w14:paraId="2B8D4A0C">
                  <w:pPr>
                    <w:pStyle w:val="328"/>
                    <w:rPr>
                      <w:rFonts w:cs="Times New Roman"/>
                    </w:rPr>
                  </w:pPr>
                  <w:r>
                    <w:rPr>
                      <w:rFonts w:cs="Times New Roman"/>
                    </w:rPr>
                    <w:t>施工设备名称</w:t>
                  </w:r>
                </w:p>
              </w:tc>
              <w:tc>
                <w:tcPr>
                  <w:tcW w:w="3140" w:type="pct"/>
                </w:tcPr>
                <w:p w14:paraId="665E74B7">
                  <w:pPr>
                    <w:pStyle w:val="328"/>
                    <w:rPr>
                      <w:rFonts w:cs="Times New Roman"/>
                    </w:rPr>
                  </w:pPr>
                  <w:r>
                    <w:rPr>
                      <w:rFonts w:cs="Times New Roman"/>
                    </w:rPr>
                    <w:t>距设备10米处平均A声级dB（A）</w:t>
                  </w:r>
                </w:p>
              </w:tc>
            </w:tr>
            <w:tr w14:paraId="68D349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108" w:type="dxa"/>
                  <w:bottom w:w="57" w:type="dxa"/>
                  <w:right w:w="108" w:type="dxa"/>
                </w:tblCellMar>
              </w:tblPrEx>
              <w:tc>
                <w:tcPr>
                  <w:tcW w:w="1860" w:type="pct"/>
                </w:tcPr>
                <w:p w14:paraId="1E249859">
                  <w:pPr>
                    <w:pStyle w:val="326"/>
                    <w:rPr>
                      <w:rFonts w:cs="Times New Roman"/>
                    </w:rPr>
                  </w:pPr>
                  <w:r>
                    <w:rPr>
                      <w:rFonts w:cs="Times New Roman"/>
                    </w:rPr>
                    <w:t>打桩机</w:t>
                  </w:r>
                </w:p>
              </w:tc>
              <w:tc>
                <w:tcPr>
                  <w:tcW w:w="3140" w:type="pct"/>
                </w:tcPr>
                <w:p w14:paraId="7CF547E0">
                  <w:pPr>
                    <w:pStyle w:val="326"/>
                    <w:rPr>
                      <w:rFonts w:cs="Times New Roman"/>
                    </w:rPr>
                  </w:pPr>
                  <w:r>
                    <w:rPr>
                      <w:rFonts w:cs="Times New Roman"/>
                    </w:rPr>
                    <w:t>105</w:t>
                  </w:r>
                </w:p>
              </w:tc>
            </w:tr>
            <w:tr w14:paraId="6293E0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108" w:type="dxa"/>
                  <w:bottom w:w="57" w:type="dxa"/>
                  <w:right w:w="108" w:type="dxa"/>
                </w:tblCellMar>
              </w:tblPrEx>
              <w:tc>
                <w:tcPr>
                  <w:tcW w:w="1860" w:type="pct"/>
                </w:tcPr>
                <w:p w14:paraId="0CB38CA0">
                  <w:pPr>
                    <w:pStyle w:val="326"/>
                    <w:rPr>
                      <w:rFonts w:cs="Times New Roman"/>
                    </w:rPr>
                  </w:pPr>
                  <w:r>
                    <w:rPr>
                      <w:rFonts w:cs="Times New Roman"/>
                    </w:rPr>
                    <w:t>挖掘机</w:t>
                  </w:r>
                </w:p>
              </w:tc>
              <w:tc>
                <w:tcPr>
                  <w:tcW w:w="3140" w:type="pct"/>
                </w:tcPr>
                <w:p w14:paraId="5F267CF0">
                  <w:pPr>
                    <w:pStyle w:val="326"/>
                    <w:rPr>
                      <w:rFonts w:cs="Times New Roman"/>
                    </w:rPr>
                  </w:pPr>
                  <w:r>
                    <w:rPr>
                      <w:rFonts w:cs="Times New Roman"/>
                    </w:rPr>
                    <w:t>82</w:t>
                  </w:r>
                </w:p>
              </w:tc>
            </w:tr>
            <w:tr w14:paraId="60396E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108" w:type="dxa"/>
                  <w:bottom w:w="57" w:type="dxa"/>
                  <w:right w:w="108" w:type="dxa"/>
                </w:tblCellMar>
              </w:tblPrEx>
              <w:tc>
                <w:tcPr>
                  <w:tcW w:w="1860" w:type="pct"/>
                </w:tcPr>
                <w:p w14:paraId="5E176144">
                  <w:pPr>
                    <w:pStyle w:val="326"/>
                    <w:rPr>
                      <w:rFonts w:cs="Times New Roman"/>
                    </w:rPr>
                  </w:pPr>
                  <w:r>
                    <w:rPr>
                      <w:rFonts w:cs="Times New Roman"/>
                    </w:rPr>
                    <w:t>推土机</w:t>
                  </w:r>
                </w:p>
              </w:tc>
              <w:tc>
                <w:tcPr>
                  <w:tcW w:w="3140" w:type="pct"/>
                </w:tcPr>
                <w:p w14:paraId="41FB4957">
                  <w:pPr>
                    <w:pStyle w:val="326"/>
                    <w:rPr>
                      <w:rFonts w:cs="Times New Roman"/>
                    </w:rPr>
                  </w:pPr>
                  <w:r>
                    <w:rPr>
                      <w:rFonts w:cs="Times New Roman"/>
                    </w:rPr>
                    <w:t>76</w:t>
                  </w:r>
                </w:p>
              </w:tc>
            </w:tr>
            <w:tr w14:paraId="7636D5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108" w:type="dxa"/>
                  <w:bottom w:w="57" w:type="dxa"/>
                  <w:right w:w="108" w:type="dxa"/>
                </w:tblCellMar>
              </w:tblPrEx>
              <w:tc>
                <w:tcPr>
                  <w:tcW w:w="1860" w:type="pct"/>
                </w:tcPr>
                <w:p w14:paraId="16404564">
                  <w:pPr>
                    <w:pStyle w:val="326"/>
                    <w:rPr>
                      <w:rFonts w:cs="Times New Roman"/>
                    </w:rPr>
                  </w:pPr>
                  <w:r>
                    <w:rPr>
                      <w:rFonts w:cs="Times New Roman"/>
                    </w:rPr>
                    <w:t>起重机</w:t>
                  </w:r>
                </w:p>
              </w:tc>
              <w:tc>
                <w:tcPr>
                  <w:tcW w:w="3140" w:type="pct"/>
                </w:tcPr>
                <w:p w14:paraId="3AB2BE2F">
                  <w:pPr>
                    <w:pStyle w:val="326"/>
                    <w:rPr>
                      <w:rFonts w:cs="Times New Roman"/>
                    </w:rPr>
                  </w:pPr>
                  <w:r>
                    <w:rPr>
                      <w:rFonts w:cs="Times New Roman"/>
                    </w:rPr>
                    <w:t>82</w:t>
                  </w:r>
                </w:p>
              </w:tc>
            </w:tr>
            <w:tr w14:paraId="609EE6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108" w:type="dxa"/>
                  <w:bottom w:w="57" w:type="dxa"/>
                  <w:right w:w="108" w:type="dxa"/>
                </w:tblCellMar>
              </w:tblPrEx>
              <w:tc>
                <w:tcPr>
                  <w:tcW w:w="1860" w:type="pct"/>
                </w:tcPr>
                <w:p w14:paraId="30978A72">
                  <w:pPr>
                    <w:pStyle w:val="326"/>
                    <w:rPr>
                      <w:rFonts w:cs="Times New Roman"/>
                    </w:rPr>
                  </w:pPr>
                  <w:r>
                    <w:rPr>
                      <w:rFonts w:cs="Times New Roman"/>
                    </w:rPr>
                    <w:t>压路机</w:t>
                  </w:r>
                </w:p>
              </w:tc>
              <w:tc>
                <w:tcPr>
                  <w:tcW w:w="3140" w:type="pct"/>
                </w:tcPr>
                <w:p w14:paraId="40A6F8AD">
                  <w:pPr>
                    <w:pStyle w:val="326"/>
                    <w:rPr>
                      <w:rFonts w:cs="Times New Roman"/>
                    </w:rPr>
                  </w:pPr>
                  <w:r>
                    <w:rPr>
                      <w:rFonts w:cs="Times New Roman"/>
                    </w:rPr>
                    <w:t>82</w:t>
                  </w:r>
                </w:p>
              </w:tc>
            </w:tr>
            <w:tr w14:paraId="03369A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108" w:type="dxa"/>
                  <w:bottom w:w="57" w:type="dxa"/>
                  <w:right w:w="108" w:type="dxa"/>
                </w:tblCellMar>
              </w:tblPrEx>
              <w:tc>
                <w:tcPr>
                  <w:tcW w:w="1860" w:type="pct"/>
                </w:tcPr>
                <w:p w14:paraId="4B0569C5">
                  <w:pPr>
                    <w:pStyle w:val="326"/>
                    <w:rPr>
                      <w:rFonts w:cs="Times New Roman"/>
                    </w:rPr>
                  </w:pPr>
                  <w:r>
                    <w:rPr>
                      <w:rFonts w:cs="Times New Roman"/>
                    </w:rPr>
                    <w:t>卡车</w:t>
                  </w:r>
                </w:p>
              </w:tc>
              <w:tc>
                <w:tcPr>
                  <w:tcW w:w="3140" w:type="pct"/>
                </w:tcPr>
                <w:p w14:paraId="29B7975D">
                  <w:pPr>
                    <w:pStyle w:val="326"/>
                    <w:rPr>
                      <w:rFonts w:cs="Times New Roman"/>
                    </w:rPr>
                  </w:pPr>
                  <w:r>
                    <w:rPr>
                      <w:rFonts w:cs="Times New Roman"/>
                    </w:rPr>
                    <w:t>85</w:t>
                  </w:r>
                </w:p>
              </w:tc>
            </w:tr>
          </w:tbl>
          <w:p w14:paraId="60DAF0DE">
            <w:pPr>
              <w:spacing w:line="500" w:lineRule="exact"/>
              <w:ind w:firstLine="482"/>
              <w:rPr>
                <w:sz w:val="24"/>
                <w:szCs w:val="32"/>
              </w:rPr>
            </w:pPr>
            <w:r>
              <w:rPr>
                <w:sz w:val="24"/>
                <w:szCs w:val="32"/>
              </w:rPr>
              <w:t>由表可见，现场施工机械设备噪声很高，在实际施工过程中，往往是各种机械同时工作，各种噪声源辐射的相互迭加，噪声级将会更高，辐射面也会更大。</w:t>
            </w:r>
          </w:p>
          <w:p w14:paraId="4A5754EF">
            <w:pPr>
              <w:spacing w:line="500" w:lineRule="exact"/>
              <w:ind w:firstLine="482"/>
              <w:rPr>
                <w:sz w:val="24"/>
                <w:szCs w:val="32"/>
              </w:rPr>
            </w:pPr>
            <w:r>
              <w:rPr>
                <w:sz w:val="24"/>
                <w:szCs w:val="32"/>
              </w:rPr>
              <w:t>此外，由于进入施工区的公路上流动噪声源增加，还会引起公路沿线两侧地区噪声污染。</w:t>
            </w:r>
          </w:p>
          <w:p w14:paraId="13622EF7">
            <w:pPr>
              <w:spacing w:line="500" w:lineRule="exact"/>
              <w:ind w:firstLine="482"/>
              <w:rPr>
                <w:sz w:val="24"/>
                <w:szCs w:val="32"/>
              </w:rPr>
            </w:pPr>
            <w:r>
              <w:rPr>
                <w:sz w:val="24"/>
                <w:szCs w:val="32"/>
              </w:rPr>
              <w:t>为了减轻本工程施工期噪声的环境影响，可采取以下控制措施：</w:t>
            </w:r>
          </w:p>
          <w:p w14:paraId="38B080EA">
            <w:pPr>
              <w:spacing w:line="500" w:lineRule="exact"/>
              <w:ind w:firstLine="482"/>
              <w:rPr>
                <w:sz w:val="24"/>
                <w:szCs w:val="32"/>
              </w:rPr>
            </w:pPr>
            <w:r>
              <w:rPr>
                <w:sz w:val="24"/>
                <w:szCs w:val="32"/>
              </w:rPr>
              <w:t>（1）加强施工管理，合理安排施工作业时间，禁止夜间进行高噪声施工作业。拆除作业中尽量避免使用爆破手段。</w:t>
            </w:r>
          </w:p>
          <w:p w14:paraId="664E59E9">
            <w:pPr>
              <w:spacing w:line="500" w:lineRule="exact"/>
              <w:ind w:firstLine="482"/>
              <w:rPr>
                <w:sz w:val="24"/>
                <w:szCs w:val="32"/>
              </w:rPr>
            </w:pPr>
            <w:r>
              <w:rPr>
                <w:sz w:val="24"/>
                <w:szCs w:val="32"/>
              </w:rPr>
              <w:t>（2）施工机械应尽可能放置于对厂界外造成影响最小的地点。</w:t>
            </w:r>
          </w:p>
          <w:p w14:paraId="66DC35BB">
            <w:pPr>
              <w:spacing w:line="500" w:lineRule="exact"/>
              <w:ind w:firstLine="482"/>
              <w:rPr>
                <w:sz w:val="24"/>
                <w:szCs w:val="32"/>
              </w:rPr>
            </w:pPr>
            <w:r>
              <w:rPr>
                <w:sz w:val="24"/>
                <w:szCs w:val="32"/>
              </w:rPr>
              <w:t>（3）以液压工具代替气压工具。</w:t>
            </w:r>
          </w:p>
          <w:p w14:paraId="29062AF7">
            <w:pPr>
              <w:spacing w:line="500" w:lineRule="exact"/>
              <w:ind w:firstLine="482"/>
              <w:rPr>
                <w:sz w:val="24"/>
                <w:szCs w:val="32"/>
              </w:rPr>
            </w:pPr>
            <w:r>
              <w:rPr>
                <w:sz w:val="24"/>
                <w:szCs w:val="32"/>
              </w:rPr>
              <w:t>（4）在高噪声设备周围设置掩蔽物。</w:t>
            </w:r>
          </w:p>
          <w:p w14:paraId="6CAB0C03">
            <w:pPr>
              <w:spacing w:line="500" w:lineRule="exact"/>
              <w:ind w:firstLine="482"/>
              <w:rPr>
                <w:sz w:val="24"/>
                <w:szCs w:val="32"/>
              </w:rPr>
            </w:pPr>
            <w:r>
              <w:rPr>
                <w:sz w:val="24"/>
                <w:szCs w:val="32"/>
              </w:rPr>
              <w:t>（5）尽量压缩工区汽车数量与行车密度，控制汽车鸣笛。</w:t>
            </w:r>
          </w:p>
          <w:p w14:paraId="78F8B776">
            <w:pPr>
              <w:spacing w:line="500" w:lineRule="exact"/>
              <w:ind w:firstLine="482"/>
              <w:rPr>
                <w:sz w:val="24"/>
                <w:szCs w:val="32"/>
              </w:rPr>
            </w:pPr>
            <w:r>
              <w:rPr>
                <w:sz w:val="24"/>
                <w:szCs w:val="32"/>
              </w:rPr>
              <w:t>（6）做好劳动保护工作，让在噪声源附近操作的作业人员配戴防护耳塞。</w:t>
            </w:r>
          </w:p>
          <w:p w14:paraId="78A32B1E">
            <w:pPr>
              <w:pStyle w:val="135"/>
              <w:spacing w:line="480" w:lineRule="exact"/>
              <w:ind w:firstLine="480"/>
            </w:pPr>
            <w:r>
              <w:t>在施工前，施工单位应详细编制施工组织计划并建立环境管理制度，要有专人负责施工期间的环境保护工作，对施工中产生的“三废”应作出相应的防治措施及处置方法。环境管理要作到贯彻国家的环保法规标准，建立各项环保管理制度，作到有章可循，科学管理。</w:t>
            </w:r>
          </w:p>
        </w:tc>
      </w:tr>
    </w:tbl>
    <w:p w14:paraId="494A896C">
      <w:pPr>
        <w:adjustRightInd w:val="0"/>
        <w:snapToGrid w:val="0"/>
        <w:jc w:val="center"/>
        <w:rPr>
          <w:bCs/>
          <w:szCs w:val="21"/>
        </w:rPr>
        <w:sectPr>
          <w:pgSz w:w="11907" w:h="16840"/>
          <w:pgMar w:top="1701" w:right="1531" w:bottom="2269" w:left="1531" w:header="851" w:footer="851" w:gutter="0"/>
          <w:cols w:space="720" w:num="1"/>
          <w:docGrid w:linePitch="312" w:charSpace="0"/>
        </w:sectPr>
      </w:pPr>
    </w:p>
    <w:tbl>
      <w:tblPr>
        <w:tblStyle w:val="4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8126"/>
      </w:tblGrid>
      <w:tr w14:paraId="6CED0D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07" w:hRule="atLeast"/>
          <w:jc w:val="center"/>
        </w:trPr>
        <w:tc>
          <w:tcPr>
            <w:tcW w:w="699" w:type="dxa"/>
            <w:tcMar>
              <w:left w:w="28" w:type="dxa"/>
              <w:right w:w="28" w:type="dxa"/>
            </w:tcMar>
            <w:vAlign w:val="center"/>
          </w:tcPr>
          <w:p w14:paraId="4B86CA8D">
            <w:pPr>
              <w:adjustRightInd w:val="0"/>
              <w:snapToGrid w:val="0"/>
              <w:jc w:val="center"/>
              <w:rPr>
                <w:bCs/>
                <w:szCs w:val="21"/>
              </w:rPr>
            </w:pPr>
            <w:r>
              <w:rPr>
                <w:bCs/>
                <w:szCs w:val="21"/>
              </w:rPr>
              <w:t>运营期环境影响和保护措施</w:t>
            </w:r>
          </w:p>
        </w:tc>
        <w:tc>
          <w:tcPr>
            <w:tcW w:w="8126" w:type="dxa"/>
            <w:vAlign w:val="center"/>
          </w:tcPr>
          <w:p w14:paraId="0D1566A8">
            <w:pPr>
              <w:spacing w:line="360" w:lineRule="auto"/>
              <w:ind w:firstLine="482" w:firstLineChars="200"/>
              <w:contextualSpacing/>
              <w:rPr>
                <w:b/>
                <w:bCs/>
                <w:sz w:val="24"/>
              </w:rPr>
            </w:pPr>
            <w:r>
              <w:rPr>
                <w:b/>
                <w:bCs/>
                <w:sz w:val="24"/>
              </w:rPr>
              <w:t>1、废气</w:t>
            </w:r>
          </w:p>
          <w:p w14:paraId="090FEFEF">
            <w:pPr>
              <w:spacing w:line="360" w:lineRule="auto"/>
              <w:ind w:firstLine="482" w:firstLineChars="200"/>
              <w:rPr>
                <w:b/>
                <w:bCs/>
                <w:sz w:val="24"/>
              </w:rPr>
            </w:pPr>
            <w:r>
              <w:rPr>
                <w:b/>
                <w:bCs/>
                <w:sz w:val="24"/>
              </w:rPr>
              <w:t>（1）废气源强</w:t>
            </w:r>
          </w:p>
          <w:p w14:paraId="43746071">
            <w:pPr>
              <w:spacing w:line="360" w:lineRule="auto"/>
              <w:ind w:firstLine="480" w:firstLineChars="200"/>
              <w:rPr>
                <w:sz w:val="24"/>
              </w:rPr>
            </w:pPr>
            <w:bookmarkStart w:id="39" w:name="OLE_LINK20"/>
            <w:r>
              <w:rPr>
                <w:rFonts w:ascii="Cambria Math" w:hAnsi="Cambria Math" w:cs="Cambria Math"/>
                <w:sz w:val="24"/>
              </w:rPr>
              <w:t>①</w:t>
            </w:r>
            <w:r>
              <w:rPr>
                <w:sz w:val="24"/>
              </w:rPr>
              <w:t>POY生产线</w:t>
            </w:r>
          </w:p>
          <w:p w14:paraId="62A4A6DD">
            <w:pPr>
              <w:spacing w:line="360" w:lineRule="auto"/>
              <w:ind w:firstLine="480" w:firstLineChars="200"/>
              <w:rPr>
                <w:sz w:val="24"/>
              </w:rPr>
            </w:pPr>
            <w:r>
              <w:rPr>
                <w:sz w:val="24"/>
              </w:rPr>
              <w:t>涤纶丝在上油、拉伸、卷绕等过程中需要使用油剂，在纺丝中起到润滑和消除静电等作用，POY纺丝油剂的使用量约为5kg/吨产品，由于POY的牵伸在室温进行即可。因此，在车间里随水蒸气挥发的油剂废气G1（二期项目6条生产线油气G1-1、三期项目4条生产线油气G1-2）很少，类比现有项目，约0.04kg/t纺丝油剂进入废气，大部分附着在产品上。其中约95%的油剂经集气抽风装置收集后，由设在各纺丝车间屋顶的静电式油气分离装置处理达标后排放（处理效率约80%）。</w:t>
            </w:r>
          </w:p>
          <w:p w14:paraId="61A267FD">
            <w:pPr>
              <w:spacing w:line="360" w:lineRule="auto"/>
              <w:ind w:firstLine="480" w:firstLineChars="200"/>
              <w:rPr>
                <w:sz w:val="24"/>
              </w:rPr>
            </w:pPr>
            <w:r>
              <w:rPr>
                <w:sz w:val="24"/>
              </w:rPr>
              <w:t>在POY纺丝过程中有废无油丝（S1）和废含油丝（S2）等固体废物产生。</w:t>
            </w:r>
          </w:p>
          <w:p w14:paraId="2E7C50D8">
            <w:pPr>
              <w:spacing w:line="360" w:lineRule="auto"/>
              <w:ind w:firstLine="480" w:firstLineChars="200"/>
              <w:rPr>
                <w:sz w:val="24"/>
              </w:rPr>
            </w:pPr>
            <w:r>
              <w:rPr>
                <w:rFonts w:hint="eastAsia" w:ascii="Cambria Math" w:hAnsi="Cambria Math" w:cs="Cambria Math"/>
                <w:sz w:val="24"/>
              </w:rPr>
              <w:t>②</w:t>
            </w:r>
            <w:r>
              <w:rPr>
                <w:sz w:val="24"/>
              </w:rPr>
              <w:t>FDY生产线</w:t>
            </w:r>
          </w:p>
          <w:p w14:paraId="72363293">
            <w:pPr>
              <w:spacing w:line="360" w:lineRule="auto"/>
              <w:ind w:firstLine="480" w:firstLineChars="200"/>
              <w:rPr>
                <w:sz w:val="24"/>
              </w:rPr>
            </w:pPr>
            <w:r>
              <w:rPr>
                <w:sz w:val="24"/>
              </w:rPr>
              <w:t>涤纶丝在上油、拉伸、卷绕等过程中需要使用油剂，在纺丝中起到润滑和消除静电等作用，FDY纺丝油剂的使用量约为12kg/吨产品，约有0.3kg /吨的FDY纺丝油剂变成纺丝油剂废气G2（二期项目4条生产线的油气G2-1、三期项目4条生产线的油气G2-2），油剂废气经集气抽风装置收集（收集率95%），由设在各纺丝车间屋顶的静电式油气分离装置处理达标后排放（处理效率约80%）。</w:t>
            </w:r>
          </w:p>
          <w:p w14:paraId="243F35E1">
            <w:pPr>
              <w:spacing w:line="360" w:lineRule="auto"/>
              <w:ind w:firstLine="480" w:firstLineChars="200"/>
              <w:rPr>
                <w:sz w:val="24"/>
              </w:rPr>
            </w:pPr>
            <w:r>
              <w:rPr>
                <w:rFonts w:hint="eastAsia" w:ascii="Cambria Math" w:hAnsi="Cambria Math" w:cs="Cambria Math"/>
                <w:sz w:val="24"/>
              </w:rPr>
              <w:t>③</w:t>
            </w:r>
            <w:r>
              <w:rPr>
                <w:sz w:val="24"/>
              </w:rPr>
              <w:t>BEY</w:t>
            </w:r>
          </w:p>
          <w:p w14:paraId="2802B19C">
            <w:pPr>
              <w:spacing w:line="360" w:lineRule="auto"/>
              <w:ind w:firstLine="480" w:firstLineChars="200"/>
              <w:rPr>
                <w:sz w:val="24"/>
              </w:rPr>
            </w:pPr>
            <w:r>
              <w:rPr>
                <w:sz w:val="24"/>
              </w:rPr>
              <w:t>BEY外购原料切片的结晶干燥过程产生的废气G3-1主要为颗粒物，结晶干燥废气。根据项目结晶干燥系统工作原理可知，该系统为仅在预结晶器上部留有出气口用于废气的排放，故针对结晶干燥工段产生的废气，拟在结晶干燥系统出气口设置管道进行收集，收集效率 95%，采用旋风分离器+布袋除尘处理后高空排放，去除率以 99%计。类比同类工程项目（江苏桐昆恒阳化纤有限公司年产 30 万吨循环再生纤维绿色制造工程项目），</w:t>
            </w:r>
            <w:bookmarkStart w:id="40" w:name="OLE_LINK18"/>
            <w:bookmarkStart w:id="41" w:name="OLE_LINK15"/>
            <w:r>
              <w:rPr>
                <w:sz w:val="24"/>
              </w:rPr>
              <w:t>该工序颗粒物产生系数按 0.01kg/t-原料计</w:t>
            </w:r>
            <w:bookmarkEnd w:id="40"/>
            <w:r>
              <w:rPr>
                <w:sz w:val="24"/>
              </w:rPr>
              <w:t>，</w:t>
            </w:r>
            <w:bookmarkEnd w:id="41"/>
            <w:r>
              <w:rPr>
                <w:sz w:val="24"/>
              </w:rPr>
              <w:t>项目G3-1产生量为0.35t/a，有组织产生量为0.33t/a，无组织排放量为0.02t/a。</w:t>
            </w:r>
          </w:p>
          <w:p w14:paraId="0A648258">
            <w:pPr>
              <w:spacing w:line="360" w:lineRule="auto"/>
              <w:ind w:firstLine="480" w:firstLineChars="200"/>
              <w:rPr>
                <w:sz w:val="24"/>
              </w:rPr>
            </w:pPr>
            <w:r>
              <w:rPr>
                <w:sz w:val="24"/>
              </w:rPr>
              <w:t>丝在上油、拉伸、卷绕等过程中需要使用油剂，在纺丝中起到润滑和消除静电等作用，BEY与POY纺丝工艺一致，纺丝油剂的使用量约为5kg/吨产品，由于BEY的牵伸在室温进行即可。因此，在车间里随水蒸气挥发的油剂废气G3-2很少，约0.04kg/t纺丝，大部分附着在产品上。其中约95%的油剂经集气抽风装置收集后，由设在各纺丝车间屋顶的静电式油气分离装置处理达标后排放（处理效率约80%）。</w:t>
            </w:r>
          </w:p>
          <w:p w14:paraId="4CE9272F">
            <w:pPr>
              <w:spacing w:line="360" w:lineRule="auto"/>
              <w:ind w:firstLine="480" w:firstLineChars="200"/>
              <w:rPr>
                <w:sz w:val="24"/>
              </w:rPr>
            </w:pPr>
            <w:r>
              <w:rPr>
                <w:sz w:val="24"/>
              </w:rPr>
              <w:t>在BEY纺丝过程中有废无油丝（S1）和废含油丝（S2）等固体废物产生。</w:t>
            </w:r>
          </w:p>
          <w:p w14:paraId="27911F46">
            <w:pPr>
              <w:spacing w:line="360" w:lineRule="auto"/>
              <w:ind w:firstLine="480" w:firstLineChars="200"/>
              <w:rPr>
                <w:sz w:val="24"/>
              </w:rPr>
            </w:pPr>
            <w:r>
              <w:rPr>
                <w:rFonts w:ascii="Cambria Math" w:hAnsi="Cambria Math" w:cs="Cambria Math"/>
                <w:sz w:val="24"/>
              </w:rPr>
              <w:t>④</w:t>
            </w:r>
            <w:r>
              <w:rPr>
                <w:sz w:val="24"/>
              </w:rPr>
              <w:t>涤锦生产线</w:t>
            </w:r>
          </w:p>
          <w:p w14:paraId="05699B2C">
            <w:pPr>
              <w:spacing w:line="360" w:lineRule="auto"/>
              <w:ind w:firstLine="480" w:firstLineChars="200"/>
              <w:rPr>
                <w:sz w:val="24"/>
              </w:rPr>
            </w:pPr>
            <w:r>
              <w:rPr>
                <w:sz w:val="24"/>
              </w:rPr>
              <w:t>涤锦外购原料切片的结晶干燥过程产生的废气G4-1主要为颗粒物，结晶干燥废气。根据项目结晶干燥系统工作原理可知，该系统为仅在预结晶器上部留有出气口用于废气的排放，故针对结晶干燥工段产生的废气，拟在结晶干燥系统出气口设置管道进行收集，收集效率 95%，采用旋风分离器+布袋除尘处理后高空排放，去除率以 99%计。类比同类工程项目（江苏桐昆恒阳化纤有限公司年产 30 万吨循环再生纤维绿色制造工程项目），该工序颗粒物产生系数按 0.01kg/t-原料计，项目G4-1产生量为0.4t/a，有组织产生量为0.38t/a，无组织排放量为0.02t/a。</w:t>
            </w:r>
          </w:p>
          <w:p w14:paraId="3F729930">
            <w:pPr>
              <w:spacing w:line="360" w:lineRule="auto"/>
              <w:ind w:firstLine="480" w:firstLineChars="200"/>
              <w:rPr>
                <w:sz w:val="24"/>
              </w:rPr>
            </w:pPr>
            <w:r>
              <w:rPr>
                <w:sz w:val="24"/>
              </w:rPr>
              <w:t>丝在上油、拉伸、卷绕等过程中需要使用油剂，在纺丝中起到润滑和消除静电等作用，涤锦与POY、BEY纺丝工艺一致，纺丝油剂的使用量约为5kg/吨产品，由于涤锦的牵伸在室温进行即可。因此，在车间里随水蒸气挥发的油剂废气G4-2很少，约0.04kg/t纺丝，大部分附着在产品上。其中约95%的油剂经集气抽风装置收集后，由设在各纺丝车间屋顶的静电式油气分离装置处理达标后排放（处理效率约80%）。</w:t>
            </w:r>
          </w:p>
          <w:bookmarkEnd w:id="39"/>
          <w:p w14:paraId="2A6B94BD">
            <w:pPr>
              <w:spacing w:line="360" w:lineRule="auto"/>
              <w:ind w:firstLine="480" w:firstLineChars="200"/>
              <w:rPr>
                <w:sz w:val="24"/>
              </w:rPr>
            </w:pPr>
            <w:r>
              <w:rPr>
                <w:sz w:val="24"/>
              </w:rPr>
              <w:t>在涤锦纺丝过程中有废无油丝（S1）和废含油丝（S2）等固体废物产生。</w:t>
            </w:r>
          </w:p>
          <w:p w14:paraId="7C35E961">
            <w:pPr>
              <w:spacing w:line="360" w:lineRule="auto"/>
              <w:ind w:firstLine="480" w:firstLineChars="200"/>
              <w:rPr>
                <w:sz w:val="24"/>
              </w:rPr>
            </w:pPr>
            <w:r>
              <w:rPr>
                <w:rFonts w:hint="eastAsia" w:ascii="Cambria Math" w:hAnsi="Cambria Math" w:cs="Cambria Math"/>
                <w:sz w:val="24"/>
              </w:rPr>
              <w:t>⑤</w:t>
            </w:r>
            <w:r>
              <w:rPr>
                <w:sz w:val="24"/>
              </w:rPr>
              <w:t>废丝回收生产线</w:t>
            </w:r>
          </w:p>
          <w:p w14:paraId="3B471C75">
            <w:pPr>
              <w:spacing w:line="360" w:lineRule="auto"/>
              <w:ind w:firstLine="480" w:firstLineChars="200"/>
              <w:rPr>
                <w:sz w:val="24"/>
              </w:rPr>
            </w:pPr>
            <w:r>
              <w:rPr>
                <w:sz w:val="24"/>
              </w:rPr>
              <w:t>本项目新增废丝回收生产线（2*1.2万吨/年），废丝上残留的纺丝油留纺丝油在热塑化情况下产生少量油雾，根据建设单位提供资料，回收废丝中含纺丝油在0.5%~1.5%之间，结合废丝组成，本环评以0.5%计，类比同类工程（张家港市创远环境科技有限公司涤纶废丝回收加工 3000 吨扩建项目），50%在摩擦聚粒成型工序受热挥发油雾废气，本项目单条线产能为1.2万吨/年，油雾废气G3（非甲烷总烃）产生量为12000×0.5%×50%=30（t），经密闭收集后处理</w:t>
            </w:r>
            <w:r>
              <w:rPr>
                <w:rFonts w:hint="eastAsia"/>
                <w:sz w:val="24"/>
              </w:rPr>
              <w:t>，收集效率按照95%计</w:t>
            </w:r>
            <w:r>
              <w:rPr>
                <w:sz w:val="24"/>
              </w:rPr>
              <w:t>。此外，摩擦过程中会产生少量粉尘，粉尘产生量按照1‰计，粉尘产生量约为6（t），两条线分别经1套油烟净化器处理达标后，经各自的1根26m高排气筒排放。</w:t>
            </w:r>
          </w:p>
          <w:p w14:paraId="321B95D6">
            <w:pPr>
              <w:spacing w:line="360" w:lineRule="auto"/>
              <w:ind w:firstLine="480" w:firstLineChars="200"/>
              <w:rPr>
                <w:sz w:val="24"/>
              </w:rPr>
            </w:pPr>
            <w:r>
              <w:rPr>
                <w:sz w:val="24"/>
              </w:rPr>
              <w:t>项目废气收集处理流程图见下。</w:t>
            </w:r>
          </w:p>
          <w:p w14:paraId="67500AB5">
            <w:pPr>
              <w:pStyle w:val="2"/>
              <w:jc w:val="center"/>
            </w:pPr>
            <w:r>
              <w:drawing>
                <wp:inline distT="0" distB="0" distL="0" distR="0">
                  <wp:extent cx="3952875" cy="4266565"/>
                  <wp:effectExtent l="0" t="0" r="0" b="635"/>
                  <wp:docPr id="12005947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94763"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966409" cy="4281620"/>
                          </a:xfrm>
                          <a:prstGeom prst="rect">
                            <a:avLst/>
                          </a:prstGeom>
                          <a:noFill/>
                          <a:ln>
                            <a:noFill/>
                          </a:ln>
                        </pic:spPr>
                      </pic:pic>
                    </a:graphicData>
                  </a:graphic>
                </wp:inline>
              </w:drawing>
            </w:r>
          </w:p>
          <w:p w14:paraId="04B7A50A">
            <w:pPr>
              <w:adjustRightInd w:val="0"/>
              <w:snapToGrid w:val="0"/>
              <w:spacing w:line="500" w:lineRule="exact"/>
              <w:jc w:val="center"/>
              <w:rPr>
                <w:b/>
                <w:bCs/>
                <w:sz w:val="24"/>
                <w:szCs w:val="32"/>
              </w:rPr>
            </w:pPr>
            <w:r>
              <w:rPr>
                <w:b/>
                <w:bCs/>
                <w:sz w:val="24"/>
                <w:szCs w:val="32"/>
              </w:rPr>
              <w:t>图4-1 项目废气收集处理流程图</w:t>
            </w:r>
          </w:p>
          <w:p w14:paraId="14431799">
            <w:pPr>
              <w:spacing w:line="500" w:lineRule="exact"/>
              <w:ind w:firstLine="480" w:firstLineChars="200"/>
              <w:rPr>
                <w:sz w:val="24"/>
              </w:rPr>
            </w:pPr>
            <w:bookmarkStart w:id="42" w:name="OLE_LINK29"/>
            <w:r>
              <w:rPr>
                <w:sz w:val="24"/>
              </w:rPr>
              <w:t>项目有组织废气排放汇总情况见下表。</w:t>
            </w:r>
            <w:bookmarkEnd w:id="42"/>
          </w:p>
        </w:tc>
      </w:tr>
    </w:tbl>
    <w:p w14:paraId="5D297F1E">
      <w:pPr>
        <w:adjustRightInd w:val="0"/>
        <w:snapToGrid w:val="0"/>
        <w:jc w:val="center"/>
        <w:rPr>
          <w:bCs/>
          <w:szCs w:val="21"/>
        </w:rPr>
      </w:pPr>
    </w:p>
    <w:p w14:paraId="1BFE7E70">
      <w:pPr>
        <w:adjustRightInd w:val="0"/>
        <w:snapToGrid w:val="0"/>
        <w:jc w:val="center"/>
        <w:rPr>
          <w:bCs/>
          <w:szCs w:val="21"/>
        </w:rPr>
      </w:pPr>
    </w:p>
    <w:p w14:paraId="0D454EAE">
      <w:pPr>
        <w:adjustRightInd w:val="0"/>
        <w:snapToGrid w:val="0"/>
        <w:jc w:val="center"/>
        <w:rPr>
          <w:bCs/>
          <w:szCs w:val="21"/>
        </w:rPr>
        <w:sectPr>
          <w:pgSz w:w="11907" w:h="16840"/>
          <w:pgMar w:top="1701" w:right="1531" w:bottom="2269" w:left="1531" w:header="851" w:footer="851" w:gutter="0"/>
          <w:cols w:space="720" w:num="1"/>
          <w:docGrid w:linePitch="312" w:charSpace="0"/>
        </w:sectPr>
      </w:pPr>
    </w:p>
    <w:p w14:paraId="36E82155">
      <w:pPr>
        <w:adjustRightInd w:val="0"/>
        <w:snapToGrid w:val="0"/>
        <w:jc w:val="center"/>
        <w:rPr>
          <w:bCs/>
          <w:szCs w:val="21"/>
        </w:rPr>
      </w:pPr>
    </w:p>
    <w:tbl>
      <w:tblPr>
        <w:tblStyle w:val="47"/>
        <w:tblW w:w="124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86"/>
      </w:tblGrid>
      <w:tr w14:paraId="6301D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1" w:hRule="atLeast"/>
        </w:trPr>
        <w:tc>
          <w:tcPr>
            <w:tcW w:w="12469" w:type="dxa"/>
          </w:tcPr>
          <w:p w14:paraId="02539598">
            <w:pPr>
              <w:adjustRightInd w:val="0"/>
              <w:snapToGrid w:val="0"/>
              <w:jc w:val="center"/>
              <w:outlineLvl w:val="0"/>
              <w:rPr>
                <w:b/>
                <w:bCs/>
                <w:sz w:val="24"/>
              </w:rPr>
            </w:pPr>
            <w:r>
              <w:rPr>
                <w:b/>
                <w:bCs/>
                <w:sz w:val="24"/>
              </w:rPr>
              <w:t>表4-2 有组织废气源强核算汇总表</w:t>
            </w:r>
          </w:p>
          <w:tbl>
            <w:tblPr>
              <w:tblStyle w:val="4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5"/>
              <w:gridCol w:w="732"/>
              <w:gridCol w:w="663"/>
              <w:gridCol w:w="752"/>
              <w:gridCol w:w="618"/>
              <w:gridCol w:w="555"/>
              <w:gridCol w:w="711"/>
              <w:gridCol w:w="575"/>
              <w:gridCol w:w="630"/>
              <w:gridCol w:w="575"/>
              <w:gridCol w:w="496"/>
              <w:gridCol w:w="618"/>
              <w:gridCol w:w="708"/>
              <w:gridCol w:w="713"/>
              <w:gridCol w:w="565"/>
              <w:gridCol w:w="769"/>
              <w:gridCol w:w="769"/>
              <w:gridCol w:w="576"/>
              <w:gridCol w:w="742"/>
              <w:gridCol w:w="708"/>
            </w:tblGrid>
            <w:tr w14:paraId="0ECA1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7" w:type="dxa"/>
                  <w:vMerge w:val="restart"/>
                  <w:shd w:val="clear" w:color="auto" w:fill="auto"/>
                  <w:noWrap/>
                  <w:vAlign w:val="center"/>
                </w:tcPr>
                <w:p w14:paraId="5B9EA848">
                  <w:pPr>
                    <w:widowControl/>
                    <w:jc w:val="center"/>
                    <w:rPr>
                      <w:rFonts w:eastAsiaTheme="majorEastAsia"/>
                      <w:b/>
                      <w:bCs/>
                      <w:kern w:val="0"/>
                      <w:sz w:val="18"/>
                      <w:szCs w:val="18"/>
                    </w:rPr>
                  </w:pPr>
                  <w:r>
                    <w:rPr>
                      <w:rFonts w:eastAsiaTheme="majorEastAsia"/>
                      <w:b/>
                      <w:bCs/>
                      <w:kern w:val="0"/>
                      <w:sz w:val="18"/>
                      <w:szCs w:val="18"/>
                    </w:rPr>
                    <w:t>项目分期</w:t>
                  </w:r>
                </w:p>
              </w:tc>
              <w:tc>
                <w:tcPr>
                  <w:tcW w:w="723" w:type="dxa"/>
                  <w:vMerge w:val="restart"/>
                  <w:shd w:val="clear" w:color="auto" w:fill="auto"/>
                  <w:noWrap/>
                  <w:vAlign w:val="center"/>
                </w:tcPr>
                <w:p w14:paraId="70AAB79C">
                  <w:pPr>
                    <w:widowControl/>
                    <w:jc w:val="center"/>
                    <w:rPr>
                      <w:rFonts w:eastAsiaTheme="majorEastAsia"/>
                      <w:b/>
                      <w:bCs/>
                      <w:kern w:val="0"/>
                      <w:sz w:val="18"/>
                      <w:szCs w:val="18"/>
                    </w:rPr>
                  </w:pPr>
                  <w:r>
                    <w:rPr>
                      <w:rFonts w:eastAsiaTheme="majorEastAsia"/>
                      <w:b/>
                      <w:bCs/>
                      <w:kern w:val="0"/>
                      <w:sz w:val="18"/>
                      <w:szCs w:val="18"/>
                    </w:rPr>
                    <w:t>污染源</w:t>
                  </w:r>
                </w:p>
              </w:tc>
              <w:tc>
                <w:tcPr>
                  <w:tcW w:w="0" w:type="auto"/>
                  <w:vMerge w:val="restart"/>
                  <w:shd w:val="clear" w:color="auto" w:fill="auto"/>
                  <w:vAlign w:val="center"/>
                </w:tcPr>
                <w:p w14:paraId="6052CA44">
                  <w:pPr>
                    <w:widowControl/>
                    <w:jc w:val="center"/>
                    <w:rPr>
                      <w:rFonts w:eastAsiaTheme="majorEastAsia"/>
                      <w:b/>
                      <w:bCs/>
                      <w:kern w:val="0"/>
                      <w:sz w:val="18"/>
                      <w:szCs w:val="18"/>
                    </w:rPr>
                  </w:pPr>
                  <w:r>
                    <w:rPr>
                      <w:rFonts w:eastAsiaTheme="majorEastAsia"/>
                      <w:b/>
                      <w:bCs/>
                      <w:kern w:val="0"/>
                      <w:sz w:val="18"/>
                      <w:szCs w:val="18"/>
                    </w:rPr>
                    <w:t>废气量m</w:t>
                  </w:r>
                  <w:r>
                    <w:rPr>
                      <w:rFonts w:eastAsiaTheme="majorEastAsia"/>
                      <w:b/>
                      <w:bCs/>
                      <w:kern w:val="0"/>
                      <w:sz w:val="18"/>
                      <w:szCs w:val="18"/>
                      <w:vertAlign w:val="superscript"/>
                    </w:rPr>
                    <w:t>3</w:t>
                  </w:r>
                  <w:r>
                    <w:rPr>
                      <w:rFonts w:eastAsiaTheme="majorEastAsia"/>
                      <w:b/>
                      <w:bCs/>
                      <w:kern w:val="0"/>
                      <w:sz w:val="18"/>
                      <w:szCs w:val="18"/>
                    </w:rPr>
                    <w:t>/h</w:t>
                  </w:r>
                </w:p>
              </w:tc>
              <w:tc>
                <w:tcPr>
                  <w:tcW w:w="0" w:type="auto"/>
                  <w:vMerge w:val="restart"/>
                  <w:shd w:val="clear" w:color="auto" w:fill="auto"/>
                  <w:vAlign w:val="center"/>
                </w:tcPr>
                <w:p w14:paraId="63267070">
                  <w:pPr>
                    <w:widowControl/>
                    <w:jc w:val="center"/>
                    <w:rPr>
                      <w:rFonts w:eastAsiaTheme="majorEastAsia"/>
                      <w:b/>
                      <w:bCs/>
                      <w:kern w:val="0"/>
                      <w:sz w:val="18"/>
                      <w:szCs w:val="18"/>
                    </w:rPr>
                  </w:pPr>
                  <w:r>
                    <w:rPr>
                      <w:rFonts w:eastAsiaTheme="majorEastAsia"/>
                      <w:b/>
                      <w:bCs/>
                      <w:kern w:val="0"/>
                      <w:sz w:val="18"/>
                      <w:szCs w:val="18"/>
                    </w:rPr>
                    <w:t>污染物名称</w:t>
                  </w:r>
                </w:p>
              </w:tc>
              <w:tc>
                <w:tcPr>
                  <w:tcW w:w="0" w:type="auto"/>
                  <w:gridSpan w:val="3"/>
                  <w:shd w:val="clear" w:color="auto" w:fill="auto"/>
                  <w:noWrap/>
                  <w:vAlign w:val="center"/>
                </w:tcPr>
                <w:p w14:paraId="54B45B71">
                  <w:pPr>
                    <w:widowControl/>
                    <w:jc w:val="center"/>
                    <w:rPr>
                      <w:rFonts w:eastAsiaTheme="majorEastAsia"/>
                      <w:b/>
                      <w:bCs/>
                      <w:kern w:val="0"/>
                      <w:sz w:val="18"/>
                      <w:szCs w:val="18"/>
                    </w:rPr>
                  </w:pPr>
                  <w:r>
                    <w:rPr>
                      <w:rFonts w:eastAsiaTheme="majorEastAsia"/>
                      <w:b/>
                      <w:bCs/>
                      <w:kern w:val="0"/>
                      <w:sz w:val="18"/>
                      <w:szCs w:val="18"/>
                    </w:rPr>
                    <w:t>产生情况</w:t>
                  </w:r>
                </w:p>
              </w:tc>
              <w:tc>
                <w:tcPr>
                  <w:tcW w:w="406" w:type="dxa"/>
                  <w:vMerge w:val="restart"/>
                  <w:shd w:val="clear" w:color="auto" w:fill="auto"/>
                  <w:vAlign w:val="center"/>
                </w:tcPr>
                <w:p w14:paraId="2624E754">
                  <w:pPr>
                    <w:widowControl/>
                    <w:jc w:val="center"/>
                    <w:rPr>
                      <w:rFonts w:eastAsiaTheme="majorEastAsia"/>
                      <w:b/>
                      <w:bCs/>
                      <w:kern w:val="0"/>
                      <w:sz w:val="18"/>
                      <w:szCs w:val="18"/>
                    </w:rPr>
                  </w:pPr>
                  <w:r>
                    <w:rPr>
                      <w:rFonts w:eastAsiaTheme="majorEastAsia"/>
                      <w:b/>
                      <w:bCs/>
                      <w:kern w:val="0"/>
                      <w:sz w:val="18"/>
                      <w:szCs w:val="18"/>
                    </w:rPr>
                    <w:t>收集效率%</w:t>
                  </w:r>
                </w:p>
              </w:tc>
              <w:tc>
                <w:tcPr>
                  <w:tcW w:w="633" w:type="dxa"/>
                  <w:vMerge w:val="restart"/>
                  <w:shd w:val="clear" w:color="auto" w:fill="auto"/>
                  <w:vAlign w:val="center"/>
                </w:tcPr>
                <w:p w14:paraId="70CB3CDB">
                  <w:pPr>
                    <w:widowControl/>
                    <w:jc w:val="center"/>
                    <w:rPr>
                      <w:rFonts w:eastAsiaTheme="majorEastAsia"/>
                      <w:b/>
                      <w:bCs/>
                      <w:kern w:val="0"/>
                      <w:sz w:val="18"/>
                      <w:szCs w:val="18"/>
                    </w:rPr>
                  </w:pPr>
                  <w:r>
                    <w:rPr>
                      <w:rFonts w:eastAsiaTheme="majorEastAsia"/>
                      <w:b/>
                      <w:bCs/>
                      <w:kern w:val="0"/>
                      <w:sz w:val="18"/>
                      <w:szCs w:val="18"/>
                    </w:rPr>
                    <w:t>处理措施</w:t>
                  </w:r>
                </w:p>
              </w:tc>
              <w:tc>
                <w:tcPr>
                  <w:tcW w:w="427" w:type="dxa"/>
                  <w:vMerge w:val="restart"/>
                  <w:shd w:val="clear" w:color="auto" w:fill="auto"/>
                  <w:vAlign w:val="center"/>
                </w:tcPr>
                <w:p w14:paraId="3FEA985E">
                  <w:pPr>
                    <w:widowControl/>
                    <w:jc w:val="center"/>
                    <w:rPr>
                      <w:rFonts w:eastAsiaTheme="majorEastAsia"/>
                      <w:b/>
                      <w:bCs/>
                      <w:kern w:val="0"/>
                      <w:sz w:val="18"/>
                      <w:szCs w:val="18"/>
                    </w:rPr>
                  </w:pPr>
                  <w:r>
                    <w:rPr>
                      <w:rFonts w:eastAsiaTheme="majorEastAsia"/>
                      <w:b/>
                      <w:bCs/>
                      <w:kern w:val="0"/>
                      <w:sz w:val="18"/>
                      <w:szCs w:val="18"/>
                    </w:rPr>
                    <w:t>处理效率%</w:t>
                  </w:r>
                </w:p>
              </w:tc>
              <w:tc>
                <w:tcPr>
                  <w:tcW w:w="498" w:type="dxa"/>
                  <w:vMerge w:val="restart"/>
                  <w:shd w:val="clear" w:color="auto" w:fill="auto"/>
                  <w:noWrap/>
                  <w:vAlign w:val="center"/>
                </w:tcPr>
                <w:p w14:paraId="25E41CE6">
                  <w:pPr>
                    <w:widowControl/>
                    <w:jc w:val="center"/>
                    <w:rPr>
                      <w:rFonts w:eastAsiaTheme="majorEastAsia"/>
                      <w:b/>
                      <w:bCs/>
                      <w:kern w:val="0"/>
                      <w:sz w:val="18"/>
                      <w:szCs w:val="18"/>
                    </w:rPr>
                  </w:pPr>
                  <w:r>
                    <w:rPr>
                      <w:rFonts w:eastAsiaTheme="majorEastAsia"/>
                      <w:b/>
                      <w:bCs/>
                      <w:kern w:val="0"/>
                      <w:sz w:val="18"/>
                      <w:szCs w:val="18"/>
                    </w:rPr>
                    <w:t>是否可行</w:t>
                  </w:r>
                </w:p>
              </w:tc>
              <w:tc>
                <w:tcPr>
                  <w:tcW w:w="1804" w:type="dxa"/>
                  <w:gridSpan w:val="3"/>
                  <w:shd w:val="clear" w:color="auto" w:fill="auto"/>
                  <w:noWrap/>
                  <w:vAlign w:val="center"/>
                </w:tcPr>
                <w:p w14:paraId="3B3579B9">
                  <w:pPr>
                    <w:widowControl/>
                    <w:jc w:val="center"/>
                    <w:rPr>
                      <w:rFonts w:eastAsiaTheme="majorEastAsia"/>
                      <w:b/>
                      <w:bCs/>
                      <w:kern w:val="0"/>
                      <w:sz w:val="18"/>
                      <w:szCs w:val="18"/>
                    </w:rPr>
                  </w:pPr>
                  <w:r>
                    <w:rPr>
                      <w:rFonts w:eastAsiaTheme="majorEastAsia"/>
                      <w:b/>
                      <w:bCs/>
                      <w:kern w:val="0"/>
                      <w:sz w:val="18"/>
                      <w:szCs w:val="18"/>
                    </w:rPr>
                    <w:t>排放情况</w:t>
                  </w:r>
                </w:p>
              </w:tc>
              <w:tc>
                <w:tcPr>
                  <w:tcW w:w="2691" w:type="dxa"/>
                  <w:gridSpan w:val="4"/>
                  <w:shd w:val="clear" w:color="auto" w:fill="auto"/>
                  <w:noWrap/>
                  <w:vAlign w:val="center"/>
                </w:tcPr>
                <w:p w14:paraId="0D8B83B4">
                  <w:pPr>
                    <w:widowControl/>
                    <w:jc w:val="center"/>
                    <w:rPr>
                      <w:rFonts w:eastAsiaTheme="majorEastAsia"/>
                      <w:b/>
                      <w:bCs/>
                      <w:kern w:val="0"/>
                      <w:sz w:val="18"/>
                      <w:szCs w:val="18"/>
                    </w:rPr>
                  </w:pPr>
                  <w:r>
                    <w:rPr>
                      <w:rFonts w:eastAsiaTheme="majorEastAsia"/>
                      <w:b/>
                      <w:bCs/>
                      <w:kern w:val="0"/>
                      <w:sz w:val="18"/>
                      <w:szCs w:val="18"/>
                    </w:rPr>
                    <w:t>排放口基本情况</w:t>
                  </w:r>
                </w:p>
              </w:tc>
              <w:tc>
                <w:tcPr>
                  <w:tcW w:w="0" w:type="auto"/>
                  <w:vMerge w:val="restart"/>
                  <w:shd w:val="clear" w:color="auto" w:fill="auto"/>
                  <w:vAlign w:val="center"/>
                </w:tcPr>
                <w:p w14:paraId="3C484D88">
                  <w:pPr>
                    <w:widowControl/>
                    <w:jc w:val="center"/>
                    <w:rPr>
                      <w:rFonts w:eastAsiaTheme="majorEastAsia"/>
                      <w:b/>
                      <w:bCs/>
                      <w:kern w:val="0"/>
                      <w:sz w:val="18"/>
                      <w:szCs w:val="18"/>
                    </w:rPr>
                  </w:pPr>
                  <w:r>
                    <w:rPr>
                      <w:rFonts w:eastAsiaTheme="majorEastAsia"/>
                      <w:b/>
                      <w:bCs/>
                      <w:kern w:val="0"/>
                      <w:sz w:val="18"/>
                      <w:szCs w:val="18"/>
                    </w:rPr>
                    <w:t>排气筒编号</w:t>
                  </w:r>
                </w:p>
              </w:tc>
              <w:tc>
                <w:tcPr>
                  <w:tcW w:w="0" w:type="auto"/>
                  <w:vMerge w:val="restart"/>
                  <w:shd w:val="clear" w:color="auto" w:fill="auto"/>
                  <w:noWrap/>
                  <w:vAlign w:val="center"/>
                </w:tcPr>
                <w:p w14:paraId="3CD33CA3">
                  <w:pPr>
                    <w:widowControl/>
                    <w:jc w:val="center"/>
                    <w:rPr>
                      <w:rFonts w:eastAsiaTheme="majorEastAsia"/>
                      <w:b/>
                      <w:bCs/>
                      <w:kern w:val="0"/>
                      <w:sz w:val="18"/>
                      <w:szCs w:val="18"/>
                    </w:rPr>
                  </w:pPr>
                  <w:r>
                    <w:rPr>
                      <w:rFonts w:eastAsiaTheme="majorEastAsia"/>
                      <w:b/>
                      <w:bCs/>
                      <w:kern w:val="0"/>
                      <w:sz w:val="18"/>
                      <w:szCs w:val="18"/>
                    </w:rPr>
                    <w:t>备注</w:t>
                  </w:r>
                </w:p>
              </w:tc>
            </w:tr>
            <w:tr w14:paraId="0DDA4A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7" w:type="dxa"/>
                  <w:vMerge w:val="continue"/>
                  <w:vAlign w:val="center"/>
                </w:tcPr>
                <w:p w14:paraId="7A0A6917">
                  <w:pPr>
                    <w:widowControl/>
                    <w:jc w:val="left"/>
                    <w:rPr>
                      <w:rFonts w:eastAsiaTheme="majorEastAsia"/>
                      <w:kern w:val="0"/>
                      <w:sz w:val="18"/>
                      <w:szCs w:val="18"/>
                    </w:rPr>
                  </w:pPr>
                </w:p>
              </w:tc>
              <w:tc>
                <w:tcPr>
                  <w:tcW w:w="723" w:type="dxa"/>
                  <w:vMerge w:val="continue"/>
                  <w:vAlign w:val="center"/>
                </w:tcPr>
                <w:p w14:paraId="7C6E8F89">
                  <w:pPr>
                    <w:widowControl/>
                    <w:jc w:val="left"/>
                    <w:rPr>
                      <w:rFonts w:eastAsiaTheme="majorEastAsia"/>
                      <w:kern w:val="0"/>
                      <w:sz w:val="18"/>
                      <w:szCs w:val="18"/>
                    </w:rPr>
                  </w:pPr>
                </w:p>
              </w:tc>
              <w:tc>
                <w:tcPr>
                  <w:tcW w:w="0" w:type="auto"/>
                  <w:vMerge w:val="continue"/>
                  <w:vAlign w:val="center"/>
                </w:tcPr>
                <w:p w14:paraId="38858876">
                  <w:pPr>
                    <w:widowControl/>
                    <w:jc w:val="left"/>
                    <w:rPr>
                      <w:rFonts w:eastAsiaTheme="majorEastAsia"/>
                      <w:kern w:val="0"/>
                      <w:sz w:val="18"/>
                      <w:szCs w:val="18"/>
                    </w:rPr>
                  </w:pPr>
                </w:p>
              </w:tc>
              <w:tc>
                <w:tcPr>
                  <w:tcW w:w="0" w:type="auto"/>
                  <w:vMerge w:val="continue"/>
                  <w:vAlign w:val="center"/>
                </w:tcPr>
                <w:p w14:paraId="75D0DCEC">
                  <w:pPr>
                    <w:widowControl/>
                    <w:jc w:val="left"/>
                    <w:rPr>
                      <w:rFonts w:eastAsiaTheme="majorEastAsia"/>
                      <w:kern w:val="0"/>
                      <w:sz w:val="18"/>
                      <w:szCs w:val="18"/>
                    </w:rPr>
                  </w:pPr>
                </w:p>
              </w:tc>
              <w:tc>
                <w:tcPr>
                  <w:tcW w:w="0" w:type="auto"/>
                  <w:shd w:val="clear" w:color="auto" w:fill="auto"/>
                  <w:vAlign w:val="center"/>
                </w:tcPr>
                <w:p w14:paraId="68B84391">
                  <w:pPr>
                    <w:widowControl/>
                    <w:jc w:val="center"/>
                    <w:rPr>
                      <w:rFonts w:eastAsiaTheme="majorEastAsia"/>
                      <w:b/>
                      <w:bCs/>
                      <w:kern w:val="0"/>
                      <w:sz w:val="18"/>
                      <w:szCs w:val="18"/>
                    </w:rPr>
                  </w:pPr>
                  <w:r>
                    <w:rPr>
                      <w:rFonts w:eastAsiaTheme="majorEastAsia"/>
                      <w:b/>
                      <w:bCs/>
                      <w:kern w:val="0"/>
                      <w:sz w:val="18"/>
                      <w:szCs w:val="18"/>
                    </w:rPr>
                    <w:t>产生量t/a</w:t>
                  </w:r>
                </w:p>
              </w:tc>
              <w:tc>
                <w:tcPr>
                  <w:tcW w:w="0" w:type="auto"/>
                  <w:shd w:val="clear" w:color="auto" w:fill="auto"/>
                  <w:vAlign w:val="center"/>
                </w:tcPr>
                <w:p w14:paraId="0004F902">
                  <w:pPr>
                    <w:widowControl/>
                    <w:jc w:val="center"/>
                    <w:rPr>
                      <w:rFonts w:eastAsiaTheme="majorEastAsia"/>
                      <w:b/>
                      <w:bCs/>
                      <w:kern w:val="0"/>
                      <w:sz w:val="18"/>
                      <w:szCs w:val="18"/>
                    </w:rPr>
                  </w:pPr>
                  <w:r>
                    <w:rPr>
                      <w:rFonts w:eastAsiaTheme="majorEastAsia"/>
                      <w:b/>
                      <w:bCs/>
                      <w:kern w:val="0"/>
                      <w:sz w:val="18"/>
                      <w:szCs w:val="18"/>
                    </w:rPr>
                    <w:t>产生速率kg/h</w:t>
                  </w:r>
                </w:p>
              </w:tc>
              <w:tc>
                <w:tcPr>
                  <w:tcW w:w="0" w:type="auto"/>
                  <w:shd w:val="clear" w:color="auto" w:fill="auto"/>
                  <w:vAlign w:val="center"/>
                </w:tcPr>
                <w:p w14:paraId="59D16158">
                  <w:pPr>
                    <w:widowControl/>
                    <w:jc w:val="center"/>
                    <w:rPr>
                      <w:rFonts w:eastAsiaTheme="majorEastAsia"/>
                      <w:b/>
                      <w:bCs/>
                      <w:kern w:val="0"/>
                      <w:sz w:val="18"/>
                      <w:szCs w:val="18"/>
                    </w:rPr>
                  </w:pPr>
                  <w:r>
                    <w:rPr>
                      <w:rFonts w:eastAsiaTheme="majorEastAsia"/>
                      <w:b/>
                      <w:bCs/>
                      <w:kern w:val="0"/>
                      <w:sz w:val="18"/>
                      <w:szCs w:val="18"/>
                    </w:rPr>
                    <w:t>产生浓度mg/m</w:t>
                  </w:r>
                  <w:r>
                    <w:rPr>
                      <w:rFonts w:eastAsiaTheme="majorEastAsia"/>
                      <w:b/>
                      <w:bCs/>
                      <w:kern w:val="0"/>
                      <w:sz w:val="18"/>
                      <w:szCs w:val="18"/>
                      <w:vertAlign w:val="superscript"/>
                    </w:rPr>
                    <w:t>3</w:t>
                  </w:r>
                </w:p>
              </w:tc>
              <w:tc>
                <w:tcPr>
                  <w:tcW w:w="406" w:type="dxa"/>
                  <w:vMerge w:val="continue"/>
                  <w:vAlign w:val="center"/>
                </w:tcPr>
                <w:p w14:paraId="50905FD6">
                  <w:pPr>
                    <w:widowControl/>
                    <w:jc w:val="left"/>
                    <w:rPr>
                      <w:rFonts w:eastAsiaTheme="majorEastAsia"/>
                      <w:kern w:val="0"/>
                      <w:sz w:val="18"/>
                      <w:szCs w:val="18"/>
                    </w:rPr>
                  </w:pPr>
                </w:p>
              </w:tc>
              <w:tc>
                <w:tcPr>
                  <w:tcW w:w="633" w:type="dxa"/>
                  <w:vMerge w:val="continue"/>
                  <w:vAlign w:val="center"/>
                </w:tcPr>
                <w:p w14:paraId="4DB9678A">
                  <w:pPr>
                    <w:widowControl/>
                    <w:jc w:val="left"/>
                    <w:rPr>
                      <w:rFonts w:eastAsiaTheme="majorEastAsia"/>
                      <w:kern w:val="0"/>
                      <w:sz w:val="18"/>
                      <w:szCs w:val="18"/>
                    </w:rPr>
                  </w:pPr>
                </w:p>
              </w:tc>
              <w:tc>
                <w:tcPr>
                  <w:tcW w:w="427" w:type="dxa"/>
                  <w:vMerge w:val="continue"/>
                  <w:vAlign w:val="center"/>
                </w:tcPr>
                <w:p w14:paraId="5CC5E7F5">
                  <w:pPr>
                    <w:widowControl/>
                    <w:jc w:val="left"/>
                    <w:rPr>
                      <w:rFonts w:eastAsiaTheme="majorEastAsia"/>
                      <w:kern w:val="0"/>
                      <w:sz w:val="18"/>
                      <w:szCs w:val="18"/>
                    </w:rPr>
                  </w:pPr>
                </w:p>
              </w:tc>
              <w:tc>
                <w:tcPr>
                  <w:tcW w:w="498" w:type="dxa"/>
                  <w:vMerge w:val="continue"/>
                  <w:vAlign w:val="center"/>
                </w:tcPr>
                <w:p w14:paraId="2F607F24">
                  <w:pPr>
                    <w:widowControl/>
                    <w:jc w:val="left"/>
                    <w:rPr>
                      <w:rFonts w:eastAsiaTheme="majorEastAsia"/>
                      <w:kern w:val="0"/>
                      <w:sz w:val="18"/>
                      <w:szCs w:val="18"/>
                    </w:rPr>
                  </w:pPr>
                </w:p>
              </w:tc>
              <w:tc>
                <w:tcPr>
                  <w:tcW w:w="0" w:type="auto"/>
                  <w:shd w:val="clear" w:color="auto" w:fill="auto"/>
                  <w:vAlign w:val="center"/>
                </w:tcPr>
                <w:p w14:paraId="23FA5974">
                  <w:pPr>
                    <w:widowControl/>
                    <w:jc w:val="center"/>
                    <w:rPr>
                      <w:rFonts w:eastAsiaTheme="majorEastAsia"/>
                      <w:b/>
                      <w:bCs/>
                      <w:kern w:val="0"/>
                      <w:sz w:val="18"/>
                      <w:szCs w:val="18"/>
                    </w:rPr>
                  </w:pPr>
                  <w:r>
                    <w:rPr>
                      <w:rFonts w:eastAsiaTheme="majorEastAsia"/>
                      <w:b/>
                      <w:bCs/>
                      <w:kern w:val="0"/>
                      <w:sz w:val="18"/>
                      <w:szCs w:val="18"/>
                    </w:rPr>
                    <w:t>排放量t/a</w:t>
                  </w:r>
                </w:p>
              </w:tc>
              <w:tc>
                <w:tcPr>
                  <w:tcW w:w="557" w:type="dxa"/>
                  <w:shd w:val="clear" w:color="auto" w:fill="auto"/>
                  <w:vAlign w:val="center"/>
                </w:tcPr>
                <w:p w14:paraId="564674A8">
                  <w:pPr>
                    <w:widowControl/>
                    <w:jc w:val="center"/>
                    <w:rPr>
                      <w:rFonts w:eastAsiaTheme="majorEastAsia"/>
                      <w:b/>
                      <w:bCs/>
                      <w:kern w:val="0"/>
                      <w:sz w:val="18"/>
                      <w:szCs w:val="18"/>
                    </w:rPr>
                  </w:pPr>
                  <w:r>
                    <w:rPr>
                      <w:rFonts w:eastAsiaTheme="majorEastAsia"/>
                      <w:b/>
                      <w:bCs/>
                      <w:kern w:val="0"/>
                      <w:sz w:val="18"/>
                      <w:szCs w:val="18"/>
                    </w:rPr>
                    <w:t>排放速率kg/h</w:t>
                  </w:r>
                </w:p>
              </w:tc>
              <w:tc>
                <w:tcPr>
                  <w:tcW w:w="716" w:type="dxa"/>
                  <w:shd w:val="clear" w:color="auto" w:fill="auto"/>
                  <w:vAlign w:val="center"/>
                </w:tcPr>
                <w:p w14:paraId="67F62FBD">
                  <w:pPr>
                    <w:widowControl/>
                    <w:jc w:val="center"/>
                    <w:rPr>
                      <w:rFonts w:eastAsiaTheme="majorEastAsia"/>
                      <w:b/>
                      <w:bCs/>
                      <w:kern w:val="0"/>
                      <w:sz w:val="18"/>
                      <w:szCs w:val="18"/>
                    </w:rPr>
                  </w:pPr>
                  <w:r>
                    <w:rPr>
                      <w:rFonts w:eastAsiaTheme="majorEastAsia"/>
                      <w:b/>
                      <w:bCs/>
                      <w:kern w:val="0"/>
                      <w:sz w:val="18"/>
                      <w:szCs w:val="18"/>
                    </w:rPr>
                    <w:t>排放浓度mg/m</w:t>
                  </w:r>
                  <w:r>
                    <w:rPr>
                      <w:rFonts w:eastAsiaTheme="majorEastAsia"/>
                      <w:b/>
                      <w:bCs/>
                      <w:kern w:val="0"/>
                      <w:sz w:val="18"/>
                      <w:szCs w:val="18"/>
                      <w:vertAlign w:val="superscript"/>
                    </w:rPr>
                    <w:t>3</w:t>
                  </w:r>
                </w:p>
              </w:tc>
              <w:tc>
                <w:tcPr>
                  <w:tcW w:w="567" w:type="dxa"/>
                  <w:shd w:val="clear" w:color="auto" w:fill="auto"/>
                  <w:noWrap/>
                  <w:vAlign w:val="center"/>
                </w:tcPr>
                <w:p w14:paraId="6A925646">
                  <w:pPr>
                    <w:widowControl/>
                    <w:jc w:val="center"/>
                    <w:rPr>
                      <w:rFonts w:eastAsiaTheme="majorEastAsia"/>
                      <w:b/>
                      <w:bCs/>
                      <w:kern w:val="0"/>
                      <w:sz w:val="18"/>
                      <w:szCs w:val="18"/>
                    </w:rPr>
                  </w:pPr>
                  <w:r>
                    <w:rPr>
                      <w:rFonts w:eastAsiaTheme="majorEastAsia"/>
                      <w:b/>
                      <w:bCs/>
                      <w:kern w:val="0"/>
                      <w:sz w:val="18"/>
                      <w:szCs w:val="18"/>
                    </w:rPr>
                    <w:t>高度m</w:t>
                  </w:r>
                </w:p>
              </w:tc>
              <w:tc>
                <w:tcPr>
                  <w:tcW w:w="0" w:type="auto"/>
                  <w:shd w:val="clear" w:color="auto" w:fill="auto"/>
                  <w:noWrap/>
                  <w:vAlign w:val="center"/>
                </w:tcPr>
                <w:p w14:paraId="0B04BBDC">
                  <w:pPr>
                    <w:widowControl/>
                    <w:jc w:val="center"/>
                    <w:rPr>
                      <w:rFonts w:eastAsiaTheme="majorEastAsia"/>
                      <w:b/>
                      <w:bCs/>
                      <w:kern w:val="0"/>
                      <w:sz w:val="18"/>
                      <w:szCs w:val="18"/>
                    </w:rPr>
                  </w:pPr>
                  <w:r>
                    <w:rPr>
                      <w:rFonts w:eastAsiaTheme="majorEastAsia"/>
                      <w:b/>
                      <w:bCs/>
                      <w:kern w:val="0"/>
                      <w:sz w:val="18"/>
                      <w:szCs w:val="18"/>
                    </w:rPr>
                    <w:t>内径m</w:t>
                  </w:r>
                </w:p>
              </w:tc>
              <w:tc>
                <w:tcPr>
                  <w:tcW w:w="0" w:type="auto"/>
                  <w:shd w:val="clear" w:color="auto" w:fill="auto"/>
                  <w:noWrap/>
                  <w:vAlign w:val="center"/>
                </w:tcPr>
                <w:p w14:paraId="4FA7A723">
                  <w:pPr>
                    <w:widowControl/>
                    <w:jc w:val="center"/>
                    <w:rPr>
                      <w:rFonts w:eastAsiaTheme="majorEastAsia"/>
                      <w:b/>
                      <w:bCs/>
                      <w:kern w:val="0"/>
                      <w:sz w:val="18"/>
                      <w:szCs w:val="18"/>
                    </w:rPr>
                  </w:pPr>
                  <w:r>
                    <w:rPr>
                      <w:rFonts w:eastAsiaTheme="majorEastAsia"/>
                      <w:b/>
                      <w:bCs/>
                      <w:kern w:val="0"/>
                      <w:sz w:val="18"/>
                      <w:szCs w:val="18"/>
                    </w:rPr>
                    <w:t>温度℃</w:t>
                  </w:r>
                </w:p>
              </w:tc>
              <w:tc>
                <w:tcPr>
                  <w:tcW w:w="0" w:type="auto"/>
                  <w:shd w:val="clear" w:color="auto" w:fill="auto"/>
                  <w:noWrap/>
                  <w:vAlign w:val="center"/>
                </w:tcPr>
                <w:p w14:paraId="6DC3B6BD">
                  <w:pPr>
                    <w:widowControl/>
                    <w:jc w:val="center"/>
                    <w:rPr>
                      <w:rFonts w:eastAsiaTheme="majorEastAsia"/>
                      <w:b/>
                      <w:bCs/>
                      <w:kern w:val="0"/>
                      <w:sz w:val="18"/>
                      <w:szCs w:val="18"/>
                    </w:rPr>
                  </w:pPr>
                  <w:r>
                    <w:rPr>
                      <w:rFonts w:eastAsiaTheme="majorEastAsia"/>
                      <w:b/>
                      <w:bCs/>
                      <w:kern w:val="0"/>
                      <w:sz w:val="18"/>
                      <w:szCs w:val="18"/>
                    </w:rPr>
                    <w:t>类型</w:t>
                  </w:r>
                </w:p>
              </w:tc>
              <w:tc>
                <w:tcPr>
                  <w:tcW w:w="0" w:type="auto"/>
                  <w:vMerge w:val="continue"/>
                  <w:vAlign w:val="center"/>
                </w:tcPr>
                <w:p w14:paraId="08466660">
                  <w:pPr>
                    <w:widowControl/>
                    <w:jc w:val="left"/>
                    <w:rPr>
                      <w:rFonts w:eastAsiaTheme="majorEastAsia"/>
                      <w:kern w:val="0"/>
                      <w:sz w:val="18"/>
                      <w:szCs w:val="18"/>
                    </w:rPr>
                  </w:pPr>
                </w:p>
              </w:tc>
              <w:tc>
                <w:tcPr>
                  <w:tcW w:w="0" w:type="auto"/>
                  <w:vMerge w:val="continue"/>
                  <w:vAlign w:val="center"/>
                </w:tcPr>
                <w:p w14:paraId="0FD23224">
                  <w:pPr>
                    <w:widowControl/>
                    <w:jc w:val="left"/>
                    <w:rPr>
                      <w:rFonts w:eastAsiaTheme="majorEastAsia"/>
                      <w:kern w:val="0"/>
                      <w:sz w:val="18"/>
                      <w:szCs w:val="18"/>
                    </w:rPr>
                  </w:pPr>
                </w:p>
              </w:tc>
            </w:tr>
            <w:tr w14:paraId="110B54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40" w:hRule="atLeast"/>
              </w:trPr>
              <w:tc>
                <w:tcPr>
                  <w:tcW w:w="397" w:type="dxa"/>
                  <w:vMerge w:val="restart"/>
                  <w:shd w:val="clear" w:color="auto" w:fill="auto"/>
                  <w:noWrap/>
                  <w:vAlign w:val="center"/>
                </w:tcPr>
                <w:p w14:paraId="0A6BA56C">
                  <w:pPr>
                    <w:widowControl/>
                    <w:jc w:val="center"/>
                    <w:rPr>
                      <w:rFonts w:eastAsiaTheme="majorEastAsia"/>
                      <w:kern w:val="0"/>
                      <w:sz w:val="18"/>
                      <w:szCs w:val="18"/>
                    </w:rPr>
                  </w:pPr>
                  <w:bookmarkStart w:id="43" w:name="_Hlk194934204"/>
                  <w:r>
                    <w:rPr>
                      <w:rFonts w:eastAsiaTheme="majorEastAsia"/>
                      <w:kern w:val="0"/>
                      <w:sz w:val="18"/>
                      <w:szCs w:val="18"/>
                    </w:rPr>
                    <w:t>二期</w:t>
                  </w:r>
                </w:p>
              </w:tc>
              <w:tc>
                <w:tcPr>
                  <w:tcW w:w="723" w:type="dxa"/>
                  <w:shd w:val="clear" w:color="auto" w:fill="auto"/>
                  <w:vAlign w:val="center"/>
                </w:tcPr>
                <w:p w14:paraId="5EB5E6AA">
                  <w:pPr>
                    <w:widowControl/>
                    <w:jc w:val="center"/>
                    <w:rPr>
                      <w:rFonts w:eastAsiaTheme="majorEastAsia"/>
                      <w:kern w:val="0"/>
                      <w:sz w:val="18"/>
                      <w:szCs w:val="18"/>
                    </w:rPr>
                  </w:pPr>
                  <w:r>
                    <w:rPr>
                      <w:rFonts w:eastAsiaTheme="majorEastAsia"/>
                      <w:kern w:val="0"/>
                      <w:sz w:val="18"/>
                      <w:szCs w:val="18"/>
                    </w:rPr>
                    <w:t>POY纺丝油气G1-1</w:t>
                  </w:r>
                </w:p>
              </w:tc>
              <w:tc>
                <w:tcPr>
                  <w:tcW w:w="0" w:type="auto"/>
                  <w:shd w:val="clear" w:color="auto" w:fill="auto"/>
                  <w:noWrap/>
                  <w:vAlign w:val="center"/>
                </w:tcPr>
                <w:p w14:paraId="035EFE13">
                  <w:pPr>
                    <w:widowControl/>
                    <w:jc w:val="center"/>
                    <w:rPr>
                      <w:rFonts w:eastAsiaTheme="majorEastAsia"/>
                      <w:kern w:val="0"/>
                      <w:sz w:val="18"/>
                      <w:szCs w:val="18"/>
                    </w:rPr>
                  </w:pPr>
                  <w:r>
                    <w:rPr>
                      <w:rFonts w:eastAsiaTheme="majorEastAsia"/>
                      <w:kern w:val="0"/>
                      <w:sz w:val="18"/>
                      <w:szCs w:val="18"/>
                    </w:rPr>
                    <w:t xml:space="preserve">20000 </w:t>
                  </w:r>
                </w:p>
              </w:tc>
              <w:tc>
                <w:tcPr>
                  <w:tcW w:w="0" w:type="auto"/>
                  <w:shd w:val="clear" w:color="auto" w:fill="auto"/>
                  <w:vAlign w:val="center"/>
                </w:tcPr>
                <w:p w14:paraId="6E45CB1C">
                  <w:pPr>
                    <w:widowControl/>
                    <w:jc w:val="center"/>
                    <w:rPr>
                      <w:rFonts w:eastAsiaTheme="majorEastAsia"/>
                      <w:kern w:val="0"/>
                      <w:sz w:val="18"/>
                      <w:szCs w:val="18"/>
                    </w:rPr>
                  </w:pPr>
                  <w:r>
                    <w:rPr>
                      <w:rFonts w:eastAsiaTheme="majorEastAsia"/>
                      <w:kern w:val="0"/>
                      <w:sz w:val="18"/>
                      <w:szCs w:val="18"/>
                    </w:rPr>
                    <w:t>非甲烷总烃</w:t>
                  </w:r>
                </w:p>
              </w:tc>
              <w:tc>
                <w:tcPr>
                  <w:tcW w:w="0" w:type="auto"/>
                  <w:shd w:val="clear" w:color="auto" w:fill="auto"/>
                  <w:noWrap/>
                  <w:vAlign w:val="center"/>
                </w:tcPr>
                <w:p w14:paraId="068DD175">
                  <w:pPr>
                    <w:widowControl/>
                    <w:jc w:val="center"/>
                    <w:rPr>
                      <w:rFonts w:eastAsiaTheme="majorEastAsia"/>
                      <w:kern w:val="0"/>
                      <w:sz w:val="18"/>
                      <w:szCs w:val="18"/>
                    </w:rPr>
                  </w:pPr>
                  <w:r>
                    <w:rPr>
                      <w:rFonts w:eastAsiaTheme="majorEastAsia"/>
                      <w:kern w:val="0"/>
                      <w:sz w:val="18"/>
                      <w:szCs w:val="18"/>
                    </w:rPr>
                    <w:t xml:space="preserve">5.51 </w:t>
                  </w:r>
                </w:p>
              </w:tc>
              <w:tc>
                <w:tcPr>
                  <w:tcW w:w="0" w:type="auto"/>
                  <w:shd w:val="clear" w:color="auto" w:fill="auto"/>
                  <w:noWrap/>
                  <w:vAlign w:val="center"/>
                </w:tcPr>
                <w:p w14:paraId="09A938B8">
                  <w:pPr>
                    <w:widowControl/>
                    <w:jc w:val="center"/>
                    <w:rPr>
                      <w:rFonts w:eastAsiaTheme="majorEastAsia"/>
                      <w:kern w:val="0"/>
                      <w:sz w:val="18"/>
                      <w:szCs w:val="18"/>
                    </w:rPr>
                  </w:pPr>
                  <w:r>
                    <w:rPr>
                      <w:rFonts w:eastAsiaTheme="majorEastAsia"/>
                      <w:kern w:val="0"/>
                      <w:sz w:val="18"/>
                      <w:szCs w:val="18"/>
                    </w:rPr>
                    <w:t xml:space="preserve">0.66 </w:t>
                  </w:r>
                </w:p>
              </w:tc>
              <w:tc>
                <w:tcPr>
                  <w:tcW w:w="0" w:type="auto"/>
                  <w:shd w:val="clear" w:color="auto" w:fill="auto"/>
                  <w:noWrap/>
                  <w:vAlign w:val="center"/>
                </w:tcPr>
                <w:p w14:paraId="3BF19BB3">
                  <w:pPr>
                    <w:widowControl/>
                    <w:jc w:val="center"/>
                    <w:rPr>
                      <w:rFonts w:eastAsiaTheme="majorEastAsia"/>
                      <w:kern w:val="0"/>
                      <w:sz w:val="18"/>
                      <w:szCs w:val="18"/>
                    </w:rPr>
                  </w:pPr>
                  <w:r>
                    <w:rPr>
                      <w:rFonts w:eastAsiaTheme="majorEastAsia"/>
                      <w:kern w:val="0"/>
                      <w:sz w:val="18"/>
                      <w:szCs w:val="18"/>
                    </w:rPr>
                    <w:t xml:space="preserve">33.00 </w:t>
                  </w:r>
                </w:p>
              </w:tc>
              <w:tc>
                <w:tcPr>
                  <w:tcW w:w="406" w:type="dxa"/>
                  <w:shd w:val="clear" w:color="auto" w:fill="auto"/>
                  <w:noWrap/>
                  <w:vAlign w:val="center"/>
                </w:tcPr>
                <w:p w14:paraId="3EEEE5FD">
                  <w:pPr>
                    <w:widowControl/>
                    <w:jc w:val="center"/>
                    <w:rPr>
                      <w:rFonts w:eastAsiaTheme="majorEastAsia"/>
                      <w:kern w:val="0"/>
                      <w:sz w:val="18"/>
                      <w:szCs w:val="18"/>
                    </w:rPr>
                  </w:pPr>
                  <w:r>
                    <w:rPr>
                      <w:rFonts w:eastAsiaTheme="majorEastAsia"/>
                      <w:kern w:val="0"/>
                      <w:sz w:val="18"/>
                      <w:szCs w:val="18"/>
                    </w:rPr>
                    <w:t xml:space="preserve">95 </w:t>
                  </w:r>
                </w:p>
              </w:tc>
              <w:tc>
                <w:tcPr>
                  <w:tcW w:w="633" w:type="dxa"/>
                  <w:shd w:val="clear" w:color="auto" w:fill="auto"/>
                  <w:vAlign w:val="center"/>
                </w:tcPr>
                <w:p w14:paraId="6DF9EB15">
                  <w:pPr>
                    <w:widowControl/>
                    <w:jc w:val="center"/>
                    <w:rPr>
                      <w:rFonts w:eastAsiaTheme="majorEastAsia"/>
                      <w:kern w:val="0"/>
                      <w:sz w:val="18"/>
                      <w:szCs w:val="18"/>
                    </w:rPr>
                  </w:pPr>
                  <w:r>
                    <w:rPr>
                      <w:rFonts w:eastAsiaTheme="majorEastAsia"/>
                      <w:kern w:val="0"/>
                      <w:sz w:val="18"/>
                      <w:szCs w:val="18"/>
                    </w:rPr>
                    <w:t>静电除油</w:t>
                  </w:r>
                </w:p>
              </w:tc>
              <w:tc>
                <w:tcPr>
                  <w:tcW w:w="427" w:type="dxa"/>
                  <w:shd w:val="clear" w:color="auto" w:fill="auto"/>
                  <w:noWrap/>
                  <w:vAlign w:val="center"/>
                </w:tcPr>
                <w:p w14:paraId="27BC6C1B">
                  <w:pPr>
                    <w:widowControl/>
                    <w:jc w:val="center"/>
                    <w:rPr>
                      <w:rFonts w:eastAsiaTheme="majorEastAsia"/>
                      <w:kern w:val="0"/>
                      <w:sz w:val="18"/>
                      <w:szCs w:val="18"/>
                    </w:rPr>
                  </w:pPr>
                  <w:r>
                    <w:rPr>
                      <w:rFonts w:eastAsiaTheme="majorEastAsia"/>
                      <w:kern w:val="0"/>
                      <w:sz w:val="18"/>
                      <w:szCs w:val="18"/>
                    </w:rPr>
                    <w:t xml:space="preserve">80 </w:t>
                  </w:r>
                </w:p>
              </w:tc>
              <w:tc>
                <w:tcPr>
                  <w:tcW w:w="498" w:type="dxa"/>
                  <w:shd w:val="clear" w:color="auto" w:fill="auto"/>
                  <w:noWrap/>
                  <w:vAlign w:val="center"/>
                </w:tcPr>
                <w:p w14:paraId="028C1BCF">
                  <w:pPr>
                    <w:widowControl/>
                    <w:jc w:val="center"/>
                    <w:rPr>
                      <w:rFonts w:eastAsiaTheme="majorEastAsia"/>
                      <w:kern w:val="0"/>
                      <w:sz w:val="18"/>
                      <w:szCs w:val="18"/>
                    </w:rPr>
                  </w:pPr>
                  <w:r>
                    <w:rPr>
                      <w:rFonts w:eastAsiaTheme="majorEastAsia"/>
                      <w:kern w:val="0"/>
                      <w:sz w:val="18"/>
                      <w:szCs w:val="18"/>
                    </w:rPr>
                    <w:t>是</w:t>
                  </w:r>
                </w:p>
              </w:tc>
              <w:tc>
                <w:tcPr>
                  <w:tcW w:w="0" w:type="auto"/>
                  <w:shd w:val="clear" w:color="auto" w:fill="auto"/>
                  <w:noWrap/>
                  <w:vAlign w:val="center"/>
                </w:tcPr>
                <w:p w14:paraId="54137910">
                  <w:pPr>
                    <w:widowControl/>
                    <w:jc w:val="center"/>
                    <w:rPr>
                      <w:rFonts w:eastAsiaTheme="majorEastAsia"/>
                      <w:kern w:val="0"/>
                      <w:sz w:val="18"/>
                      <w:szCs w:val="18"/>
                    </w:rPr>
                  </w:pPr>
                  <w:r>
                    <w:rPr>
                      <w:rFonts w:eastAsiaTheme="majorEastAsia"/>
                      <w:kern w:val="0"/>
                      <w:sz w:val="18"/>
                      <w:szCs w:val="18"/>
                    </w:rPr>
                    <w:t xml:space="preserve">1.10 </w:t>
                  </w:r>
                </w:p>
              </w:tc>
              <w:tc>
                <w:tcPr>
                  <w:tcW w:w="557" w:type="dxa"/>
                  <w:shd w:val="clear" w:color="auto" w:fill="auto"/>
                  <w:noWrap/>
                  <w:vAlign w:val="center"/>
                </w:tcPr>
                <w:p w14:paraId="0A1842BE">
                  <w:pPr>
                    <w:widowControl/>
                    <w:jc w:val="center"/>
                    <w:rPr>
                      <w:rFonts w:eastAsiaTheme="majorEastAsia"/>
                      <w:kern w:val="0"/>
                      <w:sz w:val="18"/>
                      <w:szCs w:val="18"/>
                    </w:rPr>
                  </w:pPr>
                  <w:r>
                    <w:rPr>
                      <w:rFonts w:eastAsiaTheme="majorEastAsia"/>
                      <w:kern w:val="0"/>
                      <w:sz w:val="18"/>
                      <w:szCs w:val="18"/>
                    </w:rPr>
                    <w:t xml:space="preserve">0.13 </w:t>
                  </w:r>
                </w:p>
              </w:tc>
              <w:tc>
                <w:tcPr>
                  <w:tcW w:w="716" w:type="dxa"/>
                  <w:shd w:val="clear" w:color="auto" w:fill="auto"/>
                  <w:noWrap/>
                  <w:vAlign w:val="center"/>
                </w:tcPr>
                <w:p w14:paraId="5FC53B07">
                  <w:pPr>
                    <w:widowControl/>
                    <w:jc w:val="center"/>
                    <w:rPr>
                      <w:rFonts w:eastAsiaTheme="majorEastAsia"/>
                      <w:kern w:val="0"/>
                      <w:sz w:val="18"/>
                      <w:szCs w:val="18"/>
                    </w:rPr>
                  </w:pPr>
                  <w:r>
                    <w:rPr>
                      <w:rFonts w:eastAsiaTheme="majorEastAsia"/>
                      <w:kern w:val="0"/>
                      <w:sz w:val="18"/>
                      <w:szCs w:val="18"/>
                    </w:rPr>
                    <w:t xml:space="preserve">6.60 </w:t>
                  </w:r>
                </w:p>
              </w:tc>
              <w:tc>
                <w:tcPr>
                  <w:tcW w:w="567" w:type="dxa"/>
                  <w:shd w:val="clear" w:color="auto" w:fill="auto"/>
                  <w:noWrap/>
                  <w:vAlign w:val="center"/>
                </w:tcPr>
                <w:p w14:paraId="2C766ABD">
                  <w:pPr>
                    <w:widowControl/>
                    <w:jc w:val="center"/>
                    <w:rPr>
                      <w:rFonts w:eastAsiaTheme="majorEastAsia"/>
                      <w:kern w:val="0"/>
                      <w:sz w:val="18"/>
                      <w:szCs w:val="18"/>
                    </w:rPr>
                  </w:pPr>
                  <w:r>
                    <w:rPr>
                      <w:rFonts w:eastAsiaTheme="majorEastAsia"/>
                      <w:kern w:val="0"/>
                      <w:sz w:val="18"/>
                      <w:szCs w:val="18"/>
                    </w:rPr>
                    <w:t xml:space="preserve">26 </w:t>
                  </w:r>
                </w:p>
              </w:tc>
              <w:tc>
                <w:tcPr>
                  <w:tcW w:w="0" w:type="auto"/>
                  <w:shd w:val="clear" w:color="auto" w:fill="auto"/>
                  <w:noWrap/>
                  <w:vAlign w:val="center"/>
                </w:tcPr>
                <w:p w14:paraId="55E99D6A">
                  <w:pPr>
                    <w:widowControl/>
                    <w:jc w:val="center"/>
                    <w:rPr>
                      <w:rFonts w:eastAsiaTheme="majorEastAsia"/>
                      <w:kern w:val="0"/>
                      <w:sz w:val="18"/>
                      <w:szCs w:val="18"/>
                    </w:rPr>
                  </w:pPr>
                  <w:r>
                    <w:rPr>
                      <w:rFonts w:eastAsiaTheme="majorEastAsia"/>
                      <w:kern w:val="0"/>
                      <w:sz w:val="18"/>
                      <w:szCs w:val="18"/>
                    </w:rPr>
                    <w:t xml:space="preserve">1 </w:t>
                  </w:r>
                </w:p>
              </w:tc>
              <w:tc>
                <w:tcPr>
                  <w:tcW w:w="0" w:type="auto"/>
                  <w:shd w:val="clear" w:color="auto" w:fill="auto"/>
                  <w:noWrap/>
                  <w:vAlign w:val="center"/>
                </w:tcPr>
                <w:p w14:paraId="7E48D3A8">
                  <w:pPr>
                    <w:widowControl/>
                    <w:jc w:val="center"/>
                    <w:rPr>
                      <w:rFonts w:eastAsiaTheme="majorEastAsia"/>
                      <w:kern w:val="0"/>
                      <w:sz w:val="18"/>
                      <w:szCs w:val="18"/>
                    </w:rPr>
                  </w:pPr>
                  <w:r>
                    <w:rPr>
                      <w:rFonts w:eastAsiaTheme="majorEastAsia"/>
                      <w:kern w:val="0"/>
                      <w:sz w:val="18"/>
                      <w:szCs w:val="18"/>
                    </w:rPr>
                    <w:t xml:space="preserve">25 </w:t>
                  </w:r>
                </w:p>
              </w:tc>
              <w:tc>
                <w:tcPr>
                  <w:tcW w:w="0" w:type="auto"/>
                  <w:shd w:val="clear" w:color="auto" w:fill="auto"/>
                  <w:noWrap/>
                  <w:vAlign w:val="center"/>
                </w:tcPr>
                <w:p w14:paraId="4AECC04D">
                  <w:pPr>
                    <w:widowControl/>
                    <w:jc w:val="center"/>
                    <w:rPr>
                      <w:rFonts w:eastAsiaTheme="majorEastAsia"/>
                      <w:kern w:val="0"/>
                      <w:sz w:val="18"/>
                      <w:szCs w:val="18"/>
                    </w:rPr>
                  </w:pPr>
                  <w:r>
                    <w:rPr>
                      <w:rFonts w:eastAsiaTheme="majorEastAsia"/>
                      <w:kern w:val="0"/>
                      <w:sz w:val="18"/>
                      <w:szCs w:val="18"/>
                    </w:rPr>
                    <w:t>连续</w:t>
                  </w:r>
                </w:p>
              </w:tc>
              <w:tc>
                <w:tcPr>
                  <w:tcW w:w="0" w:type="auto"/>
                  <w:shd w:val="clear" w:color="auto" w:fill="auto"/>
                  <w:noWrap/>
                  <w:vAlign w:val="center"/>
                </w:tcPr>
                <w:p w14:paraId="779A35F1">
                  <w:pPr>
                    <w:widowControl/>
                    <w:jc w:val="center"/>
                    <w:rPr>
                      <w:rFonts w:eastAsiaTheme="majorEastAsia"/>
                      <w:kern w:val="0"/>
                      <w:sz w:val="18"/>
                      <w:szCs w:val="18"/>
                    </w:rPr>
                  </w:pPr>
                  <w:r>
                    <w:rPr>
                      <w:rFonts w:eastAsiaTheme="majorEastAsia"/>
                      <w:kern w:val="0"/>
                      <w:sz w:val="18"/>
                      <w:szCs w:val="18"/>
                    </w:rPr>
                    <w:t>DA010</w:t>
                  </w:r>
                </w:p>
              </w:tc>
              <w:tc>
                <w:tcPr>
                  <w:tcW w:w="0" w:type="auto"/>
                  <w:shd w:val="clear" w:color="auto" w:fill="auto"/>
                  <w:noWrap/>
                  <w:vAlign w:val="center"/>
                </w:tcPr>
                <w:p w14:paraId="721454EF">
                  <w:pPr>
                    <w:widowControl/>
                    <w:jc w:val="center"/>
                    <w:rPr>
                      <w:rFonts w:eastAsiaTheme="majorEastAsia"/>
                      <w:kern w:val="0"/>
                      <w:sz w:val="18"/>
                      <w:szCs w:val="18"/>
                    </w:rPr>
                  </w:pPr>
                  <w:r>
                    <w:rPr>
                      <w:rFonts w:eastAsiaTheme="majorEastAsia"/>
                      <w:kern w:val="0"/>
                      <w:sz w:val="18"/>
                      <w:szCs w:val="18"/>
                    </w:rPr>
                    <w:t>6条线</w:t>
                  </w:r>
                </w:p>
              </w:tc>
            </w:tr>
            <w:tr w14:paraId="484CEA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97" w:type="dxa"/>
                  <w:vMerge w:val="continue"/>
                  <w:vAlign w:val="center"/>
                </w:tcPr>
                <w:p w14:paraId="7ABE3FCE">
                  <w:pPr>
                    <w:widowControl/>
                    <w:jc w:val="left"/>
                    <w:rPr>
                      <w:rFonts w:eastAsiaTheme="majorEastAsia"/>
                      <w:kern w:val="0"/>
                      <w:sz w:val="18"/>
                      <w:szCs w:val="18"/>
                    </w:rPr>
                  </w:pPr>
                </w:p>
              </w:tc>
              <w:tc>
                <w:tcPr>
                  <w:tcW w:w="723" w:type="dxa"/>
                  <w:shd w:val="clear" w:color="auto" w:fill="auto"/>
                  <w:vAlign w:val="center"/>
                </w:tcPr>
                <w:p w14:paraId="6FA2B2AD">
                  <w:pPr>
                    <w:widowControl/>
                    <w:jc w:val="center"/>
                    <w:rPr>
                      <w:rFonts w:eastAsiaTheme="majorEastAsia"/>
                      <w:kern w:val="0"/>
                      <w:sz w:val="18"/>
                      <w:szCs w:val="18"/>
                    </w:rPr>
                  </w:pPr>
                  <w:r>
                    <w:rPr>
                      <w:rFonts w:eastAsiaTheme="majorEastAsia"/>
                      <w:kern w:val="0"/>
                      <w:sz w:val="18"/>
                      <w:szCs w:val="18"/>
                    </w:rPr>
                    <w:t>FDY纺丝油气G2-1-1</w:t>
                  </w:r>
                </w:p>
              </w:tc>
              <w:tc>
                <w:tcPr>
                  <w:tcW w:w="0" w:type="auto"/>
                  <w:shd w:val="clear" w:color="auto" w:fill="auto"/>
                  <w:noWrap/>
                  <w:vAlign w:val="center"/>
                </w:tcPr>
                <w:p w14:paraId="4FAD85F7">
                  <w:pPr>
                    <w:widowControl/>
                    <w:jc w:val="center"/>
                    <w:rPr>
                      <w:rFonts w:eastAsiaTheme="majorEastAsia"/>
                      <w:kern w:val="0"/>
                      <w:sz w:val="18"/>
                      <w:szCs w:val="18"/>
                    </w:rPr>
                  </w:pPr>
                  <w:r>
                    <w:rPr>
                      <w:rFonts w:eastAsiaTheme="majorEastAsia"/>
                      <w:kern w:val="0"/>
                      <w:sz w:val="18"/>
                      <w:szCs w:val="18"/>
                    </w:rPr>
                    <w:t xml:space="preserve">25000 </w:t>
                  </w:r>
                </w:p>
              </w:tc>
              <w:tc>
                <w:tcPr>
                  <w:tcW w:w="0" w:type="auto"/>
                  <w:shd w:val="clear" w:color="auto" w:fill="auto"/>
                  <w:vAlign w:val="center"/>
                </w:tcPr>
                <w:p w14:paraId="4EF93CF5">
                  <w:pPr>
                    <w:widowControl/>
                    <w:jc w:val="center"/>
                    <w:rPr>
                      <w:rFonts w:eastAsiaTheme="majorEastAsia"/>
                      <w:kern w:val="0"/>
                      <w:sz w:val="18"/>
                      <w:szCs w:val="18"/>
                    </w:rPr>
                  </w:pPr>
                  <w:r>
                    <w:rPr>
                      <w:rFonts w:eastAsiaTheme="majorEastAsia"/>
                      <w:kern w:val="0"/>
                      <w:sz w:val="18"/>
                      <w:szCs w:val="18"/>
                    </w:rPr>
                    <w:t>非甲烷总烃</w:t>
                  </w:r>
                </w:p>
              </w:tc>
              <w:tc>
                <w:tcPr>
                  <w:tcW w:w="0" w:type="auto"/>
                  <w:shd w:val="clear" w:color="auto" w:fill="auto"/>
                  <w:noWrap/>
                  <w:vAlign w:val="center"/>
                </w:tcPr>
                <w:p w14:paraId="4AA44FE1">
                  <w:pPr>
                    <w:widowControl/>
                    <w:jc w:val="center"/>
                    <w:rPr>
                      <w:rFonts w:eastAsiaTheme="majorEastAsia"/>
                      <w:kern w:val="0"/>
                      <w:sz w:val="18"/>
                      <w:szCs w:val="18"/>
                    </w:rPr>
                  </w:pPr>
                  <w:r>
                    <w:rPr>
                      <w:rFonts w:eastAsiaTheme="majorEastAsia"/>
                      <w:kern w:val="0"/>
                      <w:sz w:val="18"/>
                      <w:szCs w:val="18"/>
                    </w:rPr>
                    <w:t xml:space="preserve">14.98 </w:t>
                  </w:r>
                </w:p>
              </w:tc>
              <w:tc>
                <w:tcPr>
                  <w:tcW w:w="0" w:type="auto"/>
                  <w:shd w:val="clear" w:color="auto" w:fill="auto"/>
                  <w:noWrap/>
                  <w:vAlign w:val="center"/>
                </w:tcPr>
                <w:p w14:paraId="1C995284">
                  <w:pPr>
                    <w:widowControl/>
                    <w:jc w:val="center"/>
                    <w:rPr>
                      <w:rFonts w:eastAsiaTheme="majorEastAsia"/>
                      <w:kern w:val="0"/>
                      <w:sz w:val="18"/>
                      <w:szCs w:val="18"/>
                    </w:rPr>
                  </w:pPr>
                  <w:r>
                    <w:rPr>
                      <w:rFonts w:eastAsiaTheme="majorEastAsia"/>
                      <w:kern w:val="0"/>
                      <w:sz w:val="18"/>
                      <w:szCs w:val="18"/>
                    </w:rPr>
                    <w:t xml:space="preserve">1.78 </w:t>
                  </w:r>
                </w:p>
              </w:tc>
              <w:tc>
                <w:tcPr>
                  <w:tcW w:w="0" w:type="auto"/>
                  <w:shd w:val="clear" w:color="auto" w:fill="auto"/>
                  <w:noWrap/>
                  <w:vAlign w:val="center"/>
                </w:tcPr>
                <w:p w14:paraId="40FF5B62">
                  <w:pPr>
                    <w:widowControl/>
                    <w:jc w:val="center"/>
                    <w:rPr>
                      <w:rFonts w:eastAsiaTheme="majorEastAsia"/>
                      <w:kern w:val="0"/>
                      <w:sz w:val="18"/>
                      <w:szCs w:val="18"/>
                    </w:rPr>
                  </w:pPr>
                  <w:r>
                    <w:rPr>
                      <w:rFonts w:eastAsiaTheme="majorEastAsia"/>
                      <w:kern w:val="0"/>
                      <w:sz w:val="18"/>
                      <w:szCs w:val="18"/>
                    </w:rPr>
                    <w:t xml:space="preserve">71.20 </w:t>
                  </w:r>
                </w:p>
              </w:tc>
              <w:tc>
                <w:tcPr>
                  <w:tcW w:w="406" w:type="dxa"/>
                  <w:shd w:val="clear" w:color="auto" w:fill="auto"/>
                  <w:noWrap/>
                  <w:vAlign w:val="center"/>
                </w:tcPr>
                <w:p w14:paraId="1F6198BE">
                  <w:pPr>
                    <w:widowControl/>
                    <w:jc w:val="center"/>
                    <w:rPr>
                      <w:rFonts w:eastAsiaTheme="majorEastAsia"/>
                      <w:kern w:val="0"/>
                      <w:sz w:val="18"/>
                      <w:szCs w:val="18"/>
                    </w:rPr>
                  </w:pPr>
                  <w:r>
                    <w:rPr>
                      <w:rFonts w:eastAsiaTheme="majorEastAsia"/>
                      <w:kern w:val="0"/>
                      <w:sz w:val="18"/>
                      <w:szCs w:val="18"/>
                    </w:rPr>
                    <w:t xml:space="preserve">95 </w:t>
                  </w:r>
                </w:p>
              </w:tc>
              <w:tc>
                <w:tcPr>
                  <w:tcW w:w="633" w:type="dxa"/>
                  <w:shd w:val="clear" w:color="auto" w:fill="auto"/>
                  <w:vAlign w:val="center"/>
                </w:tcPr>
                <w:p w14:paraId="7E2D7834">
                  <w:pPr>
                    <w:widowControl/>
                    <w:jc w:val="center"/>
                    <w:rPr>
                      <w:rFonts w:eastAsiaTheme="majorEastAsia"/>
                      <w:kern w:val="0"/>
                      <w:sz w:val="18"/>
                      <w:szCs w:val="18"/>
                    </w:rPr>
                  </w:pPr>
                  <w:r>
                    <w:rPr>
                      <w:rFonts w:eastAsiaTheme="majorEastAsia"/>
                      <w:kern w:val="0"/>
                      <w:sz w:val="18"/>
                      <w:szCs w:val="18"/>
                    </w:rPr>
                    <w:t>静电除油</w:t>
                  </w:r>
                </w:p>
              </w:tc>
              <w:tc>
                <w:tcPr>
                  <w:tcW w:w="427" w:type="dxa"/>
                  <w:shd w:val="clear" w:color="auto" w:fill="auto"/>
                  <w:noWrap/>
                  <w:vAlign w:val="center"/>
                </w:tcPr>
                <w:p w14:paraId="31695229">
                  <w:pPr>
                    <w:widowControl/>
                    <w:jc w:val="center"/>
                    <w:rPr>
                      <w:rFonts w:eastAsiaTheme="majorEastAsia"/>
                      <w:kern w:val="0"/>
                      <w:sz w:val="18"/>
                      <w:szCs w:val="18"/>
                    </w:rPr>
                  </w:pPr>
                  <w:r>
                    <w:rPr>
                      <w:rFonts w:eastAsiaTheme="majorEastAsia"/>
                      <w:kern w:val="0"/>
                      <w:sz w:val="18"/>
                      <w:szCs w:val="18"/>
                    </w:rPr>
                    <w:t xml:space="preserve">80 </w:t>
                  </w:r>
                </w:p>
              </w:tc>
              <w:tc>
                <w:tcPr>
                  <w:tcW w:w="498" w:type="dxa"/>
                  <w:shd w:val="clear" w:color="auto" w:fill="auto"/>
                  <w:noWrap/>
                  <w:vAlign w:val="center"/>
                </w:tcPr>
                <w:p w14:paraId="3081BEB2">
                  <w:pPr>
                    <w:widowControl/>
                    <w:jc w:val="center"/>
                    <w:rPr>
                      <w:rFonts w:eastAsiaTheme="majorEastAsia"/>
                      <w:kern w:val="0"/>
                      <w:sz w:val="18"/>
                      <w:szCs w:val="18"/>
                    </w:rPr>
                  </w:pPr>
                  <w:r>
                    <w:rPr>
                      <w:rFonts w:eastAsiaTheme="majorEastAsia"/>
                      <w:kern w:val="0"/>
                      <w:sz w:val="18"/>
                      <w:szCs w:val="18"/>
                    </w:rPr>
                    <w:t>是</w:t>
                  </w:r>
                </w:p>
              </w:tc>
              <w:tc>
                <w:tcPr>
                  <w:tcW w:w="0" w:type="auto"/>
                  <w:shd w:val="clear" w:color="auto" w:fill="auto"/>
                  <w:noWrap/>
                  <w:vAlign w:val="center"/>
                </w:tcPr>
                <w:p w14:paraId="7C7D774C">
                  <w:pPr>
                    <w:widowControl/>
                    <w:jc w:val="center"/>
                    <w:rPr>
                      <w:rFonts w:eastAsiaTheme="majorEastAsia"/>
                      <w:kern w:val="0"/>
                      <w:sz w:val="18"/>
                      <w:szCs w:val="18"/>
                    </w:rPr>
                  </w:pPr>
                  <w:r>
                    <w:rPr>
                      <w:rFonts w:eastAsiaTheme="majorEastAsia"/>
                      <w:kern w:val="0"/>
                      <w:sz w:val="18"/>
                      <w:szCs w:val="18"/>
                    </w:rPr>
                    <w:t xml:space="preserve">3.00 </w:t>
                  </w:r>
                </w:p>
              </w:tc>
              <w:tc>
                <w:tcPr>
                  <w:tcW w:w="557" w:type="dxa"/>
                  <w:shd w:val="clear" w:color="auto" w:fill="auto"/>
                  <w:noWrap/>
                  <w:vAlign w:val="center"/>
                </w:tcPr>
                <w:p w14:paraId="74568722">
                  <w:pPr>
                    <w:widowControl/>
                    <w:jc w:val="center"/>
                    <w:rPr>
                      <w:rFonts w:eastAsiaTheme="majorEastAsia"/>
                      <w:kern w:val="0"/>
                      <w:sz w:val="18"/>
                      <w:szCs w:val="18"/>
                    </w:rPr>
                  </w:pPr>
                  <w:r>
                    <w:rPr>
                      <w:rFonts w:eastAsiaTheme="majorEastAsia"/>
                      <w:kern w:val="0"/>
                      <w:sz w:val="18"/>
                      <w:szCs w:val="18"/>
                    </w:rPr>
                    <w:t xml:space="preserve">0.36 </w:t>
                  </w:r>
                </w:p>
              </w:tc>
              <w:tc>
                <w:tcPr>
                  <w:tcW w:w="716" w:type="dxa"/>
                  <w:shd w:val="clear" w:color="auto" w:fill="auto"/>
                  <w:noWrap/>
                  <w:vAlign w:val="center"/>
                </w:tcPr>
                <w:p w14:paraId="368B0C2D">
                  <w:pPr>
                    <w:widowControl/>
                    <w:jc w:val="center"/>
                    <w:rPr>
                      <w:rFonts w:eastAsiaTheme="majorEastAsia"/>
                      <w:kern w:val="0"/>
                      <w:sz w:val="18"/>
                      <w:szCs w:val="18"/>
                    </w:rPr>
                  </w:pPr>
                  <w:r>
                    <w:rPr>
                      <w:rFonts w:eastAsiaTheme="majorEastAsia"/>
                      <w:kern w:val="0"/>
                      <w:sz w:val="18"/>
                      <w:szCs w:val="18"/>
                    </w:rPr>
                    <w:t xml:space="preserve">14.24 </w:t>
                  </w:r>
                </w:p>
              </w:tc>
              <w:tc>
                <w:tcPr>
                  <w:tcW w:w="567" w:type="dxa"/>
                  <w:shd w:val="clear" w:color="auto" w:fill="auto"/>
                  <w:noWrap/>
                  <w:vAlign w:val="center"/>
                </w:tcPr>
                <w:p w14:paraId="0F5EF8B0">
                  <w:pPr>
                    <w:widowControl/>
                    <w:jc w:val="center"/>
                    <w:rPr>
                      <w:rFonts w:eastAsiaTheme="majorEastAsia"/>
                      <w:kern w:val="0"/>
                      <w:sz w:val="18"/>
                      <w:szCs w:val="18"/>
                    </w:rPr>
                  </w:pPr>
                  <w:r>
                    <w:rPr>
                      <w:rFonts w:eastAsiaTheme="majorEastAsia"/>
                      <w:kern w:val="0"/>
                      <w:sz w:val="18"/>
                      <w:szCs w:val="18"/>
                    </w:rPr>
                    <w:t xml:space="preserve">26 </w:t>
                  </w:r>
                </w:p>
              </w:tc>
              <w:tc>
                <w:tcPr>
                  <w:tcW w:w="0" w:type="auto"/>
                  <w:shd w:val="clear" w:color="auto" w:fill="auto"/>
                  <w:noWrap/>
                  <w:vAlign w:val="center"/>
                </w:tcPr>
                <w:p w14:paraId="49771F59">
                  <w:pPr>
                    <w:widowControl/>
                    <w:jc w:val="center"/>
                    <w:rPr>
                      <w:rFonts w:eastAsiaTheme="majorEastAsia"/>
                      <w:kern w:val="0"/>
                      <w:sz w:val="18"/>
                      <w:szCs w:val="18"/>
                    </w:rPr>
                  </w:pPr>
                  <w:r>
                    <w:rPr>
                      <w:rFonts w:eastAsiaTheme="majorEastAsia"/>
                      <w:kern w:val="0"/>
                      <w:sz w:val="18"/>
                      <w:szCs w:val="18"/>
                    </w:rPr>
                    <w:t xml:space="preserve">1 </w:t>
                  </w:r>
                </w:p>
              </w:tc>
              <w:tc>
                <w:tcPr>
                  <w:tcW w:w="0" w:type="auto"/>
                  <w:shd w:val="clear" w:color="auto" w:fill="auto"/>
                  <w:noWrap/>
                  <w:vAlign w:val="center"/>
                </w:tcPr>
                <w:p w14:paraId="79FA87FF">
                  <w:pPr>
                    <w:widowControl/>
                    <w:jc w:val="center"/>
                    <w:rPr>
                      <w:rFonts w:eastAsiaTheme="majorEastAsia"/>
                      <w:kern w:val="0"/>
                      <w:sz w:val="18"/>
                      <w:szCs w:val="18"/>
                    </w:rPr>
                  </w:pPr>
                  <w:r>
                    <w:rPr>
                      <w:rFonts w:eastAsiaTheme="majorEastAsia"/>
                      <w:kern w:val="0"/>
                      <w:sz w:val="18"/>
                      <w:szCs w:val="18"/>
                    </w:rPr>
                    <w:t xml:space="preserve">25 </w:t>
                  </w:r>
                </w:p>
              </w:tc>
              <w:tc>
                <w:tcPr>
                  <w:tcW w:w="0" w:type="auto"/>
                  <w:shd w:val="clear" w:color="auto" w:fill="auto"/>
                  <w:noWrap/>
                  <w:vAlign w:val="center"/>
                </w:tcPr>
                <w:p w14:paraId="1B404CB5">
                  <w:pPr>
                    <w:widowControl/>
                    <w:jc w:val="center"/>
                    <w:rPr>
                      <w:rFonts w:eastAsiaTheme="majorEastAsia"/>
                      <w:kern w:val="0"/>
                      <w:sz w:val="18"/>
                      <w:szCs w:val="18"/>
                    </w:rPr>
                  </w:pPr>
                  <w:r>
                    <w:rPr>
                      <w:rFonts w:eastAsiaTheme="majorEastAsia"/>
                      <w:kern w:val="0"/>
                      <w:sz w:val="18"/>
                      <w:szCs w:val="18"/>
                    </w:rPr>
                    <w:t>连续</w:t>
                  </w:r>
                </w:p>
              </w:tc>
              <w:tc>
                <w:tcPr>
                  <w:tcW w:w="0" w:type="auto"/>
                  <w:shd w:val="clear" w:color="auto" w:fill="auto"/>
                  <w:noWrap/>
                  <w:vAlign w:val="center"/>
                </w:tcPr>
                <w:p w14:paraId="0CCB7407">
                  <w:pPr>
                    <w:widowControl/>
                    <w:jc w:val="center"/>
                    <w:rPr>
                      <w:rFonts w:eastAsiaTheme="majorEastAsia"/>
                      <w:kern w:val="0"/>
                      <w:sz w:val="18"/>
                      <w:szCs w:val="18"/>
                    </w:rPr>
                  </w:pPr>
                  <w:r>
                    <w:rPr>
                      <w:rFonts w:eastAsiaTheme="majorEastAsia"/>
                      <w:kern w:val="0"/>
                      <w:sz w:val="18"/>
                      <w:szCs w:val="18"/>
                    </w:rPr>
                    <w:t>DA011</w:t>
                  </w:r>
                </w:p>
              </w:tc>
              <w:tc>
                <w:tcPr>
                  <w:tcW w:w="0" w:type="auto"/>
                  <w:shd w:val="clear" w:color="auto" w:fill="auto"/>
                  <w:noWrap/>
                  <w:vAlign w:val="center"/>
                </w:tcPr>
                <w:p w14:paraId="742EF3D3">
                  <w:pPr>
                    <w:widowControl/>
                    <w:jc w:val="center"/>
                    <w:rPr>
                      <w:rFonts w:eastAsiaTheme="majorEastAsia"/>
                      <w:kern w:val="0"/>
                      <w:sz w:val="18"/>
                      <w:szCs w:val="18"/>
                    </w:rPr>
                  </w:pPr>
                  <w:r>
                    <w:rPr>
                      <w:rFonts w:eastAsiaTheme="majorEastAsia"/>
                      <w:kern w:val="0"/>
                      <w:sz w:val="18"/>
                      <w:szCs w:val="18"/>
                    </w:rPr>
                    <w:t>2条线</w:t>
                  </w:r>
                </w:p>
              </w:tc>
            </w:tr>
            <w:tr w14:paraId="64EA1D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97" w:type="dxa"/>
                  <w:vMerge w:val="continue"/>
                  <w:vAlign w:val="center"/>
                </w:tcPr>
                <w:p w14:paraId="49C18CCE">
                  <w:pPr>
                    <w:widowControl/>
                    <w:jc w:val="left"/>
                    <w:rPr>
                      <w:rFonts w:eastAsiaTheme="majorEastAsia"/>
                      <w:kern w:val="0"/>
                      <w:sz w:val="18"/>
                      <w:szCs w:val="18"/>
                    </w:rPr>
                  </w:pPr>
                </w:p>
              </w:tc>
              <w:tc>
                <w:tcPr>
                  <w:tcW w:w="723" w:type="dxa"/>
                  <w:shd w:val="clear" w:color="auto" w:fill="auto"/>
                  <w:vAlign w:val="center"/>
                </w:tcPr>
                <w:p w14:paraId="2143925B">
                  <w:pPr>
                    <w:widowControl/>
                    <w:jc w:val="center"/>
                    <w:rPr>
                      <w:rFonts w:eastAsiaTheme="majorEastAsia"/>
                      <w:kern w:val="0"/>
                      <w:sz w:val="18"/>
                      <w:szCs w:val="18"/>
                    </w:rPr>
                  </w:pPr>
                  <w:r>
                    <w:rPr>
                      <w:rFonts w:eastAsiaTheme="majorEastAsia"/>
                      <w:kern w:val="0"/>
                      <w:sz w:val="18"/>
                      <w:szCs w:val="18"/>
                    </w:rPr>
                    <w:t>FDY纺丝油气G2-1-2</w:t>
                  </w:r>
                </w:p>
              </w:tc>
              <w:tc>
                <w:tcPr>
                  <w:tcW w:w="0" w:type="auto"/>
                  <w:shd w:val="clear" w:color="auto" w:fill="auto"/>
                  <w:noWrap/>
                  <w:vAlign w:val="center"/>
                </w:tcPr>
                <w:p w14:paraId="38526688">
                  <w:pPr>
                    <w:widowControl/>
                    <w:jc w:val="center"/>
                    <w:rPr>
                      <w:rFonts w:eastAsiaTheme="majorEastAsia"/>
                      <w:kern w:val="0"/>
                      <w:sz w:val="18"/>
                      <w:szCs w:val="18"/>
                    </w:rPr>
                  </w:pPr>
                  <w:r>
                    <w:rPr>
                      <w:rFonts w:eastAsiaTheme="majorEastAsia"/>
                      <w:kern w:val="0"/>
                      <w:sz w:val="18"/>
                      <w:szCs w:val="18"/>
                    </w:rPr>
                    <w:t xml:space="preserve">25000 </w:t>
                  </w:r>
                </w:p>
              </w:tc>
              <w:tc>
                <w:tcPr>
                  <w:tcW w:w="0" w:type="auto"/>
                  <w:shd w:val="clear" w:color="auto" w:fill="auto"/>
                  <w:vAlign w:val="center"/>
                </w:tcPr>
                <w:p w14:paraId="4C342F18">
                  <w:pPr>
                    <w:widowControl/>
                    <w:jc w:val="center"/>
                    <w:rPr>
                      <w:rFonts w:eastAsiaTheme="majorEastAsia"/>
                      <w:kern w:val="0"/>
                      <w:sz w:val="18"/>
                      <w:szCs w:val="18"/>
                    </w:rPr>
                  </w:pPr>
                  <w:r>
                    <w:rPr>
                      <w:rFonts w:eastAsiaTheme="majorEastAsia"/>
                      <w:kern w:val="0"/>
                      <w:sz w:val="18"/>
                      <w:szCs w:val="18"/>
                    </w:rPr>
                    <w:t>非甲烷总烃</w:t>
                  </w:r>
                </w:p>
              </w:tc>
              <w:tc>
                <w:tcPr>
                  <w:tcW w:w="0" w:type="auto"/>
                  <w:shd w:val="clear" w:color="auto" w:fill="auto"/>
                  <w:noWrap/>
                  <w:vAlign w:val="center"/>
                </w:tcPr>
                <w:p w14:paraId="08FF94B2">
                  <w:pPr>
                    <w:widowControl/>
                    <w:jc w:val="center"/>
                    <w:rPr>
                      <w:rFonts w:eastAsiaTheme="majorEastAsia"/>
                      <w:kern w:val="0"/>
                      <w:sz w:val="18"/>
                      <w:szCs w:val="18"/>
                    </w:rPr>
                  </w:pPr>
                  <w:r>
                    <w:rPr>
                      <w:rFonts w:eastAsiaTheme="majorEastAsia"/>
                      <w:kern w:val="0"/>
                      <w:sz w:val="18"/>
                      <w:szCs w:val="18"/>
                    </w:rPr>
                    <w:t xml:space="preserve">14.98 </w:t>
                  </w:r>
                </w:p>
              </w:tc>
              <w:tc>
                <w:tcPr>
                  <w:tcW w:w="0" w:type="auto"/>
                  <w:shd w:val="clear" w:color="auto" w:fill="auto"/>
                  <w:noWrap/>
                  <w:vAlign w:val="center"/>
                </w:tcPr>
                <w:p w14:paraId="4FF8367F">
                  <w:pPr>
                    <w:widowControl/>
                    <w:jc w:val="center"/>
                    <w:rPr>
                      <w:rFonts w:eastAsiaTheme="majorEastAsia"/>
                      <w:kern w:val="0"/>
                      <w:sz w:val="18"/>
                      <w:szCs w:val="18"/>
                    </w:rPr>
                  </w:pPr>
                  <w:r>
                    <w:rPr>
                      <w:rFonts w:eastAsiaTheme="majorEastAsia"/>
                      <w:kern w:val="0"/>
                      <w:sz w:val="18"/>
                      <w:szCs w:val="18"/>
                    </w:rPr>
                    <w:t xml:space="preserve">1.78 </w:t>
                  </w:r>
                </w:p>
              </w:tc>
              <w:tc>
                <w:tcPr>
                  <w:tcW w:w="0" w:type="auto"/>
                  <w:shd w:val="clear" w:color="auto" w:fill="auto"/>
                  <w:noWrap/>
                  <w:vAlign w:val="center"/>
                </w:tcPr>
                <w:p w14:paraId="004F8B12">
                  <w:pPr>
                    <w:widowControl/>
                    <w:jc w:val="center"/>
                    <w:rPr>
                      <w:rFonts w:eastAsiaTheme="majorEastAsia"/>
                      <w:kern w:val="0"/>
                      <w:sz w:val="18"/>
                      <w:szCs w:val="18"/>
                    </w:rPr>
                  </w:pPr>
                  <w:r>
                    <w:rPr>
                      <w:rFonts w:eastAsiaTheme="majorEastAsia"/>
                      <w:kern w:val="0"/>
                      <w:sz w:val="18"/>
                      <w:szCs w:val="18"/>
                    </w:rPr>
                    <w:t xml:space="preserve">71.20 </w:t>
                  </w:r>
                </w:p>
              </w:tc>
              <w:tc>
                <w:tcPr>
                  <w:tcW w:w="406" w:type="dxa"/>
                  <w:shd w:val="clear" w:color="auto" w:fill="auto"/>
                  <w:noWrap/>
                  <w:vAlign w:val="center"/>
                </w:tcPr>
                <w:p w14:paraId="0696D85B">
                  <w:pPr>
                    <w:widowControl/>
                    <w:jc w:val="center"/>
                    <w:rPr>
                      <w:rFonts w:eastAsiaTheme="majorEastAsia"/>
                      <w:kern w:val="0"/>
                      <w:sz w:val="18"/>
                      <w:szCs w:val="18"/>
                    </w:rPr>
                  </w:pPr>
                  <w:r>
                    <w:rPr>
                      <w:rFonts w:eastAsiaTheme="majorEastAsia"/>
                      <w:kern w:val="0"/>
                      <w:sz w:val="18"/>
                      <w:szCs w:val="18"/>
                    </w:rPr>
                    <w:t xml:space="preserve">95 </w:t>
                  </w:r>
                </w:p>
              </w:tc>
              <w:tc>
                <w:tcPr>
                  <w:tcW w:w="633" w:type="dxa"/>
                  <w:shd w:val="clear" w:color="auto" w:fill="auto"/>
                  <w:vAlign w:val="center"/>
                </w:tcPr>
                <w:p w14:paraId="63F6D1FB">
                  <w:pPr>
                    <w:widowControl/>
                    <w:jc w:val="center"/>
                    <w:rPr>
                      <w:rFonts w:eastAsiaTheme="majorEastAsia"/>
                      <w:kern w:val="0"/>
                      <w:sz w:val="18"/>
                      <w:szCs w:val="18"/>
                    </w:rPr>
                  </w:pPr>
                  <w:r>
                    <w:rPr>
                      <w:rFonts w:eastAsiaTheme="majorEastAsia"/>
                      <w:kern w:val="0"/>
                      <w:sz w:val="18"/>
                      <w:szCs w:val="18"/>
                    </w:rPr>
                    <w:t>静电除油</w:t>
                  </w:r>
                </w:p>
              </w:tc>
              <w:tc>
                <w:tcPr>
                  <w:tcW w:w="427" w:type="dxa"/>
                  <w:shd w:val="clear" w:color="auto" w:fill="auto"/>
                  <w:noWrap/>
                  <w:vAlign w:val="center"/>
                </w:tcPr>
                <w:p w14:paraId="0EE277DE">
                  <w:pPr>
                    <w:widowControl/>
                    <w:jc w:val="center"/>
                    <w:rPr>
                      <w:rFonts w:eastAsiaTheme="majorEastAsia"/>
                      <w:kern w:val="0"/>
                      <w:sz w:val="18"/>
                      <w:szCs w:val="18"/>
                    </w:rPr>
                  </w:pPr>
                  <w:r>
                    <w:rPr>
                      <w:rFonts w:eastAsiaTheme="majorEastAsia"/>
                      <w:kern w:val="0"/>
                      <w:sz w:val="18"/>
                      <w:szCs w:val="18"/>
                    </w:rPr>
                    <w:t xml:space="preserve">80 </w:t>
                  </w:r>
                </w:p>
              </w:tc>
              <w:tc>
                <w:tcPr>
                  <w:tcW w:w="498" w:type="dxa"/>
                  <w:shd w:val="clear" w:color="auto" w:fill="auto"/>
                  <w:noWrap/>
                  <w:vAlign w:val="center"/>
                </w:tcPr>
                <w:p w14:paraId="211D3FA4">
                  <w:pPr>
                    <w:widowControl/>
                    <w:jc w:val="center"/>
                    <w:rPr>
                      <w:rFonts w:eastAsiaTheme="majorEastAsia"/>
                      <w:kern w:val="0"/>
                      <w:sz w:val="18"/>
                      <w:szCs w:val="18"/>
                    </w:rPr>
                  </w:pPr>
                  <w:r>
                    <w:rPr>
                      <w:rFonts w:eastAsiaTheme="majorEastAsia"/>
                      <w:kern w:val="0"/>
                      <w:sz w:val="18"/>
                      <w:szCs w:val="18"/>
                    </w:rPr>
                    <w:t>是</w:t>
                  </w:r>
                </w:p>
              </w:tc>
              <w:tc>
                <w:tcPr>
                  <w:tcW w:w="0" w:type="auto"/>
                  <w:shd w:val="clear" w:color="auto" w:fill="auto"/>
                  <w:noWrap/>
                  <w:vAlign w:val="center"/>
                </w:tcPr>
                <w:p w14:paraId="7A1F2EB2">
                  <w:pPr>
                    <w:widowControl/>
                    <w:jc w:val="center"/>
                    <w:rPr>
                      <w:rFonts w:eastAsiaTheme="majorEastAsia"/>
                      <w:kern w:val="0"/>
                      <w:sz w:val="18"/>
                      <w:szCs w:val="18"/>
                    </w:rPr>
                  </w:pPr>
                  <w:r>
                    <w:rPr>
                      <w:rFonts w:eastAsiaTheme="majorEastAsia"/>
                      <w:kern w:val="0"/>
                      <w:sz w:val="18"/>
                      <w:szCs w:val="18"/>
                    </w:rPr>
                    <w:t xml:space="preserve">3.00 </w:t>
                  </w:r>
                </w:p>
              </w:tc>
              <w:tc>
                <w:tcPr>
                  <w:tcW w:w="557" w:type="dxa"/>
                  <w:shd w:val="clear" w:color="auto" w:fill="auto"/>
                  <w:noWrap/>
                  <w:vAlign w:val="center"/>
                </w:tcPr>
                <w:p w14:paraId="194F64BE">
                  <w:pPr>
                    <w:widowControl/>
                    <w:jc w:val="center"/>
                    <w:rPr>
                      <w:rFonts w:eastAsiaTheme="majorEastAsia"/>
                      <w:kern w:val="0"/>
                      <w:sz w:val="18"/>
                      <w:szCs w:val="18"/>
                    </w:rPr>
                  </w:pPr>
                  <w:r>
                    <w:rPr>
                      <w:rFonts w:eastAsiaTheme="majorEastAsia"/>
                      <w:kern w:val="0"/>
                      <w:sz w:val="18"/>
                      <w:szCs w:val="18"/>
                    </w:rPr>
                    <w:t xml:space="preserve">0.36 </w:t>
                  </w:r>
                </w:p>
              </w:tc>
              <w:tc>
                <w:tcPr>
                  <w:tcW w:w="716" w:type="dxa"/>
                  <w:shd w:val="clear" w:color="auto" w:fill="auto"/>
                  <w:noWrap/>
                  <w:vAlign w:val="center"/>
                </w:tcPr>
                <w:p w14:paraId="15D88D17">
                  <w:pPr>
                    <w:widowControl/>
                    <w:jc w:val="center"/>
                    <w:rPr>
                      <w:rFonts w:eastAsiaTheme="majorEastAsia"/>
                      <w:kern w:val="0"/>
                      <w:sz w:val="18"/>
                      <w:szCs w:val="18"/>
                    </w:rPr>
                  </w:pPr>
                  <w:r>
                    <w:rPr>
                      <w:rFonts w:eastAsiaTheme="majorEastAsia"/>
                      <w:kern w:val="0"/>
                      <w:sz w:val="18"/>
                      <w:szCs w:val="18"/>
                    </w:rPr>
                    <w:t xml:space="preserve">14.24 </w:t>
                  </w:r>
                </w:p>
              </w:tc>
              <w:tc>
                <w:tcPr>
                  <w:tcW w:w="567" w:type="dxa"/>
                  <w:shd w:val="clear" w:color="auto" w:fill="auto"/>
                  <w:noWrap/>
                  <w:vAlign w:val="center"/>
                </w:tcPr>
                <w:p w14:paraId="2FA96A72">
                  <w:pPr>
                    <w:widowControl/>
                    <w:jc w:val="center"/>
                    <w:rPr>
                      <w:rFonts w:eastAsiaTheme="majorEastAsia"/>
                      <w:kern w:val="0"/>
                      <w:sz w:val="18"/>
                      <w:szCs w:val="18"/>
                    </w:rPr>
                  </w:pPr>
                  <w:r>
                    <w:rPr>
                      <w:rFonts w:eastAsiaTheme="majorEastAsia"/>
                      <w:kern w:val="0"/>
                      <w:sz w:val="18"/>
                      <w:szCs w:val="18"/>
                    </w:rPr>
                    <w:t xml:space="preserve">26 </w:t>
                  </w:r>
                </w:p>
              </w:tc>
              <w:tc>
                <w:tcPr>
                  <w:tcW w:w="0" w:type="auto"/>
                  <w:shd w:val="clear" w:color="auto" w:fill="auto"/>
                  <w:noWrap/>
                  <w:vAlign w:val="center"/>
                </w:tcPr>
                <w:p w14:paraId="11656F02">
                  <w:pPr>
                    <w:widowControl/>
                    <w:jc w:val="center"/>
                    <w:rPr>
                      <w:rFonts w:eastAsiaTheme="majorEastAsia"/>
                      <w:kern w:val="0"/>
                      <w:sz w:val="18"/>
                      <w:szCs w:val="18"/>
                    </w:rPr>
                  </w:pPr>
                  <w:r>
                    <w:rPr>
                      <w:rFonts w:eastAsiaTheme="majorEastAsia"/>
                      <w:kern w:val="0"/>
                      <w:sz w:val="18"/>
                      <w:szCs w:val="18"/>
                    </w:rPr>
                    <w:t xml:space="preserve">1 </w:t>
                  </w:r>
                </w:p>
              </w:tc>
              <w:tc>
                <w:tcPr>
                  <w:tcW w:w="0" w:type="auto"/>
                  <w:shd w:val="clear" w:color="auto" w:fill="auto"/>
                  <w:noWrap/>
                  <w:vAlign w:val="center"/>
                </w:tcPr>
                <w:p w14:paraId="7B606029">
                  <w:pPr>
                    <w:widowControl/>
                    <w:jc w:val="center"/>
                    <w:rPr>
                      <w:rFonts w:eastAsiaTheme="majorEastAsia"/>
                      <w:kern w:val="0"/>
                      <w:sz w:val="18"/>
                      <w:szCs w:val="18"/>
                    </w:rPr>
                  </w:pPr>
                  <w:r>
                    <w:rPr>
                      <w:rFonts w:eastAsiaTheme="majorEastAsia"/>
                      <w:kern w:val="0"/>
                      <w:sz w:val="18"/>
                      <w:szCs w:val="18"/>
                    </w:rPr>
                    <w:t xml:space="preserve">25 </w:t>
                  </w:r>
                </w:p>
              </w:tc>
              <w:tc>
                <w:tcPr>
                  <w:tcW w:w="0" w:type="auto"/>
                  <w:shd w:val="clear" w:color="auto" w:fill="auto"/>
                  <w:noWrap/>
                  <w:vAlign w:val="center"/>
                </w:tcPr>
                <w:p w14:paraId="3B560D31">
                  <w:pPr>
                    <w:widowControl/>
                    <w:jc w:val="center"/>
                    <w:rPr>
                      <w:rFonts w:eastAsiaTheme="majorEastAsia"/>
                      <w:kern w:val="0"/>
                      <w:sz w:val="18"/>
                      <w:szCs w:val="18"/>
                    </w:rPr>
                  </w:pPr>
                  <w:r>
                    <w:rPr>
                      <w:rFonts w:eastAsiaTheme="majorEastAsia"/>
                      <w:kern w:val="0"/>
                      <w:sz w:val="18"/>
                      <w:szCs w:val="18"/>
                    </w:rPr>
                    <w:t>连续</w:t>
                  </w:r>
                </w:p>
              </w:tc>
              <w:tc>
                <w:tcPr>
                  <w:tcW w:w="0" w:type="auto"/>
                  <w:shd w:val="clear" w:color="auto" w:fill="auto"/>
                  <w:noWrap/>
                  <w:vAlign w:val="center"/>
                </w:tcPr>
                <w:p w14:paraId="6F44D3DC">
                  <w:pPr>
                    <w:widowControl/>
                    <w:jc w:val="center"/>
                    <w:rPr>
                      <w:rFonts w:eastAsiaTheme="majorEastAsia"/>
                      <w:kern w:val="0"/>
                      <w:sz w:val="18"/>
                      <w:szCs w:val="18"/>
                    </w:rPr>
                  </w:pPr>
                  <w:r>
                    <w:rPr>
                      <w:rFonts w:eastAsiaTheme="majorEastAsia"/>
                      <w:kern w:val="0"/>
                      <w:sz w:val="18"/>
                      <w:szCs w:val="18"/>
                    </w:rPr>
                    <w:t>DA012</w:t>
                  </w:r>
                </w:p>
              </w:tc>
              <w:tc>
                <w:tcPr>
                  <w:tcW w:w="0" w:type="auto"/>
                  <w:shd w:val="clear" w:color="auto" w:fill="auto"/>
                  <w:noWrap/>
                  <w:vAlign w:val="center"/>
                </w:tcPr>
                <w:p w14:paraId="3E808E91">
                  <w:pPr>
                    <w:widowControl/>
                    <w:jc w:val="center"/>
                    <w:rPr>
                      <w:rFonts w:eastAsiaTheme="majorEastAsia"/>
                      <w:kern w:val="0"/>
                      <w:sz w:val="18"/>
                      <w:szCs w:val="18"/>
                    </w:rPr>
                  </w:pPr>
                  <w:r>
                    <w:rPr>
                      <w:rFonts w:eastAsiaTheme="majorEastAsia"/>
                      <w:kern w:val="0"/>
                      <w:sz w:val="18"/>
                      <w:szCs w:val="18"/>
                    </w:rPr>
                    <w:t>2条线</w:t>
                  </w:r>
                </w:p>
              </w:tc>
            </w:tr>
            <w:tr w14:paraId="319071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7" w:type="dxa"/>
                  <w:vMerge w:val="restart"/>
                  <w:shd w:val="clear" w:color="auto" w:fill="auto"/>
                  <w:noWrap/>
                  <w:vAlign w:val="center"/>
                </w:tcPr>
                <w:p w14:paraId="046872E8">
                  <w:pPr>
                    <w:widowControl/>
                    <w:jc w:val="center"/>
                    <w:rPr>
                      <w:rFonts w:eastAsiaTheme="majorEastAsia"/>
                      <w:kern w:val="0"/>
                      <w:sz w:val="18"/>
                      <w:szCs w:val="18"/>
                    </w:rPr>
                  </w:pPr>
                  <w:r>
                    <w:rPr>
                      <w:rFonts w:eastAsiaTheme="majorEastAsia"/>
                      <w:kern w:val="0"/>
                      <w:sz w:val="18"/>
                      <w:szCs w:val="18"/>
                    </w:rPr>
                    <w:t>三期</w:t>
                  </w:r>
                </w:p>
              </w:tc>
              <w:tc>
                <w:tcPr>
                  <w:tcW w:w="723" w:type="dxa"/>
                  <w:shd w:val="clear" w:color="auto" w:fill="auto"/>
                  <w:vAlign w:val="center"/>
                </w:tcPr>
                <w:p w14:paraId="360CEE32">
                  <w:pPr>
                    <w:widowControl/>
                    <w:jc w:val="center"/>
                    <w:rPr>
                      <w:rFonts w:eastAsiaTheme="majorEastAsia"/>
                      <w:kern w:val="0"/>
                      <w:sz w:val="18"/>
                      <w:szCs w:val="18"/>
                    </w:rPr>
                  </w:pPr>
                  <w:r>
                    <w:rPr>
                      <w:rFonts w:eastAsiaTheme="majorEastAsia"/>
                      <w:kern w:val="0"/>
                      <w:sz w:val="18"/>
                      <w:szCs w:val="18"/>
                    </w:rPr>
                    <w:t>POY纺丝油气G1-2</w:t>
                  </w:r>
                </w:p>
              </w:tc>
              <w:tc>
                <w:tcPr>
                  <w:tcW w:w="0" w:type="auto"/>
                  <w:vMerge w:val="restart"/>
                  <w:shd w:val="clear" w:color="auto" w:fill="auto"/>
                  <w:noWrap/>
                  <w:vAlign w:val="center"/>
                </w:tcPr>
                <w:p w14:paraId="291ACBAF">
                  <w:pPr>
                    <w:widowControl/>
                    <w:jc w:val="center"/>
                    <w:rPr>
                      <w:rFonts w:eastAsiaTheme="majorEastAsia"/>
                      <w:kern w:val="0"/>
                      <w:sz w:val="18"/>
                      <w:szCs w:val="18"/>
                    </w:rPr>
                  </w:pPr>
                  <w:r>
                    <w:rPr>
                      <w:rFonts w:eastAsiaTheme="majorEastAsia"/>
                      <w:kern w:val="0"/>
                      <w:sz w:val="18"/>
                      <w:szCs w:val="18"/>
                    </w:rPr>
                    <w:t xml:space="preserve">20000 </w:t>
                  </w:r>
                </w:p>
              </w:tc>
              <w:tc>
                <w:tcPr>
                  <w:tcW w:w="0" w:type="auto"/>
                  <w:shd w:val="clear" w:color="auto" w:fill="auto"/>
                  <w:vAlign w:val="center"/>
                </w:tcPr>
                <w:p w14:paraId="0404B20C">
                  <w:pPr>
                    <w:widowControl/>
                    <w:jc w:val="center"/>
                    <w:rPr>
                      <w:rFonts w:eastAsiaTheme="majorEastAsia"/>
                      <w:kern w:val="0"/>
                      <w:sz w:val="18"/>
                      <w:szCs w:val="18"/>
                    </w:rPr>
                  </w:pPr>
                  <w:r>
                    <w:rPr>
                      <w:rFonts w:eastAsiaTheme="majorEastAsia"/>
                      <w:kern w:val="0"/>
                      <w:sz w:val="18"/>
                      <w:szCs w:val="18"/>
                    </w:rPr>
                    <w:t>非甲烷总烃</w:t>
                  </w:r>
                </w:p>
              </w:tc>
              <w:tc>
                <w:tcPr>
                  <w:tcW w:w="0" w:type="auto"/>
                  <w:shd w:val="clear" w:color="auto" w:fill="auto"/>
                  <w:noWrap/>
                  <w:vAlign w:val="center"/>
                </w:tcPr>
                <w:p w14:paraId="432F360C">
                  <w:pPr>
                    <w:widowControl/>
                    <w:jc w:val="center"/>
                    <w:rPr>
                      <w:rFonts w:eastAsiaTheme="majorEastAsia"/>
                      <w:kern w:val="0"/>
                      <w:sz w:val="18"/>
                      <w:szCs w:val="18"/>
                    </w:rPr>
                  </w:pPr>
                  <w:r>
                    <w:rPr>
                      <w:rFonts w:eastAsiaTheme="majorEastAsia"/>
                      <w:kern w:val="0"/>
                      <w:sz w:val="18"/>
                      <w:szCs w:val="18"/>
                    </w:rPr>
                    <w:t xml:space="preserve">3.95 </w:t>
                  </w:r>
                </w:p>
              </w:tc>
              <w:tc>
                <w:tcPr>
                  <w:tcW w:w="0" w:type="auto"/>
                  <w:shd w:val="clear" w:color="auto" w:fill="auto"/>
                  <w:noWrap/>
                  <w:vAlign w:val="center"/>
                </w:tcPr>
                <w:p w14:paraId="05395356">
                  <w:pPr>
                    <w:widowControl/>
                    <w:jc w:val="center"/>
                    <w:rPr>
                      <w:rFonts w:eastAsiaTheme="majorEastAsia"/>
                      <w:kern w:val="0"/>
                      <w:sz w:val="18"/>
                      <w:szCs w:val="18"/>
                    </w:rPr>
                  </w:pPr>
                  <w:r>
                    <w:rPr>
                      <w:rFonts w:eastAsiaTheme="majorEastAsia"/>
                      <w:kern w:val="0"/>
                      <w:sz w:val="18"/>
                      <w:szCs w:val="18"/>
                    </w:rPr>
                    <w:t xml:space="preserve">0.47 </w:t>
                  </w:r>
                </w:p>
              </w:tc>
              <w:tc>
                <w:tcPr>
                  <w:tcW w:w="0" w:type="auto"/>
                  <w:shd w:val="clear" w:color="auto" w:fill="auto"/>
                  <w:noWrap/>
                  <w:vAlign w:val="center"/>
                </w:tcPr>
                <w:p w14:paraId="033ED014">
                  <w:pPr>
                    <w:widowControl/>
                    <w:jc w:val="center"/>
                    <w:rPr>
                      <w:rFonts w:eastAsiaTheme="majorEastAsia"/>
                      <w:kern w:val="0"/>
                      <w:sz w:val="18"/>
                      <w:szCs w:val="18"/>
                    </w:rPr>
                  </w:pPr>
                  <w:r>
                    <w:rPr>
                      <w:rFonts w:eastAsiaTheme="majorEastAsia"/>
                      <w:kern w:val="0"/>
                      <w:sz w:val="18"/>
                      <w:szCs w:val="18"/>
                    </w:rPr>
                    <w:t xml:space="preserve">23.50 </w:t>
                  </w:r>
                </w:p>
              </w:tc>
              <w:tc>
                <w:tcPr>
                  <w:tcW w:w="406" w:type="dxa"/>
                  <w:vMerge w:val="restart"/>
                  <w:shd w:val="clear" w:color="auto" w:fill="auto"/>
                  <w:noWrap/>
                  <w:vAlign w:val="center"/>
                </w:tcPr>
                <w:p w14:paraId="1BC14DD5">
                  <w:pPr>
                    <w:widowControl/>
                    <w:jc w:val="center"/>
                    <w:rPr>
                      <w:rFonts w:eastAsiaTheme="majorEastAsia"/>
                      <w:kern w:val="0"/>
                      <w:sz w:val="18"/>
                      <w:szCs w:val="18"/>
                    </w:rPr>
                  </w:pPr>
                  <w:r>
                    <w:rPr>
                      <w:rFonts w:eastAsiaTheme="majorEastAsia"/>
                      <w:kern w:val="0"/>
                      <w:sz w:val="18"/>
                      <w:szCs w:val="18"/>
                    </w:rPr>
                    <w:t xml:space="preserve">95 </w:t>
                  </w:r>
                </w:p>
              </w:tc>
              <w:tc>
                <w:tcPr>
                  <w:tcW w:w="633" w:type="dxa"/>
                  <w:vMerge w:val="restart"/>
                  <w:shd w:val="clear" w:color="auto" w:fill="auto"/>
                  <w:noWrap/>
                  <w:vAlign w:val="center"/>
                </w:tcPr>
                <w:p w14:paraId="61D3B18E">
                  <w:pPr>
                    <w:widowControl/>
                    <w:jc w:val="center"/>
                    <w:rPr>
                      <w:rFonts w:eastAsiaTheme="majorEastAsia"/>
                      <w:kern w:val="0"/>
                      <w:sz w:val="18"/>
                      <w:szCs w:val="18"/>
                    </w:rPr>
                  </w:pPr>
                  <w:r>
                    <w:rPr>
                      <w:rFonts w:eastAsiaTheme="majorEastAsia"/>
                      <w:kern w:val="0"/>
                      <w:sz w:val="18"/>
                      <w:szCs w:val="18"/>
                    </w:rPr>
                    <w:t>静电除油</w:t>
                  </w:r>
                </w:p>
              </w:tc>
              <w:tc>
                <w:tcPr>
                  <w:tcW w:w="427" w:type="dxa"/>
                  <w:vMerge w:val="restart"/>
                  <w:shd w:val="clear" w:color="auto" w:fill="auto"/>
                  <w:noWrap/>
                  <w:vAlign w:val="center"/>
                </w:tcPr>
                <w:p w14:paraId="114F88E1">
                  <w:pPr>
                    <w:widowControl/>
                    <w:jc w:val="center"/>
                    <w:rPr>
                      <w:rFonts w:eastAsiaTheme="majorEastAsia"/>
                      <w:kern w:val="0"/>
                      <w:sz w:val="18"/>
                      <w:szCs w:val="18"/>
                    </w:rPr>
                  </w:pPr>
                  <w:r>
                    <w:rPr>
                      <w:rFonts w:eastAsiaTheme="majorEastAsia"/>
                      <w:kern w:val="0"/>
                      <w:sz w:val="18"/>
                      <w:szCs w:val="18"/>
                    </w:rPr>
                    <w:t xml:space="preserve">80 </w:t>
                  </w:r>
                </w:p>
              </w:tc>
              <w:tc>
                <w:tcPr>
                  <w:tcW w:w="498" w:type="dxa"/>
                  <w:vMerge w:val="restart"/>
                  <w:shd w:val="clear" w:color="auto" w:fill="auto"/>
                  <w:noWrap/>
                  <w:vAlign w:val="center"/>
                </w:tcPr>
                <w:p w14:paraId="3342CF9E">
                  <w:pPr>
                    <w:widowControl/>
                    <w:jc w:val="center"/>
                    <w:rPr>
                      <w:rFonts w:eastAsiaTheme="majorEastAsia"/>
                      <w:kern w:val="0"/>
                      <w:sz w:val="18"/>
                      <w:szCs w:val="18"/>
                    </w:rPr>
                  </w:pPr>
                  <w:r>
                    <w:rPr>
                      <w:rFonts w:eastAsiaTheme="majorEastAsia"/>
                      <w:kern w:val="0"/>
                      <w:sz w:val="18"/>
                      <w:szCs w:val="18"/>
                    </w:rPr>
                    <w:t>是</w:t>
                  </w:r>
                </w:p>
              </w:tc>
              <w:tc>
                <w:tcPr>
                  <w:tcW w:w="0" w:type="auto"/>
                  <w:vMerge w:val="restart"/>
                  <w:shd w:val="clear" w:color="auto" w:fill="auto"/>
                  <w:noWrap/>
                  <w:vAlign w:val="center"/>
                </w:tcPr>
                <w:p w14:paraId="2523BCDD">
                  <w:pPr>
                    <w:widowControl/>
                    <w:jc w:val="center"/>
                    <w:rPr>
                      <w:rFonts w:eastAsiaTheme="majorEastAsia"/>
                      <w:kern w:val="0"/>
                      <w:sz w:val="18"/>
                      <w:szCs w:val="18"/>
                    </w:rPr>
                  </w:pPr>
                  <w:r>
                    <w:rPr>
                      <w:rFonts w:eastAsiaTheme="majorEastAsia"/>
                      <w:kern w:val="0"/>
                      <w:sz w:val="18"/>
                      <w:szCs w:val="18"/>
                    </w:rPr>
                    <w:t xml:space="preserve">1.55 </w:t>
                  </w:r>
                </w:p>
              </w:tc>
              <w:tc>
                <w:tcPr>
                  <w:tcW w:w="557" w:type="dxa"/>
                  <w:vMerge w:val="restart"/>
                  <w:shd w:val="clear" w:color="auto" w:fill="auto"/>
                  <w:noWrap/>
                  <w:vAlign w:val="center"/>
                </w:tcPr>
                <w:p w14:paraId="6711234E">
                  <w:pPr>
                    <w:widowControl/>
                    <w:jc w:val="center"/>
                    <w:rPr>
                      <w:rFonts w:eastAsiaTheme="majorEastAsia"/>
                      <w:kern w:val="0"/>
                      <w:sz w:val="18"/>
                      <w:szCs w:val="18"/>
                    </w:rPr>
                  </w:pPr>
                  <w:r>
                    <w:rPr>
                      <w:rFonts w:eastAsiaTheme="majorEastAsia"/>
                      <w:kern w:val="0"/>
                      <w:sz w:val="18"/>
                      <w:szCs w:val="18"/>
                    </w:rPr>
                    <w:t xml:space="preserve">0.18 </w:t>
                  </w:r>
                </w:p>
              </w:tc>
              <w:tc>
                <w:tcPr>
                  <w:tcW w:w="716" w:type="dxa"/>
                  <w:vMerge w:val="restart"/>
                  <w:shd w:val="clear" w:color="auto" w:fill="auto"/>
                  <w:noWrap/>
                  <w:vAlign w:val="center"/>
                </w:tcPr>
                <w:p w14:paraId="178449F2">
                  <w:pPr>
                    <w:widowControl/>
                    <w:jc w:val="center"/>
                    <w:rPr>
                      <w:rFonts w:eastAsiaTheme="majorEastAsia"/>
                      <w:kern w:val="0"/>
                      <w:sz w:val="18"/>
                      <w:szCs w:val="18"/>
                    </w:rPr>
                  </w:pPr>
                  <w:r>
                    <w:rPr>
                      <w:rFonts w:eastAsiaTheme="majorEastAsia"/>
                      <w:kern w:val="0"/>
                      <w:sz w:val="18"/>
                      <w:szCs w:val="18"/>
                    </w:rPr>
                    <w:t xml:space="preserve">9.20 </w:t>
                  </w:r>
                </w:p>
              </w:tc>
              <w:tc>
                <w:tcPr>
                  <w:tcW w:w="567" w:type="dxa"/>
                  <w:vMerge w:val="restart"/>
                  <w:shd w:val="clear" w:color="auto" w:fill="auto"/>
                  <w:noWrap/>
                  <w:vAlign w:val="center"/>
                </w:tcPr>
                <w:p w14:paraId="49157DE3">
                  <w:pPr>
                    <w:widowControl/>
                    <w:jc w:val="center"/>
                    <w:rPr>
                      <w:rFonts w:eastAsiaTheme="majorEastAsia"/>
                      <w:kern w:val="0"/>
                      <w:sz w:val="18"/>
                      <w:szCs w:val="18"/>
                    </w:rPr>
                  </w:pPr>
                  <w:r>
                    <w:rPr>
                      <w:rFonts w:eastAsiaTheme="majorEastAsia"/>
                      <w:kern w:val="0"/>
                      <w:sz w:val="18"/>
                      <w:szCs w:val="18"/>
                    </w:rPr>
                    <w:t xml:space="preserve">26 </w:t>
                  </w:r>
                </w:p>
              </w:tc>
              <w:tc>
                <w:tcPr>
                  <w:tcW w:w="0" w:type="auto"/>
                  <w:vMerge w:val="restart"/>
                  <w:shd w:val="clear" w:color="auto" w:fill="auto"/>
                  <w:noWrap/>
                  <w:vAlign w:val="center"/>
                </w:tcPr>
                <w:p w14:paraId="588B576A">
                  <w:pPr>
                    <w:widowControl/>
                    <w:jc w:val="center"/>
                    <w:rPr>
                      <w:rFonts w:eastAsiaTheme="majorEastAsia"/>
                      <w:kern w:val="0"/>
                      <w:sz w:val="18"/>
                      <w:szCs w:val="18"/>
                    </w:rPr>
                  </w:pPr>
                  <w:r>
                    <w:rPr>
                      <w:rFonts w:eastAsiaTheme="majorEastAsia"/>
                      <w:kern w:val="0"/>
                      <w:sz w:val="18"/>
                      <w:szCs w:val="18"/>
                    </w:rPr>
                    <w:t xml:space="preserve">1 </w:t>
                  </w:r>
                </w:p>
              </w:tc>
              <w:tc>
                <w:tcPr>
                  <w:tcW w:w="0" w:type="auto"/>
                  <w:vMerge w:val="restart"/>
                  <w:shd w:val="clear" w:color="auto" w:fill="auto"/>
                  <w:noWrap/>
                  <w:vAlign w:val="center"/>
                </w:tcPr>
                <w:p w14:paraId="74A55133">
                  <w:pPr>
                    <w:widowControl/>
                    <w:jc w:val="center"/>
                    <w:rPr>
                      <w:rFonts w:eastAsiaTheme="majorEastAsia"/>
                      <w:kern w:val="0"/>
                      <w:sz w:val="18"/>
                      <w:szCs w:val="18"/>
                    </w:rPr>
                  </w:pPr>
                  <w:r>
                    <w:rPr>
                      <w:rFonts w:eastAsiaTheme="majorEastAsia"/>
                      <w:kern w:val="0"/>
                      <w:sz w:val="18"/>
                      <w:szCs w:val="18"/>
                    </w:rPr>
                    <w:t xml:space="preserve">25 </w:t>
                  </w:r>
                </w:p>
              </w:tc>
              <w:tc>
                <w:tcPr>
                  <w:tcW w:w="0" w:type="auto"/>
                  <w:vMerge w:val="restart"/>
                  <w:shd w:val="clear" w:color="auto" w:fill="auto"/>
                  <w:noWrap/>
                  <w:vAlign w:val="center"/>
                </w:tcPr>
                <w:p w14:paraId="05290D9D">
                  <w:pPr>
                    <w:widowControl/>
                    <w:jc w:val="center"/>
                    <w:rPr>
                      <w:rFonts w:eastAsiaTheme="majorEastAsia"/>
                      <w:kern w:val="0"/>
                      <w:sz w:val="18"/>
                      <w:szCs w:val="18"/>
                    </w:rPr>
                  </w:pPr>
                  <w:r>
                    <w:rPr>
                      <w:rFonts w:eastAsiaTheme="majorEastAsia"/>
                      <w:kern w:val="0"/>
                      <w:sz w:val="18"/>
                      <w:szCs w:val="18"/>
                    </w:rPr>
                    <w:t>连续</w:t>
                  </w:r>
                </w:p>
              </w:tc>
              <w:tc>
                <w:tcPr>
                  <w:tcW w:w="0" w:type="auto"/>
                  <w:vMerge w:val="restart"/>
                  <w:shd w:val="clear" w:color="auto" w:fill="auto"/>
                  <w:noWrap/>
                  <w:vAlign w:val="center"/>
                </w:tcPr>
                <w:p w14:paraId="12FBEBB9">
                  <w:pPr>
                    <w:widowControl/>
                    <w:jc w:val="center"/>
                    <w:rPr>
                      <w:rFonts w:eastAsiaTheme="majorEastAsia"/>
                      <w:kern w:val="0"/>
                      <w:sz w:val="18"/>
                      <w:szCs w:val="18"/>
                    </w:rPr>
                  </w:pPr>
                  <w:r>
                    <w:rPr>
                      <w:rFonts w:eastAsiaTheme="majorEastAsia"/>
                      <w:kern w:val="0"/>
                      <w:sz w:val="18"/>
                      <w:szCs w:val="18"/>
                    </w:rPr>
                    <w:t>DA013</w:t>
                  </w:r>
                </w:p>
              </w:tc>
              <w:tc>
                <w:tcPr>
                  <w:tcW w:w="0" w:type="auto"/>
                  <w:shd w:val="clear" w:color="auto" w:fill="auto"/>
                  <w:noWrap/>
                  <w:vAlign w:val="center"/>
                </w:tcPr>
                <w:p w14:paraId="658EC7B6">
                  <w:pPr>
                    <w:widowControl/>
                    <w:jc w:val="center"/>
                    <w:rPr>
                      <w:rFonts w:eastAsiaTheme="majorEastAsia"/>
                      <w:kern w:val="0"/>
                      <w:sz w:val="18"/>
                      <w:szCs w:val="18"/>
                    </w:rPr>
                  </w:pPr>
                  <w:r>
                    <w:rPr>
                      <w:rFonts w:eastAsiaTheme="majorEastAsia"/>
                      <w:kern w:val="0"/>
                      <w:sz w:val="18"/>
                      <w:szCs w:val="18"/>
                    </w:rPr>
                    <w:t>4条线</w:t>
                  </w:r>
                </w:p>
              </w:tc>
            </w:tr>
            <w:tr w14:paraId="10656D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7" w:type="dxa"/>
                  <w:vMerge w:val="continue"/>
                  <w:vAlign w:val="center"/>
                </w:tcPr>
                <w:p w14:paraId="0D4FC013">
                  <w:pPr>
                    <w:widowControl/>
                    <w:jc w:val="left"/>
                    <w:rPr>
                      <w:rFonts w:eastAsiaTheme="majorEastAsia"/>
                      <w:kern w:val="0"/>
                      <w:sz w:val="18"/>
                      <w:szCs w:val="18"/>
                    </w:rPr>
                  </w:pPr>
                </w:p>
              </w:tc>
              <w:tc>
                <w:tcPr>
                  <w:tcW w:w="723" w:type="dxa"/>
                  <w:shd w:val="clear" w:color="auto" w:fill="auto"/>
                  <w:vAlign w:val="center"/>
                </w:tcPr>
                <w:p w14:paraId="47885345">
                  <w:pPr>
                    <w:widowControl/>
                    <w:jc w:val="center"/>
                    <w:rPr>
                      <w:rFonts w:eastAsiaTheme="majorEastAsia"/>
                      <w:kern w:val="0"/>
                      <w:sz w:val="18"/>
                      <w:szCs w:val="18"/>
                    </w:rPr>
                  </w:pPr>
                  <w:r>
                    <w:rPr>
                      <w:rFonts w:eastAsiaTheme="majorEastAsia"/>
                      <w:kern w:val="0"/>
                      <w:sz w:val="18"/>
                      <w:szCs w:val="18"/>
                    </w:rPr>
                    <w:t>BEY纺丝油气G3-2</w:t>
                  </w:r>
                </w:p>
              </w:tc>
              <w:tc>
                <w:tcPr>
                  <w:tcW w:w="0" w:type="auto"/>
                  <w:vMerge w:val="continue"/>
                  <w:vAlign w:val="center"/>
                </w:tcPr>
                <w:p w14:paraId="53EF6B03">
                  <w:pPr>
                    <w:widowControl/>
                    <w:jc w:val="left"/>
                    <w:rPr>
                      <w:rFonts w:eastAsiaTheme="majorEastAsia"/>
                      <w:kern w:val="0"/>
                      <w:sz w:val="18"/>
                      <w:szCs w:val="18"/>
                    </w:rPr>
                  </w:pPr>
                </w:p>
              </w:tc>
              <w:tc>
                <w:tcPr>
                  <w:tcW w:w="0" w:type="auto"/>
                  <w:shd w:val="clear" w:color="auto" w:fill="auto"/>
                  <w:vAlign w:val="center"/>
                </w:tcPr>
                <w:p w14:paraId="22E92FFA">
                  <w:pPr>
                    <w:widowControl/>
                    <w:jc w:val="center"/>
                    <w:rPr>
                      <w:rFonts w:eastAsiaTheme="majorEastAsia"/>
                      <w:kern w:val="0"/>
                      <w:sz w:val="18"/>
                      <w:szCs w:val="18"/>
                    </w:rPr>
                  </w:pPr>
                  <w:r>
                    <w:rPr>
                      <w:rFonts w:eastAsiaTheme="majorEastAsia"/>
                      <w:kern w:val="0"/>
                      <w:sz w:val="18"/>
                      <w:szCs w:val="18"/>
                    </w:rPr>
                    <w:t>非甲烷总烃</w:t>
                  </w:r>
                </w:p>
              </w:tc>
              <w:tc>
                <w:tcPr>
                  <w:tcW w:w="0" w:type="auto"/>
                  <w:shd w:val="clear" w:color="auto" w:fill="auto"/>
                  <w:noWrap/>
                  <w:vAlign w:val="center"/>
                </w:tcPr>
                <w:p w14:paraId="66E25426">
                  <w:pPr>
                    <w:widowControl/>
                    <w:jc w:val="center"/>
                    <w:rPr>
                      <w:rFonts w:eastAsiaTheme="majorEastAsia"/>
                      <w:kern w:val="0"/>
                      <w:sz w:val="18"/>
                      <w:szCs w:val="18"/>
                    </w:rPr>
                  </w:pPr>
                  <w:r>
                    <w:rPr>
                      <w:rFonts w:eastAsiaTheme="majorEastAsia"/>
                      <w:kern w:val="0"/>
                      <w:sz w:val="18"/>
                      <w:szCs w:val="18"/>
                    </w:rPr>
                    <w:t xml:space="preserve">2.28 </w:t>
                  </w:r>
                </w:p>
              </w:tc>
              <w:tc>
                <w:tcPr>
                  <w:tcW w:w="0" w:type="auto"/>
                  <w:shd w:val="clear" w:color="auto" w:fill="auto"/>
                  <w:noWrap/>
                  <w:vAlign w:val="center"/>
                </w:tcPr>
                <w:p w14:paraId="13C316D7">
                  <w:pPr>
                    <w:widowControl/>
                    <w:jc w:val="center"/>
                    <w:rPr>
                      <w:rFonts w:eastAsiaTheme="majorEastAsia"/>
                      <w:kern w:val="0"/>
                      <w:sz w:val="18"/>
                      <w:szCs w:val="18"/>
                    </w:rPr>
                  </w:pPr>
                  <w:r>
                    <w:rPr>
                      <w:rFonts w:eastAsiaTheme="majorEastAsia"/>
                      <w:kern w:val="0"/>
                      <w:sz w:val="18"/>
                      <w:szCs w:val="18"/>
                    </w:rPr>
                    <w:t xml:space="preserve">0.27 </w:t>
                  </w:r>
                </w:p>
              </w:tc>
              <w:tc>
                <w:tcPr>
                  <w:tcW w:w="0" w:type="auto"/>
                  <w:shd w:val="clear" w:color="auto" w:fill="auto"/>
                  <w:noWrap/>
                  <w:vAlign w:val="center"/>
                </w:tcPr>
                <w:p w14:paraId="3E4FF233">
                  <w:pPr>
                    <w:widowControl/>
                    <w:jc w:val="center"/>
                    <w:rPr>
                      <w:rFonts w:eastAsiaTheme="majorEastAsia"/>
                      <w:kern w:val="0"/>
                      <w:sz w:val="18"/>
                      <w:szCs w:val="18"/>
                    </w:rPr>
                  </w:pPr>
                  <w:r>
                    <w:rPr>
                      <w:rFonts w:eastAsiaTheme="majorEastAsia"/>
                      <w:kern w:val="0"/>
                      <w:sz w:val="18"/>
                      <w:szCs w:val="18"/>
                    </w:rPr>
                    <w:t xml:space="preserve">13.50 </w:t>
                  </w:r>
                </w:p>
              </w:tc>
              <w:tc>
                <w:tcPr>
                  <w:tcW w:w="406" w:type="dxa"/>
                  <w:vMerge w:val="continue"/>
                  <w:vAlign w:val="center"/>
                </w:tcPr>
                <w:p w14:paraId="1C0B5BEE">
                  <w:pPr>
                    <w:widowControl/>
                    <w:jc w:val="left"/>
                    <w:rPr>
                      <w:rFonts w:eastAsiaTheme="majorEastAsia"/>
                      <w:kern w:val="0"/>
                      <w:sz w:val="18"/>
                      <w:szCs w:val="18"/>
                    </w:rPr>
                  </w:pPr>
                </w:p>
              </w:tc>
              <w:tc>
                <w:tcPr>
                  <w:tcW w:w="633" w:type="dxa"/>
                  <w:vMerge w:val="continue"/>
                  <w:vAlign w:val="center"/>
                </w:tcPr>
                <w:p w14:paraId="7AD28549">
                  <w:pPr>
                    <w:widowControl/>
                    <w:jc w:val="left"/>
                    <w:rPr>
                      <w:rFonts w:eastAsiaTheme="majorEastAsia"/>
                      <w:kern w:val="0"/>
                      <w:sz w:val="18"/>
                      <w:szCs w:val="18"/>
                    </w:rPr>
                  </w:pPr>
                </w:p>
              </w:tc>
              <w:tc>
                <w:tcPr>
                  <w:tcW w:w="427" w:type="dxa"/>
                  <w:vMerge w:val="continue"/>
                  <w:vAlign w:val="center"/>
                </w:tcPr>
                <w:p w14:paraId="79503AD3">
                  <w:pPr>
                    <w:widowControl/>
                    <w:jc w:val="left"/>
                    <w:rPr>
                      <w:rFonts w:eastAsiaTheme="majorEastAsia"/>
                      <w:kern w:val="0"/>
                      <w:sz w:val="18"/>
                      <w:szCs w:val="18"/>
                    </w:rPr>
                  </w:pPr>
                </w:p>
              </w:tc>
              <w:tc>
                <w:tcPr>
                  <w:tcW w:w="498" w:type="dxa"/>
                  <w:vMerge w:val="continue"/>
                  <w:vAlign w:val="center"/>
                </w:tcPr>
                <w:p w14:paraId="15EDB3DB">
                  <w:pPr>
                    <w:widowControl/>
                    <w:jc w:val="left"/>
                    <w:rPr>
                      <w:rFonts w:eastAsiaTheme="majorEastAsia"/>
                      <w:kern w:val="0"/>
                      <w:sz w:val="18"/>
                      <w:szCs w:val="18"/>
                    </w:rPr>
                  </w:pPr>
                </w:p>
              </w:tc>
              <w:tc>
                <w:tcPr>
                  <w:tcW w:w="0" w:type="auto"/>
                  <w:vMerge w:val="continue"/>
                  <w:vAlign w:val="center"/>
                </w:tcPr>
                <w:p w14:paraId="5B198E22">
                  <w:pPr>
                    <w:widowControl/>
                    <w:jc w:val="left"/>
                    <w:rPr>
                      <w:rFonts w:eastAsiaTheme="majorEastAsia"/>
                      <w:kern w:val="0"/>
                      <w:sz w:val="18"/>
                      <w:szCs w:val="18"/>
                    </w:rPr>
                  </w:pPr>
                </w:p>
              </w:tc>
              <w:tc>
                <w:tcPr>
                  <w:tcW w:w="557" w:type="dxa"/>
                  <w:vMerge w:val="continue"/>
                  <w:vAlign w:val="center"/>
                </w:tcPr>
                <w:p w14:paraId="7E6E8351">
                  <w:pPr>
                    <w:widowControl/>
                    <w:jc w:val="left"/>
                    <w:rPr>
                      <w:rFonts w:eastAsiaTheme="majorEastAsia"/>
                      <w:kern w:val="0"/>
                      <w:sz w:val="18"/>
                      <w:szCs w:val="18"/>
                    </w:rPr>
                  </w:pPr>
                </w:p>
              </w:tc>
              <w:tc>
                <w:tcPr>
                  <w:tcW w:w="716" w:type="dxa"/>
                  <w:vMerge w:val="continue"/>
                  <w:vAlign w:val="center"/>
                </w:tcPr>
                <w:p w14:paraId="70B0B9E0">
                  <w:pPr>
                    <w:widowControl/>
                    <w:jc w:val="left"/>
                    <w:rPr>
                      <w:rFonts w:eastAsiaTheme="majorEastAsia"/>
                      <w:kern w:val="0"/>
                      <w:sz w:val="18"/>
                      <w:szCs w:val="18"/>
                    </w:rPr>
                  </w:pPr>
                </w:p>
              </w:tc>
              <w:tc>
                <w:tcPr>
                  <w:tcW w:w="567" w:type="dxa"/>
                  <w:vMerge w:val="continue"/>
                  <w:vAlign w:val="center"/>
                </w:tcPr>
                <w:p w14:paraId="46D7C587">
                  <w:pPr>
                    <w:widowControl/>
                    <w:jc w:val="left"/>
                    <w:rPr>
                      <w:rFonts w:eastAsiaTheme="majorEastAsia"/>
                      <w:kern w:val="0"/>
                      <w:sz w:val="18"/>
                      <w:szCs w:val="18"/>
                    </w:rPr>
                  </w:pPr>
                </w:p>
              </w:tc>
              <w:tc>
                <w:tcPr>
                  <w:tcW w:w="0" w:type="auto"/>
                  <w:vMerge w:val="continue"/>
                  <w:vAlign w:val="center"/>
                </w:tcPr>
                <w:p w14:paraId="5EC1AF52">
                  <w:pPr>
                    <w:widowControl/>
                    <w:jc w:val="left"/>
                    <w:rPr>
                      <w:rFonts w:eastAsiaTheme="majorEastAsia"/>
                      <w:kern w:val="0"/>
                      <w:sz w:val="18"/>
                      <w:szCs w:val="18"/>
                    </w:rPr>
                  </w:pPr>
                </w:p>
              </w:tc>
              <w:tc>
                <w:tcPr>
                  <w:tcW w:w="0" w:type="auto"/>
                  <w:vMerge w:val="continue"/>
                  <w:vAlign w:val="center"/>
                </w:tcPr>
                <w:p w14:paraId="476FD07A">
                  <w:pPr>
                    <w:widowControl/>
                    <w:jc w:val="left"/>
                    <w:rPr>
                      <w:rFonts w:eastAsiaTheme="majorEastAsia"/>
                      <w:kern w:val="0"/>
                      <w:sz w:val="18"/>
                      <w:szCs w:val="18"/>
                    </w:rPr>
                  </w:pPr>
                </w:p>
              </w:tc>
              <w:tc>
                <w:tcPr>
                  <w:tcW w:w="0" w:type="auto"/>
                  <w:vMerge w:val="continue"/>
                  <w:vAlign w:val="center"/>
                </w:tcPr>
                <w:p w14:paraId="279DC38B">
                  <w:pPr>
                    <w:widowControl/>
                    <w:jc w:val="left"/>
                    <w:rPr>
                      <w:rFonts w:eastAsiaTheme="majorEastAsia"/>
                      <w:kern w:val="0"/>
                      <w:sz w:val="18"/>
                      <w:szCs w:val="18"/>
                    </w:rPr>
                  </w:pPr>
                </w:p>
              </w:tc>
              <w:tc>
                <w:tcPr>
                  <w:tcW w:w="0" w:type="auto"/>
                  <w:vMerge w:val="continue"/>
                  <w:vAlign w:val="center"/>
                </w:tcPr>
                <w:p w14:paraId="6A63828F">
                  <w:pPr>
                    <w:widowControl/>
                    <w:jc w:val="left"/>
                    <w:rPr>
                      <w:rFonts w:eastAsiaTheme="majorEastAsia"/>
                      <w:kern w:val="0"/>
                      <w:sz w:val="18"/>
                      <w:szCs w:val="18"/>
                    </w:rPr>
                  </w:pPr>
                </w:p>
              </w:tc>
              <w:tc>
                <w:tcPr>
                  <w:tcW w:w="0" w:type="auto"/>
                  <w:shd w:val="clear" w:color="auto" w:fill="auto"/>
                  <w:noWrap/>
                  <w:vAlign w:val="center"/>
                </w:tcPr>
                <w:p w14:paraId="0694AAB4">
                  <w:pPr>
                    <w:widowControl/>
                    <w:jc w:val="center"/>
                    <w:rPr>
                      <w:rFonts w:eastAsiaTheme="majorEastAsia"/>
                      <w:kern w:val="0"/>
                      <w:sz w:val="18"/>
                      <w:szCs w:val="18"/>
                    </w:rPr>
                  </w:pPr>
                  <w:r>
                    <w:rPr>
                      <w:rFonts w:eastAsiaTheme="majorEastAsia"/>
                      <w:kern w:val="0"/>
                      <w:sz w:val="18"/>
                      <w:szCs w:val="18"/>
                    </w:rPr>
                    <w:t>3条线</w:t>
                  </w:r>
                </w:p>
              </w:tc>
            </w:tr>
            <w:tr w14:paraId="4726A0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7" w:type="dxa"/>
                  <w:vMerge w:val="continue"/>
                  <w:vAlign w:val="center"/>
                </w:tcPr>
                <w:p w14:paraId="1E246EC8">
                  <w:pPr>
                    <w:widowControl/>
                    <w:jc w:val="left"/>
                    <w:rPr>
                      <w:rFonts w:eastAsiaTheme="majorEastAsia"/>
                      <w:kern w:val="0"/>
                      <w:sz w:val="18"/>
                      <w:szCs w:val="18"/>
                    </w:rPr>
                  </w:pPr>
                </w:p>
              </w:tc>
              <w:tc>
                <w:tcPr>
                  <w:tcW w:w="723" w:type="dxa"/>
                  <w:shd w:val="clear" w:color="auto" w:fill="auto"/>
                  <w:vAlign w:val="center"/>
                </w:tcPr>
                <w:p w14:paraId="76BAA341">
                  <w:pPr>
                    <w:widowControl/>
                    <w:jc w:val="center"/>
                    <w:rPr>
                      <w:rFonts w:eastAsiaTheme="majorEastAsia"/>
                      <w:kern w:val="0"/>
                      <w:sz w:val="18"/>
                      <w:szCs w:val="18"/>
                    </w:rPr>
                  </w:pPr>
                  <w:r>
                    <w:rPr>
                      <w:rFonts w:eastAsiaTheme="majorEastAsia"/>
                      <w:kern w:val="0"/>
                      <w:sz w:val="18"/>
                      <w:szCs w:val="18"/>
                    </w:rPr>
                    <w:t>涤锦纺丝油气G4-2</w:t>
                  </w:r>
                </w:p>
              </w:tc>
              <w:tc>
                <w:tcPr>
                  <w:tcW w:w="0" w:type="auto"/>
                  <w:vMerge w:val="continue"/>
                  <w:vAlign w:val="center"/>
                </w:tcPr>
                <w:p w14:paraId="7115E215">
                  <w:pPr>
                    <w:widowControl/>
                    <w:jc w:val="left"/>
                    <w:rPr>
                      <w:rFonts w:eastAsiaTheme="majorEastAsia"/>
                      <w:kern w:val="0"/>
                      <w:sz w:val="18"/>
                      <w:szCs w:val="18"/>
                    </w:rPr>
                  </w:pPr>
                </w:p>
              </w:tc>
              <w:tc>
                <w:tcPr>
                  <w:tcW w:w="0" w:type="auto"/>
                  <w:shd w:val="clear" w:color="auto" w:fill="auto"/>
                  <w:vAlign w:val="center"/>
                </w:tcPr>
                <w:p w14:paraId="6F8F2800">
                  <w:pPr>
                    <w:widowControl/>
                    <w:jc w:val="center"/>
                    <w:rPr>
                      <w:rFonts w:eastAsiaTheme="majorEastAsia"/>
                      <w:kern w:val="0"/>
                      <w:sz w:val="18"/>
                      <w:szCs w:val="18"/>
                    </w:rPr>
                  </w:pPr>
                  <w:r>
                    <w:rPr>
                      <w:rFonts w:eastAsiaTheme="majorEastAsia"/>
                      <w:kern w:val="0"/>
                      <w:sz w:val="18"/>
                      <w:szCs w:val="18"/>
                    </w:rPr>
                    <w:t>非甲烷总烃</w:t>
                  </w:r>
                </w:p>
              </w:tc>
              <w:tc>
                <w:tcPr>
                  <w:tcW w:w="0" w:type="auto"/>
                  <w:shd w:val="clear" w:color="auto" w:fill="auto"/>
                  <w:noWrap/>
                  <w:vAlign w:val="center"/>
                </w:tcPr>
                <w:p w14:paraId="61FE8940">
                  <w:pPr>
                    <w:widowControl/>
                    <w:jc w:val="center"/>
                    <w:rPr>
                      <w:rFonts w:eastAsiaTheme="majorEastAsia"/>
                      <w:kern w:val="0"/>
                      <w:sz w:val="18"/>
                      <w:szCs w:val="18"/>
                    </w:rPr>
                  </w:pPr>
                  <w:r>
                    <w:rPr>
                      <w:rFonts w:eastAsiaTheme="majorEastAsia"/>
                      <w:kern w:val="0"/>
                      <w:sz w:val="18"/>
                      <w:szCs w:val="18"/>
                    </w:rPr>
                    <w:t xml:space="preserve">1.52 </w:t>
                  </w:r>
                </w:p>
              </w:tc>
              <w:tc>
                <w:tcPr>
                  <w:tcW w:w="0" w:type="auto"/>
                  <w:shd w:val="clear" w:color="auto" w:fill="auto"/>
                  <w:noWrap/>
                  <w:vAlign w:val="center"/>
                </w:tcPr>
                <w:p w14:paraId="7CE442D3">
                  <w:pPr>
                    <w:widowControl/>
                    <w:jc w:val="center"/>
                    <w:rPr>
                      <w:rFonts w:eastAsiaTheme="majorEastAsia"/>
                      <w:kern w:val="0"/>
                      <w:sz w:val="18"/>
                      <w:szCs w:val="18"/>
                    </w:rPr>
                  </w:pPr>
                  <w:r>
                    <w:rPr>
                      <w:rFonts w:eastAsiaTheme="majorEastAsia"/>
                      <w:kern w:val="0"/>
                      <w:sz w:val="18"/>
                      <w:szCs w:val="18"/>
                    </w:rPr>
                    <w:t xml:space="preserve">0.18 </w:t>
                  </w:r>
                </w:p>
              </w:tc>
              <w:tc>
                <w:tcPr>
                  <w:tcW w:w="0" w:type="auto"/>
                  <w:shd w:val="clear" w:color="auto" w:fill="auto"/>
                  <w:noWrap/>
                  <w:vAlign w:val="center"/>
                </w:tcPr>
                <w:p w14:paraId="5BE48C0A">
                  <w:pPr>
                    <w:widowControl/>
                    <w:jc w:val="center"/>
                    <w:rPr>
                      <w:rFonts w:eastAsiaTheme="majorEastAsia"/>
                      <w:kern w:val="0"/>
                      <w:sz w:val="18"/>
                      <w:szCs w:val="18"/>
                    </w:rPr>
                  </w:pPr>
                  <w:r>
                    <w:rPr>
                      <w:rFonts w:eastAsiaTheme="majorEastAsia"/>
                      <w:kern w:val="0"/>
                      <w:sz w:val="18"/>
                      <w:szCs w:val="18"/>
                    </w:rPr>
                    <w:t xml:space="preserve">9.00 </w:t>
                  </w:r>
                </w:p>
              </w:tc>
              <w:tc>
                <w:tcPr>
                  <w:tcW w:w="406" w:type="dxa"/>
                  <w:vMerge w:val="continue"/>
                  <w:vAlign w:val="center"/>
                </w:tcPr>
                <w:p w14:paraId="69DD5158">
                  <w:pPr>
                    <w:widowControl/>
                    <w:jc w:val="left"/>
                    <w:rPr>
                      <w:rFonts w:eastAsiaTheme="majorEastAsia"/>
                      <w:kern w:val="0"/>
                      <w:sz w:val="18"/>
                      <w:szCs w:val="18"/>
                    </w:rPr>
                  </w:pPr>
                </w:p>
              </w:tc>
              <w:tc>
                <w:tcPr>
                  <w:tcW w:w="633" w:type="dxa"/>
                  <w:vMerge w:val="continue"/>
                  <w:vAlign w:val="center"/>
                </w:tcPr>
                <w:p w14:paraId="6A868484">
                  <w:pPr>
                    <w:widowControl/>
                    <w:jc w:val="left"/>
                    <w:rPr>
                      <w:rFonts w:eastAsiaTheme="majorEastAsia"/>
                      <w:kern w:val="0"/>
                      <w:sz w:val="18"/>
                      <w:szCs w:val="18"/>
                    </w:rPr>
                  </w:pPr>
                </w:p>
              </w:tc>
              <w:tc>
                <w:tcPr>
                  <w:tcW w:w="427" w:type="dxa"/>
                  <w:vMerge w:val="continue"/>
                  <w:vAlign w:val="center"/>
                </w:tcPr>
                <w:p w14:paraId="4596BD34">
                  <w:pPr>
                    <w:widowControl/>
                    <w:jc w:val="left"/>
                    <w:rPr>
                      <w:rFonts w:eastAsiaTheme="majorEastAsia"/>
                      <w:kern w:val="0"/>
                      <w:sz w:val="18"/>
                      <w:szCs w:val="18"/>
                    </w:rPr>
                  </w:pPr>
                </w:p>
              </w:tc>
              <w:tc>
                <w:tcPr>
                  <w:tcW w:w="498" w:type="dxa"/>
                  <w:vMerge w:val="continue"/>
                  <w:vAlign w:val="center"/>
                </w:tcPr>
                <w:p w14:paraId="42E55A65">
                  <w:pPr>
                    <w:widowControl/>
                    <w:jc w:val="left"/>
                    <w:rPr>
                      <w:rFonts w:eastAsiaTheme="majorEastAsia"/>
                      <w:kern w:val="0"/>
                      <w:sz w:val="18"/>
                      <w:szCs w:val="18"/>
                    </w:rPr>
                  </w:pPr>
                </w:p>
              </w:tc>
              <w:tc>
                <w:tcPr>
                  <w:tcW w:w="0" w:type="auto"/>
                  <w:vMerge w:val="continue"/>
                  <w:vAlign w:val="center"/>
                </w:tcPr>
                <w:p w14:paraId="73C99ABF">
                  <w:pPr>
                    <w:widowControl/>
                    <w:jc w:val="left"/>
                    <w:rPr>
                      <w:rFonts w:eastAsiaTheme="majorEastAsia"/>
                      <w:kern w:val="0"/>
                      <w:sz w:val="18"/>
                      <w:szCs w:val="18"/>
                    </w:rPr>
                  </w:pPr>
                </w:p>
              </w:tc>
              <w:tc>
                <w:tcPr>
                  <w:tcW w:w="557" w:type="dxa"/>
                  <w:vMerge w:val="continue"/>
                  <w:vAlign w:val="center"/>
                </w:tcPr>
                <w:p w14:paraId="18428B39">
                  <w:pPr>
                    <w:widowControl/>
                    <w:jc w:val="left"/>
                    <w:rPr>
                      <w:rFonts w:eastAsiaTheme="majorEastAsia"/>
                      <w:kern w:val="0"/>
                      <w:sz w:val="18"/>
                      <w:szCs w:val="18"/>
                    </w:rPr>
                  </w:pPr>
                </w:p>
              </w:tc>
              <w:tc>
                <w:tcPr>
                  <w:tcW w:w="716" w:type="dxa"/>
                  <w:vMerge w:val="continue"/>
                  <w:vAlign w:val="center"/>
                </w:tcPr>
                <w:p w14:paraId="4BE3CAAB">
                  <w:pPr>
                    <w:widowControl/>
                    <w:jc w:val="left"/>
                    <w:rPr>
                      <w:rFonts w:eastAsiaTheme="majorEastAsia"/>
                      <w:kern w:val="0"/>
                      <w:sz w:val="18"/>
                      <w:szCs w:val="18"/>
                    </w:rPr>
                  </w:pPr>
                </w:p>
              </w:tc>
              <w:tc>
                <w:tcPr>
                  <w:tcW w:w="567" w:type="dxa"/>
                  <w:vMerge w:val="continue"/>
                  <w:vAlign w:val="center"/>
                </w:tcPr>
                <w:p w14:paraId="7CE2EE77">
                  <w:pPr>
                    <w:widowControl/>
                    <w:jc w:val="left"/>
                    <w:rPr>
                      <w:rFonts w:eastAsiaTheme="majorEastAsia"/>
                      <w:kern w:val="0"/>
                      <w:sz w:val="18"/>
                      <w:szCs w:val="18"/>
                    </w:rPr>
                  </w:pPr>
                </w:p>
              </w:tc>
              <w:tc>
                <w:tcPr>
                  <w:tcW w:w="0" w:type="auto"/>
                  <w:vMerge w:val="continue"/>
                  <w:vAlign w:val="center"/>
                </w:tcPr>
                <w:p w14:paraId="28E33E19">
                  <w:pPr>
                    <w:widowControl/>
                    <w:jc w:val="left"/>
                    <w:rPr>
                      <w:rFonts w:eastAsiaTheme="majorEastAsia"/>
                      <w:kern w:val="0"/>
                      <w:sz w:val="18"/>
                      <w:szCs w:val="18"/>
                    </w:rPr>
                  </w:pPr>
                </w:p>
              </w:tc>
              <w:tc>
                <w:tcPr>
                  <w:tcW w:w="0" w:type="auto"/>
                  <w:vMerge w:val="continue"/>
                  <w:vAlign w:val="center"/>
                </w:tcPr>
                <w:p w14:paraId="30D20A18">
                  <w:pPr>
                    <w:widowControl/>
                    <w:jc w:val="left"/>
                    <w:rPr>
                      <w:rFonts w:eastAsiaTheme="majorEastAsia"/>
                      <w:kern w:val="0"/>
                      <w:sz w:val="18"/>
                      <w:szCs w:val="18"/>
                    </w:rPr>
                  </w:pPr>
                </w:p>
              </w:tc>
              <w:tc>
                <w:tcPr>
                  <w:tcW w:w="0" w:type="auto"/>
                  <w:vMerge w:val="continue"/>
                  <w:vAlign w:val="center"/>
                </w:tcPr>
                <w:p w14:paraId="04D9F95D">
                  <w:pPr>
                    <w:widowControl/>
                    <w:jc w:val="left"/>
                    <w:rPr>
                      <w:rFonts w:eastAsiaTheme="majorEastAsia"/>
                      <w:kern w:val="0"/>
                      <w:sz w:val="18"/>
                      <w:szCs w:val="18"/>
                    </w:rPr>
                  </w:pPr>
                </w:p>
              </w:tc>
              <w:tc>
                <w:tcPr>
                  <w:tcW w:w="0" w:type="auto"/>
                  <w:vMerge w:val="continue"/>
                  <w:vAlign w:val="center"/>
                </w:tcPr>
                <w:p w14:paraId="39401291">
                  <w:pPr>
                    <w:widowControl/>
                    <w:jc w:val="left"/>
                    <w:rPr>
                      <w:rFonts w:eastAsiaTheme="majorEastAsia"/>
                      <w:kern w:val="0"/>
                      <w:sz w:val="18"/>
                      <w:szCs w:val="18"/>
                    </w:rPr>
                  </w:pPr>
                </w:p>
              </w:tc>
              <w:tc>
                <w:tcPr>
                  <w:tcW w:w="0" w:type="auto"/>
                  <w:shd w:val="clear" w:color="auto" w:fill="auto"/>
                  <w:noWrap/>
                  <w:vAlign w:val="center"/>
                </w:tcPr>
                <w:p w14:paraId="6A151DD7">
                  <w:pPr>
                    <w:widowControl/>
                    <w:jc w:val="center"/>
                    <w:rPr>
                      <w:rFonts w:eastAsiaTheme="majorEastAsia"/>
                      <w:kern w:val="0"/>
                      <w:sz w:val="18"/>
                      <w:szCs w:val="18"/>
                    </w:rPr>
                  </w:pPr>
                  <w:r>
                    <w:rPr>
                      <w:rFonts w:eastAsiaTheme="majorEastAsia"/>
                      <w:kern w:val="0"/>
                      <w:sz w:val="18"/>
                      <w:szCs w:val="18"/>
                    </w:rPr>
                    <w:t>1条线</w:t>
                  </w:r>
                </w:p>
              </w:tc>
            </w:tr>
            <w:tr w14:paraId="433892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397" w:type="dxa"/>
                  <w:vMerge w:val="continue"/>
                  <w:vAlign w:val="center"/>
                </w:tcPr>
                <w:p w14:paraId="2FF33D80">
                  <w:pPr>
                    <w:widowControl/>
                    <w:jc w:val="left"/>
                    <w:rPr>
                      <w:rFonts w:eastAsiaTheme="majorEastAsia"/>
                      <w:kern w:val="0"/>
                      <w:sz w:val="18"/>
                      <w:szCs w:val="18"/>
                    </w:rPr>
                  </w:pPr>
                </w:p>
              </w:tc>
              <w:tc>
                <w:tcPr>
                  <w:tcW w:w="723" w:type="dxa"/>
                  <w:shd w:val="clear" w:color="auto" w:fill="auto"/>
                  <w:vAlign w:val="center"/>
                </w:tcPr>
                <w:p w14:paraId="218B225B">
                  <w:pPr>
                    <w:widowControl/>
                    <w:jc w:val="center"/>
                    <w:rPr>
                      <w:rFonts w:eastAsiaTheme="majorEastAsia"/>
                      <w:kern w:val="0"/>
                      <w:sz w:val="18"/>
                      <w:szCs w:val="18"/>
                    </w:rPr>
                  </w:pPr>
                  <w:r>
                    <w:rPr>
                      <w:rFonts w:eastAsiaTheme="majorEastAsia"/>
                      <w:kern w:val="0"/>
                      <w:sz w:val="18"/>
                      <w:szCs w:val="18"/>
                    </w:rPr>
                    <w:t>FDY纺丝油气G2-2-1</w:t>
                  </w:r>
                </w:p>
              </w:tc>
              <w:tc>
                <w:tcPr>
                  <w:tcW w:w="0" w:type="auto"/>
                  <w:shd w:val="clear" w:color="auto" w:fill="auto"/>
                  <w:noWrap/>
                  <w:vAlign w:val="center"/>
                </w:tcPr>
                <w:p w14:paraId="71B1C224">
                  <w:pPr>
                    <w:widowControl/>
                    <w:jc w:val="center"/>
                    <w:rPr>
                      <w:rFonts w:eastAsiaTheme="majorEastAsia"/>
                      <w:kern w:val="0"/>
                      <w:sz w:val="18"/>
                      <w:szCs w:val="18"/>
                    </w:rPr>
                  </w:pPr>
                  <w:r>
                    <w:rPr>
                      <w:rFonts w:eastAsiaTheme="majorEastAsia"/>
                      <w:kern w:val="0"/>
                      <w:sz w:val="18"/>
                      <w:szCs w:val="18"/>
                    </w:rPr>
                    <w:t xml:space="preserve">25000 </w:t>
                  </w:r>
                </w:p>
              </w:tc>
              <w:tc>
                <w:tcPr>
                  <w:tcW w:w="0" w:type="auto"/>
                  <w:shd w:val="clear" w:color="auto" w:fill="auto"/>
                  <w:vAlign w:val="center"/>
                </w:tcPr>
                <w:p w14:paraId="4B71CB0D">
                  <w:pPr>
                    <w:widowControl/>
                    <w:jc w:val="center"/>
                    <w:rPr>
                      <w:rFonts w:eastAsiaTheme="majorEastAsia"/>
                      <w:kern w:val="0"/>
                      <w:sz w:val="18"/>
                      <w:szCs w:val="18"/>
                    </w:rPr>
                  </w:pPr>
                  <w:r>
                    <w:rPr>
                      <w:rFonts w:eastAsiaTheme="majorEastAsia"/>
                      <w:kern w:val="0"/>
                      <w:sz w:val="18"/>
                      <w:szCs w:val="18"/>
                    </w:rPr>
                    <w:t>非甲烷总烃</w:t>
                  </w:r>
                </w:p>
              </w:tc>
              <w:tc>
                <w:tcPr>
                  <w:tcW w:w="0" w:type="auto"/>
                  <w:shd w:val="clear" w:color="auto" w:fill="auto"/>
                  <w:noWrap/>
                  <w:vAlign w:val="center"/>
                </w:tcPr>
                <w:p w14:paraId="678781D2">
                  <w:pPr>
                    <w:widowControl/>
                    <w:jc w:val="center"/>
                    <w:rPr>
                      <w:rFonts w:eastAsiaTheme="majorEastAsia"/>
                      <w:kern w:val="0"/>
                      <w:sz w:val="18"/>
                      <w:szCs w:val="18"/>
                    </w:rPr>
                  </w:pPr>
                  <w:r>
                    <w:rPr>
                      <w:rFonts w:eastAsiaTheme="majorEastAsia"/>
                      <w:kern w:val="0"/>
                      <w:sz w:val="18"/>
                      <w:szCs w:val="18"/>
                    </w:rPr>
                    <w:t xml:space="preserve">6.84 </w:t>
                  </w:r>
                </w:p>
              </w:tc>
              <w:tc>
                <w:tcPr>
                  <w:tcW w:w="0" w:type="auto"/>
                  <w:shd w:val="clear" w:color="auto" w:fill="auto"/>
                  <w:noWrap/>
                  <w:vAlign w:val="center"/>
                </w:tcPr>
                <w:p w14:paraId="548C35CC">
                  <w:pPr>
                    <w:widowControl/>
                    <w:jc w:val="center"/>
                    <w:rPr>
                      <w:rFonts w:eastAsiaTheme="majorEastAsia"/>
                      <w:kern w:val="0"/>
                      <w:sz w:val="18"/>
                      <w:szCs w:val="18"/>
                    </w:rPr>
                  </w:pPr>
                  <w:r>
                    <w:rPr>
                      <w:rFonts w:eastAsiaTheme="majorEastAsia"/>
                      <w:kern w:val="0"/>
                      <w:sz w:val="18"/>
                      <w:szCs w:val="18"/>
                    </w:rPr>
                    <w:t xml:space="preserve">0.81 </w:t>
                  </w:r>
                </w:p>
              </w:tc>
              <w:tc>
                <w:tcPr>
                  <w:tcW w:w="0" w:type="auto"/>
                  <w:shd w:val="clear" w:color="auto" w:fill="auto"/>
                  <w:noWrap/>
                  <w:vAlign w:val="center"/>
                </w:tcPr>
                <w:p w14:paraId="21F8AB27">
                  <w:pPr>
                    <w:widowControl/>
                    <w:jc w:val="center"/>
                    <w:rPr>
                      <w:rFonts w:eastAsiaTheme="majorEastAsia"/>
                      <w:kern w:val="0"/>
                      <w:sz w:val="18"/>
                      <w:szCs w:val="18"/>
                    </w:rPr>
                  </w:pPr>
                  <w:r>
                    <w:rPr>
                      <w:rFonts w:eastAsiaTheme="majorEastAsia"/>
                      <w:kern w:val="0"/>
                      <w:sz w:val="18"/>
                      <w:szCs w:val="18"/>
                    </w:rPr>
                    <w:t xml:space="preserve">32.40 </w:t>
                  </w:r>
                </w:p>
              </w:tc>
              <w:tc>
                <w:tcPr>
                  <w:tcW w:w="406" w:type="dxa"/>
                  <w:shd w:val="clear" w:color="auto" w:fill="auto"/>
                  <w:noWrap/>
                  <w:vAlign w:val="center"/>
                </w:tcPr>
                <w:p w14:paraId="5BCABB0D">
                  <w:pPr>
                    <w:widowControl/>
                    <w:jc w:val="center"/>
                    <w:rPr>
                      <w:rFonts w:eastAsiaTheme="majorEastAsia"/>
                      <w:kern w:val="0"/>
                      <w:sz w:val="18"/>
                      <w:szCs w:val="18"/>
                    </w:rPr>
                  </w:pPr>
                  <w:r>
                    <w:rPr>
                      <w:rFonts w:eastAsiaTheme="majorEastAsia"/>
                      <w:kern w:val="0"/>
                      <w:sz w:val="18"/>
                      <w:szCs w:val="18"/>
                    </w:rPr>
                    <w:t xml:space="preserve">95 </w:t>
                  </w:r>
                </w:p>
              </w:tc>
              <w:tc>
                <w:tcPr>
                  <w:tcW w:w="633" w:type="dxa"/>
                  <w:shd w:val="clear" w:color="auto" w:fill="auto"/>
                  <w:vAlign w:val="center"/>
                </w:tcPr>
                <w:p w14:paraId="0B76D14B">
                  <w:pPr>
                    <w:widowControl/>
                    <w:jc w:val="center"/>
                    <w:rPr>
                      <w:rFonts w:eastAsiaTheme="majorEastAsia"/>
                      <w:kern w:val="0"/>
                      <w:sz w:val="18"/>
                      <w:szCs w:val="18"/>
                    </w:rPr>
                  </w:pPr>
                  <w:r>
                    <w:rPr>
                      <w:rFonts w:eastAsiaTheme="majorEastAsia"/>
                      <w:kern w:val="0"/>
                      <w:sz w:val="18"/>
                      <w:szCs w:val="18"/>
                    </w:rPr>
                    <w:t>静电除油</w:t>
                  </w:r>
                </w:p>
              </w:tc>
              <w:tc>
                <w:tcPr>
                  <w:tcW w:w="427" w:type="dxa"/>
                  <w:shd w:val="clear" w:color="auto" w:fill="auto"/>
                  <w:noWrap/>
                  <w:vAlign w:val="center"/>
                </w:tcPr>
                <w:p w14:paraId="6847EF7A">
                  <w:pPr>
                    <w:widowControl/>
                    <w:jc w:val="center"/>
                    <w:rPr>
                      <w:rFonts w:eastAsiaTheme="majorEastAsia"/>
                      <w:kern w:val="0"/>
                      <w:sz w:val="18"/>
                      <w:szCs w:val="18"/>
                    </w:rPr>
                  </w:pPr>
                  <w:r>
                    <w:rPr>
                      <w:rFonts w:eastAsiaTheme="majorEastAsia"/>
                      <w:kern w:val="0"/>
                      <w:sz w:val="18"/>
                      <w:szCs w:val="18"/>
                    </w:rPr>
                    <w:t xml:space="preserve">80 </w:t>
                  </w:r>
                </w:p>
              </w:tc>
              <w:tc>
                <w:tcPr>
                  <w:tcW w:w="498" w:type="dxa"/>
                  <w:shd w:val="clear" w:color="auto" w:fill="auto"/>
                  <w:noWrap/>
                  <w:vAlign w:val="center"/>
                </w:tcPr>
                <w:p w14:paraId="2ABB153B">
                  <w:pPr>
                    <w:widowControl/>
                    <w:jc w:val="center"/>
                    <w:rPr>
                      <w:rFonts w:eastAsiaTheme="majorEastAsia"/>
                      <w:kern w:val="0"/>
                      <w:sz w:val="18"/>
                      <w:szCs w:val="18"/>
                    </w:rPr>
                  </w:pPr>
                  <w:r>
                    <w:rPr>
                      <w:rFonts w:eastAsiaTheme="majorEastAsia"/>
                      <w:kern w:val="0"/>
                      <w:sz w:val="18"/>
                      <w:szCs w:val="18"/>
                    </w:rPr>
                    <w:t>是</w:t>
                  </w:r>
                </w:p>
              </w:tc>
              <w:tc>
                <w:tcPr>
                  <w:tcW w:w="0" w:type="auto"/>
                  <w:shd w:val="clear" w:color="auto" w:fill="auto"/>
                  <w:noWrap/>
                  <w:vAlign w:val="center"/>
                </w:tcPr>
                <w:p w14:paraId="662A4037">
                  <w:pPr>
                    <w:widowControl/>
                    <w:jc w:val="center"/>
                    <w:rPr>
                      <w:rFonts w:eastAsiaTheme="majorEastAsia"/>
                      <w:kern w:val="0"/>
                      <w:sz w:val="18"/>
                      <w:szCs w:val="18"/>
                    </w:rPr>
                  </w:pPr>
                  <w:r>
                    <w:rPr>
                      <w:rFonts w:eastAsiaTheme="majorEastAsia"/>
                      <w:kern w:val="0"/>
                      <w:sz w:val="18"/>
                      <w:szCs w:val="18"/>
                    </w:rPr>
                    <w:t xml:space="preserve">1.37 </w:t>
                  </w:r>
                </w:p>
              </w:tc>
              <w:tc>
                <w:tcPr>
                  <w:tcW w:w="557" w:type="dxa"/>
                  <w:shd w:val="clear" w:color="auto" w:fill="auto"/>
                  <w:noWrap/>
                  <w:vAlign w:val="center"/>
                </w:tcPr>
                <w:p w14:paraId="7DEE5844">
                  <w:pPr>
                    <w:widowControl/>
                    <w:jc w:val="center"/>
                    <w:rPr>
                      <w:rFonts w:eastAsiaTheme="majorEastAsia"/>
                      <w:kern w:val="0"/>
                      <w:sz w:val="18"/>
                      <w:szCs w:val="18"/>
                    </w:rPr>
                  </w:pPr>
                  <w:r>
                    <w:rPr>
                      <w:rFonts w:eastAsiaTheme="majorEastAsia"/>
                      <w:kern w:val="0"/>
                      <w:sz w:val="18"/>
                      <w:szCs w:val="18"/>
                    </w:rPr>
                    <w:t xml:space="preserve">0.16 </w:t>
                  </w:r>
                </w:p>
              </w:tc>
              <w:tc>
                <w:tcPr>
                  <w:tcW w:w="716" w:type="dxa"/>
                  <w:shd w:val="clear" w:color="auto" w:fill="auto"/>
                  <w:noWrap/>
                  <w:vAlign w:val="center"/>
                </w:tcPr>
                <w:p w14:paraId="3BBD242F">
                  <w:pPr>
                    <w:widowControl/>
                    <w:jc w:val="center"/>
                    <w:rPr>
                      <w:rFonts w:eastAsiaTheme="majorEastAsia"/>
                      <w:kern w:val="0"/>
                      <w:sz w:val="18"/>
                      <w:szCs w:val="18"/>
                    </w:rPr>
                  </w:pPr>
                  <w:r>
                    <w:rPr>
                      <w:rFonts w:eastAsiaTheme="majorEastAsia"/>
                      <w:kern w:val="0"/>
                      <w:sz w:val="18"/>
                      <w:szCs w:val="18"/>
                    </w:rPr>
                    <w:t xml:space="preserve">6.48 </w:t>
                  </w:r>
                </w:p>
              </w:tc>
              <w:tc>
                <w:tcPr>
                  <w:tcW w:w="567" w:type="dxa"/>
                  <w:shd w:val="clear" w:color="auto" w:fill="auto"/>
                  <w:noWrap/>
                  <w:vAlign w:val="center"/>
                </w:tcPr>
                <w:p w14:paraId="62220619">
                  <w:pPr>
                    <w:widowControl/>
                    <w:jc w:val="center"/>
                    <w:rPr>
                      <w:rFonts w:eastAsiaTheme="majorEastAsia"/>
                      <w:kern w:val="0"/>
                      <w:sz w:val="18"/>
                      <w:szCs w:val="18"/>
                    </w:rPr>
                  </w:pPr>
                  <w:r>
                    <w:rPr>
                      <w:rFonts w:eastAsiaTheme="majorEastAsia"/>
                      <w:kern w:val="0"/>
                      <w:sz w:val="18"/>
                      <w:szCs w:val="18"/>
                    </w:rPr>
                    <w:t xml:space="preserve">26 </w:t>
                  </w:r>
                </w:p>
              </w:tc>
              <w:tc>
                <w:tcPr>
                  <w:tcW w:w="0" w:type="auto"/>
                  <w:shd w:val="clear" w:color="auto" w:fill="auto"/>
                  <w:noWrap/>
                  <w:vAlign w:val="center"/>
                </w:tcPr>
                <w:p w14:paraId="4E50E3EB">
                  <w:pPr>
                    <w:widowControl/>
                    <w:jc w:val="center"/>
                    <w:rPr>
                      <w:rFonts w:eastAsiaTheme="majorEastAsia"/>
                      <w:kern w:val="0"/>
                      <w:sz w:val="18"/>
                      <w:szCs w:val="18"/>
                    </w:rPr>
                  </w:pPr>
                  <w:r>
                    <w:rPr>
                      <w:rFonts w:eastAsiaTheme="majorEastAsia"/>
                      <w:kern w:val="0"/>
                      <w:sz w:val="18"/>
                      <w:szCs w:val="18"/>
                    </w:rPr>
                    <w:t xml:space="preserve">1 </w:t>
                  </w:r>
                </w:p>
              </w:tc>
              <w:tc>
                <w:tcPr>
                  <w:tcW w:w="0" w:type="auto"/>
                  <w:shd w:val="clear" w:color="auto" w:fill="auto"/>
                  <w:noWrap/>
                  <w:vAlign w:val="center"/>
                </w:tcPr>
                <w:p w14:paraId="10448B5C">
                  <w:pPr>
                    <w:widowControl/>
                    <w:jc w:val="center"/>
                    <w:rPr>
                      <w:rFonts w:eastAsiaTheme="majorEastAsia"/>
                      <w:kern w:val="0"/>
                      <w:sz w:val="18"/>
                      <w:szCs w:val="18"/>
                    </w:rPr>
                  </w:pPr>
                  <w:r>
                    <w:rPr>
                      <w:rFonts w:eastAsiaTheme="majorEastAsia"/>
                      <w:kern w:val="0"/>
                      <w:sz w:val="18"/>
                      <w:szCs w:val="18"/>
                    </w:rPr>
                    <w:t xml:space="preserve">25 </w:t>
                  </w:r>
                </w:p>
              </w:tc>
              <w:tc>
                <w:tcPr>
                  <w:tcW w:w="0" w:type="auto"/>
                  <w:shd w:val="clear" w:color="auto" w:fill="auto"/>
                  <w:noWrap/>
                  <w:vAlign w:val="center"/>
                </w:tcPr>
                <w:p w14:paraId="30A30BDC">
                  <w:pPr>
                    <w:widowControl/>
                    <w:jc w:val="center"/>
                    <w:rPr>
                      <w:rFonts w:eastAsiaTheme="majorEastAsia"/>
                      <w:kern w:val="0"/>
                      <w:sz w:val="18"/>
                      <w:szCs w:val="18"/>
                    </w:rPr>
                  </w:pPr>
                  <w:r>
                    <w:rPr>
                      <w:rFonts w:eastAsiaTheme="majorEastAsia"/>
                      <w:kern w:val="0"/>
                      <w:sz w:val="18"/>
                      <w:szCs w:val="18"/>
                    </w:rPr>
                    <w:t>连续</w:t>
                  </w:r>
                </w:p>
              </w:tc>
              <w:tc>
                <w:tcPr>
                  <w:tcW w:w="0" w:type="auto"/>
                  <w:shd w:val="clear" w:color="auto" w:fill="auto"/>
                  <w:noWrap/>
                  <w:vAlign w:val="center"/>
                </w:tcPr>
                <w:p w14:paraId="7A0ABCAD">
                  <w:pPr>
                    <w:widowControl/>
                    <w:jc w:val="center"/>
                    <w:rPr>
                      <w:rFonts w:eastAsiaTheme="majorEastAsia"/>
                      <w:kern w:val="0"/>
                      <w:sz w:val="18"/>
                      <w:szCs w:val="18"/>
                    </w:rPr>
                  </w:pPr>
                  <w:r>
                    <w:rPr>
                      <w:rFonts w:eastAsiaTheme="majorEastAsia"/>
                      <w:kern w:val="0"/>
                      <w:sz w:val="18"/>
                      <w:szCs w:val="18"/>
                    </w:rPr>
                    <w:t>DA014</w:t>
                  </w:r>
                </w:p>
              </w:tc>
              <w:tc>
                <w:tcPr>
                  <w:tcW w:w="0" w:type="auto"/>
                  <w:shd w:val="clear" w:color="auto" w:fill="auto"/>
                  <w:noWrap/>
                  <w:vAlign w:val="center"/>
                </w:tcPr>
                <w:p w14:paraId="08F53D2D">
                  <w:pPr>
                    <w:widowControl/>
                    <w:jc w:val="center"/>
                    <w:rPr>
                      <w:rFonts w:eastAsiaTheme="majorEastAsia"/>
                      <w:kern w:val="0"/>
                      <w:sz w:val="18"/>
                      <w:szCs w:val="18"/>
                    </w:rPr>
                  </w:pPr>
                  <w:r>
                    <w:rPr>
                      <w:rFonts w:eastAsiaTheme="majorEastAsia"/>
                      <w:kern w:val="0"/>
                      <w:sz w:val="18"/>
                      <w:szCs w:val="18"/>
                    </w:rPr>
                    <w:t>2条线</w:t>
                  </w:r>
                </w:p>
              </w:tc>
            </w:tr>
            <w:tr w14:paraId="3CBA98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97" w:type="dxa"/>
                  <w:vMerge w:val="continue"/>
                  <w:vAlign w:val="center"/>
                </w:tcPr>
                <w:p w14:paraId="6C5670CE">
                  <w:pPr>
                    <w:widowControl/>
                    <w:jc w:val="left"/>
                    <w:rPr>
                      <w:rFonts w:eastAsiaTheme="majorEastAsia"/>
                      <w:kern w:val="0"/>
                      <w:sz w:val="18"/>
                      <w:szCs w:val="18"/>
                    </w:rPr>
                  </w:pPr>
                </w:p>
              </w:tc>
              <w:tc>
                <w:tcPr>
                  <w:tcW w:w="723" w:type="dxa"/>
                  <w:shd w:val="clear" w:color="auto" w:fill="auto"/>
                  <w:vAlign w:val="center"/>
                </w:tcPr>
                <w:p w14:paraId="4B328FCA">
                  <w:pPr>
                    <w:widowControl/>
                    <w:jc w:val="center"/>
                    <w:rPr>
                      <w:rFonts w:eastAsiaTheme="majorEastAsia"/>
                      <w:kern w:val="0"/>
                      <w:sz w:val="18"/>
                      <w:szCs w:val="18"/>
                    </w:rPr>
                  </w:pPr>
                  <w:r>
                    <w:rPr>
                      <w:rFonts w:eastAsiaTheme="majorEastAsia"/>
                      <w:kern w:val="0"/>
                      <w:sz w:val="18"/>
                      <w:szCs w:val="18"/>
                    </w:rPr>
                    <w:t>FDY纺丝油气G2-2-2</w:t>
                  </w:r>
                </w:p>
              </w:tc>
              <w:tc>
                <w:tcPr>
                  <w:tcW w:w="0" w:type="auto"/>
                  <w:shd w:val="clear" w:color="auto" w:fill="auto"/>
                  <w:noWrap/>
                  <w:vAlign w:val="center"/>
                </w:tcPr>
                <w:p w14:paraId="6DC30315">
                  <w:pPr>
                    <w:widowControl/>
                    <w:jc w:val="center"/>
                    <w:rPr>
                      <w:rFonts w:eastAsiaTheme="majorEastAsia"/>
                      <w:kern w:val="0"/>
                      <w:sz w:val="18"/>
                      <w:szCs w:val="18"/>
                    </w:rPr>
                  </w:pPr>
                  <w:r>
                    <w:rPr>
                      <w:rFonts w:eastAsiaTheme="majorEastAsia"/>
                      <w:kern w:val="0"/>
                      <w:sz w:val="18"/>
                      <w:szCs w:val="18"/>
                    </w:rPr>
                    <w:t xml:space="preserve">25000 </w:t>
                  </w:r>
                </w:p>
              </w:tc>
              <w:tc>
                <w:tcPr>
                  <w:tcW w:w="0" w:type="auto"/>
                  <w:shd w:val="clear" w:color="auto" w:fill="auto"/>
                  <w:vAlign w:val="center"/>
                </w:tcPr>
                <w:p w14:paraId="6D5A4080">
                  <w:pPr>
                    <w:widowControl/>
                    <w:jc w:val="center"/>
                    <w:rPr>
                      <w:rFonts w:eastAsiaTheme="majorEastAsia"/>
                      <w:kern w:val="0"/>
                      <w:sz w:val="18"/>
                      <w:szCs w:val="18"/>
                    </w:rPr>
                  </w:pPr>
                  <w:r>
                    <w:rPr>
                      <w:rFonts w:eastAsiaTheme="majorEastAsia"/>
                      <w:kern w:val="0"/>
                      <w:sz w:val="18"/>
                      <w:szCs w:val="18"/>
                    </w:rPr>
                    <w:t>非甲烷总烃</w:t>
                  </w:r>
                </w:p>
              </w:tc>
              <w:tc>
                <w:tcPr>
                  <w:tcW w:w="0" w:type="auto"/>
                  <w:shd w:val="clear" w:color="auto" w:fill="auto"/>
                  <w:noWrap/>
                  <w:vAlign w:val="center"/>
                </w:tcPr>
                <w:p w14:paraId="3A6962B7">
                  <w:pPr>
                    <w:widowControl/>
                    <w:jc w:val="center"/>
                    <w:rPr>
                      <w:rFonts w:eastAsiaTheme="majorEastAsia"/>
                      <w:kern w:val="0"/>
                      <w:sz w:val="18"/>
                      <w:szCs w:val="18"/>
                    </w:rPr>
                  </w:pPr>
                  <w:r>
                    <w:rPr>
                      <w:rFonts w:eastAsiaTheme="majorEastAsia"/>
                      <w:kern w:val="0"/>
                      <w:sz w:val="18"/>
                      <w:szCs w:val="18"/>
                    </w:rPr>
                    <w:t xml:space="preserve">6.84 </w:t>
                  </w:r>
                </w:p>
              </w:tc>
              <w:tc>
                <w:tcPr>
                  <w:tcW w:w="0" w:type="auto"/>
                  <w:shd w:val="clear" w:color="auto" w:fill="auto"/>
                  <w:noWrap/>
                  <w:vAlign w:val="center"/>
                </w:tcPr>
                <w:p w14:paraId="77FCD5D4">
                  <w:pPr>
                    <w:widowControl/>
                    <w:jc w:val="center"/>
                    <w:rPr>
                      <w:rFonts w:eastAsiaTheme="majorEastAsia"/>
                      <w:kern w:val="0"/>
                      <w:sz w:val="18"/>
                      <w:szCs w:val="18"/>
                    </w:rPr>
                  </w:pPr>
                  <w:r>
                    <w:rPr>
                      <w:rFonts w:eastAsiaTheme="majorEastAsia"/>
                      <w:kern w:val="0"/>
                      <w:sz w:val="18"/>
                      <w:szCs w:val="18"/>
                    </w:rPr>
                    <w:t xml:space="preserve">0.81 </w:t>
                  </w:r>
                </w:p>
              </w:tc>
              <w:tc>
                <w:tcPr>
                  <w:tcW w:w="0" w:type="auto"/>
                  <w:shd w:val="clear" w:color="auto" w:fill="auto"/>
                  <w:noWrap/>
                  <w:vAlign w:val="center"/>
                </w:tcPr>
                <w:p w14:paraId="39A40D91">
                  <w:pPr>
                    <w:widowControl/>
                    <w:jc w:val="center"/>
                    <w:rPr>
                      <w:rFonts w:eastAsiaTheme="majorEastAsia"/>
                      <w:kern w:val="0"/>
                      <w:sz w:val="18"/>
                      <w:szCs w:val="18"/>
                    </w:rPr>
                  </w:pPr>
                  <w:r>
                    <w:rPr>
                      <w:rFonts w:eastAsiaTheme="majorEastAsia"/>
                      <w:kern w:val="0"/>
                      <w:sz w:val="18"/>
                      <w:szCs w:val="18"/>
                    </w:rPr>
                    <w:t xml:space="preserve">32.40 </w:t>
                  </w:r>
                </w:p>
              </w:tc>
              <w:tc>
                <w:tcPr>
                  <w:tcW w:w="406" w:type="dxa"/>
                  <w:shd w:val="clear" w:color="auto" w:fill="auto"/>
                  <w:noWrap/>
                  <w:vAlign w:val="center"/>
                </w:tcPr>
                <w:p w14:paraId="65A94EB6">
                  <w:pPr>
                    <w:widowControl/>
                    <w:jc w:val="center"/>
                    <w:rPr>
                      <w:rFonts w:eastAsiaTheme="majorEastAsia"/>
                      <w:kern w:val="0"/>
                      <w:sz w:val="18"/>
                      <w:szCs w:val="18"/>
                    </w:rPr>
                  </w:pPr>
                  <w:r>
                    <w:rPr>
                      <w:rFonts w:eastAsiaTheme="majorEastAsia"/>
                      <w:kern w:val="0"/>
                      <w:sz w:val="18"/>
                      <w:szCs w:val="18"/>
                    </w:rPr>
                    <w:t xml:space="preserve">95 </w:t>
                  </w:r>
                </w:p>
              </w:tc>
              <w:tc>
                <w:tcPr>
                  <w:tcW w:w="633" w:type="dxa"/>
                  <w:shd w:val="clear" w:color="auto" w:fill="auto"/>
                  <w:vAlign w:val="center"/>
                </w:tcPr>
                <w:p w14:paraId="2B3D908F">
                  <w:pPr>
                    <w:widowControl/>
                    <w:jc w:val="center"/>
                    <w:rPr>
                      <w:rFonts w:eastAsiaTheme="majorEastAsia"/>
                      <w:kern w:val="0"/>
                      <w:sz w:val="18"/>
                      <w:szCs w:val="18"/>
                    </w:rPr>
                  </w:pPr>
                  <w:r>
                    <w:rPr>
                      <w:rFonts w:eastAsiaTheme="majorEastAsia"/>
                      <w:kern w:val="0"/>
                      <w:sz w:val="18"/>
                      <w:szCs w:val="18"/>
                    </w:rPr>
                    <w:t>静电除油</w:t>
                  </w:r>
                </w:p>
              </w:tc>
              <w:tc>
                <w:tcPr>
                  <w:tcW w:w="427" w:type="dxa"/>
                  <w:shd w:val="clear" w:color="auto" w:fill="auto"/>
                  <w:noWrap/>
                  <w:vAlign w:val="center"/>
                </w:tcPr>
                <w:p w14:paraId="73DF7BC3">
                  <w:pPr>
                    <w:widowControl/>
                    <w:jc w:val="center"/>
                    <w:rPr>
                      <w:rFonts w:eastAsiaTheme="majorEastAsia"/>
                      <w:kern w:val="0"/>
                      <w:sz w:val="18"/>
                      <w:szCs w:val="18"/>
                    </w:rPr>
                  </w:pPr>
                  <w:r>
                    <w:rPr>
                      <w:rFonts w:eastAsiaTheme="majorEastAsia"/>
                      <w:kern w:val="0"/>
                      <w:sz w:val="18"/>
                      <w:szCs w:val="18"/>
                    </w:rPr>
                    <w:t xml:space="preserve">80 </w:t>
                  </w:r>
                </w:p>
              </w:tc>
              <w:tc>
                <w:tcPr>
                  <w:tcW w:w="498" w:type="dxa"/>
                  <w:shd w:val="clear" w:color="auto" w:fill="auto"/>
                  <w:noWrap/>
                  <w:vAlign w:val="center"/>
                </w:tcPr>
                <w:p w14:paraId="5F9BE26C">
                  <w:pPr>
                    <w:widowControl/>
                    <w:jc w:val="center"/>
                    <w:rPr>
                      <w:rFonts w:eastAsiaTheme="majorEastAsia"/>
                      <w:kern w:val="0"/>
                      <w:sz w:val="18"/>
                      <w:szCs w:val="18"/>
                    </w:rPr>
                  </w:pPr>
                  <w:r>
                    <w:rPr>
                      <w:rFonts w:eastAsiaTheme="majorEastAsia"/>
                      <w:kern w:val="0"/>
                      <w:sz w:val="18"/>
                      <w:szCs w:val="18"/>
                    </w:rPr>
                    <w:t>是</w:t>
                  </w:r>
                </w:p>
              </w:tc>
              <w:tc>
                <w:tcPr>
                  <w:tcW w:w="0" w:type="auto"/>
                  <w:shd w:val="clear" w:color="auto" w:fill="auto"/>
                  <w:noWrap/>
                  <w:vAlign w:val="center"/>
                </w:tcPr>
                <w:p w14:paraId="7A4A295D">
                  <w:pPr>
                    <w:widowControl/>
                    <w:jc w:val="center"/>
                    <w:rPr>
                      <w:rFonts w:eastAsiaTheme="majorEastAsia"/>
                      <w:kern w:val="0"/>
                      <w:sz w:val="18"/>
                      <w:szCs w:val="18"/>
                    </w:rPr>
                  </w:pPr>
                  <w:r>
                    <w:rPr>
                      <w:rFonts w:eastAsiaTheme="majorEastAsia"/>
                      <w:kern w:val="0"/>
                      <w:sz w:val="18"/>
                      <w:szCs w:val="18"/>
                    </w:rPr>
                    <w:t xml:space="preserve">1.37 </w:t>
                  </w:r>
                </w:p>
              </w:tc>
              <w:tc>
                <w:tcPr>
                  <w:tcW w:w="557" w:type="dxa"/>
                  <w:shd w:val="clear" w:color="auto" w:fill="auto"/>
                  <w:noWrap/>
                  <w:vAlign w:val="center"/>
                </w:tcPr>
                <w:p w14:paraId="0A21D6B7">
                  <w:pPr>
                    <w:widowControl/>
                    <w:jc w:val="center"/>
                    <w:rPr>
                      <w:rFonts w:eastAsiaTheme="majorEastAsia"/>
                      <w:kern w:val="0"/>
                      <w:sz w:val="18"/>
                      <w:szCs w:val="18"/>
                    </w:rPr>
                  </w:pPr>
                  <w:r>
                    <w:rPr>
                      <w:rFonts w:eastAsiaTheme="majorEastAsia"/>
                      <w:kern w:val="0"/>
                      <w:sz w:val="18"/>
                      <w:szCs w:val="18"/>
                    </w:rPr>
                    <w:t xml:space="preserve">0.16 </w:t>
                  </w:r>
                </w:p>
              </w:tc>
              <w:tc>
                <w:tcPr>
                  <w:tcW w:w="716" w:type="dxa"/>
                  <w:shd w:val="clear" w:color="auto" w:fill="auto"/>
                  <w:noWrap/>
                  <w:vAlign w:val="center"/>
                </w:tcPr>
                <w:p w14:paraId="4F36DCC2">
                  <w:pPr>
                    <w:widowControl/>
                    <w:jc w:val="center"/>
                    <w:rPr>
                      <w:rFonts w:eastAsiaTheme="majorEastAsia"/>
                      <w:kern w:val="0"/>
                      <w:sz w:val="18"/>
                      <w:szCs w:val="18"/>
                    </w:rPr>
                  </w:pPr>
                  <w:r>
                    <w:rPr>
                      <w:rFonts w:eastAsiaTheme="majorEastAsia"/>
                      <w:kern w:val="0"/>
                      <w:sz w:val="18"/>
                      <w:szCs w:val="18"/>
                    </w:rPr>
                    <w:t xml:space="preserve">6.48 </w:t>
                  </w:r>
                </w:p>
              </w:tc>
              <w:tc>
                <w:tcPr>
                  <w:tcW w:w="567" w:type="dxa"/>
                  <w:shd w:val="clear" w:color="auto" w:fill="auto"/>
                  <w:noWrap/>
                  <w:vAlign w:val="center"/>
                </w:tcPr>
                <w:p w14:paraId="06BFD3C0">
                  <w:pPr>
                    <w:widowControl/>
                    <w:jc w:val="center"/>
                    <w:rPr>
                      <w:rFonts w:eastAsiaTheme="majorEastAsia"/>
                      <w:kern w:val="0"/>
                      <w:sz w:val="18"/>
                      <w:szCs w:val="18"/>
                    </w:rPr>
                  </w:pPr>
                  <w:r>
                    <w:rPr>
                      <w:rFonts w:eastAsiaTheme="majorEastAsia"/>
                      <w:kern w:val="0"/>
                      <w:sz w:val="18"/>
                      <w:szCs w:val="18"/>
                    </w:rPr>
                    <w:t xml:space="preserve">26 </w:t>
                  </w:r>
                </w:p>
              </w:tc>
              <w:tc>
                <w:tcPr>
                  <w:tcW w:w="0" w:type="auto"/>
                  <w:shd w:val="clear" w:color="auto" w:fill="auto"/>
                  <w:noWrap/>
                  <w:vAlign w:val="center"/>
                </w:tcPr>
                <w:p w14:paraId="082B14FD">
                  <w:pPr>
                    <w:widowControl/>
                    <w:jc w:val="center"/>
                    <w:rPr>
                      <w:rFonts w:eastAsiaTheme="majorEastAsia"/>
                      <w:kern w:val="0"/>
                      <w:sz w:val="18"/>
                      <w:szCs w:val="18"/>
                    </w:rPr>
                  </w:pPr>
                  <w:r>
                    <w:rPr>
                      <w:rFonts w:eastAsiaTheme="majorEastAsia"/>
                      <w:kern w:val="0"/>
                      <w:sz w:val="18"/>
                      <w:szCs w:val="18"/>
                    </w:rPr>
                    <w:t xml:space="preserve">1 </w:t>
                  </w:r>
                </w:p>
              </w:tc>
              <w:tc>
                <w:tcPr>
                  <w:tcW w:w="0" w:type="auto"/>
                  <w:shd w:val="clear" w:color="auto" w:fill="auto"/>
                  <w:noWrap/>
                  <w:vAlign w:val="center"/>
                </w:tcPr>
                <w:p w14:paraId="77D0F623">
                  <w:pPr>
                    <w:widowControl/>
                    <w:jc w:val="center"/>
                    <w:rPr>
                      <w:rFonts w:eastAsiaTheme="majorEastAsia"/>
                      <w:kern w:val="0"/>
                      <w:sz w:val="18"/>
                      <w:szCs w:val="18"/>
                    </w:rPr>
                  </w:pPr>
                  <w:r>
                    <w:rPr>
                      <w:rFonts w:eastAsiaTheme="majorEastAsia"/>
                      <w:kern w:val="0"/>
                      <w:sz w:val="18"/>
                      <w:szCs w:val="18"/>
                    </w:rPr>
                    <w:t xml:space="preserve">25 </w:t>
                  </w:r>
                </w:p>
              </w:tc>
              <w:tc>
                <w:tcPr>
                  <w:tcW w:w="0" w:type="auto"/>
                  <w:shd w:val="clear" w:color="auto" w:fill="auto"/>
                  <w:noWrap/>
                  <w:vAlign w:val="center"/>
                </w:tcPr>
                <w:p w14:paraId="267FA0D1">
                  <w:pPr>
                    <w:widowControl/>
                    <w:jc w:val="center"/>
                    <w:rPr>
                      <w:rFonts w:eastAsiaTheme="majorEastAsia"/>
                      <w:kern w:val="0"/>
                      <w:sz w:val="18"/>
                      <w:szCs w:val="18"/>
                    </w:rPr>
                  </w:pPr>
                  <w:r>
                    <w:rPr>
                      <w:rFonts w:eastAsiaTheme="majorEastAsia"/>
                      <w:kern w:val="0"/>
                      <w:sz w:val="18"/>
                      <w:szCs w:val="18"/>
                    </w:rPr>
                    <w:t>连续</w:t>
                  </w:r>
                </w:p>
              </w:tc>
              <w:tc>
                <w:tcPr>
                  <w:tcW w:w="0" w:type="auto"/>
                  <w:shd w:val="clear" w:color="auto" w:fill="auto"/>
                  <w:noWrap/>
                  <w:vAlign w:val="center"/>
                </w:tcPr>
                <w:p w14:paraId="09492E66">
                  <w:pPr>
                    <w:widowControl/>
                    <w:jc w:val="center"/>
                    <w:rPr>
                      <w:rFonts w:eastAsiaTheme="majorEastAsia"/>
                      <w:kern w:val="0"/>
                      <w:sz w:val="18"/>
                      <w:szCs w:val="18"/>
                    </w:rPr>
                  </w:pPr>
                  <w:r>
                    <w:rPr>
                      <w:rFonts w:eastAsiaTheme="majorEastAsia"/>
                      <w:kern w:val="0"/>
                      <w:sz w:val="18"/>
                      <w:szCs w:val="18"/>
                    </w:rPr>
                    <w:t>DA015</w:t>
                  </w:r>
                </w:p>
              </w:tc>
              <w:tc>
                <w:tcPr>
                  <w:tcW w:w="0" w:type="auto"/>
                  <w:shd w:val="clear" w:color="auto" w:fill="auto"/>
                  <w:noWrap/>
                  <w:vAlign w:val="center"/>
                </w:tcPr>
                <w:p w14:paraId="5785A292">
                  <w:pPr>
                    <w:widowControl/>
                    <w:jc w:val="center"/>
                    <w:rPr>
                      <w:rFonts w:eastAsiaTheme="majorEastAsia"/>
                      <w:kern w:val="0"/>
                      <w:sz w:val="18"/>
                      <w:szCs w:val="18"/>
                    </w:rPr>
                  </w:pPr>
                  <w:r>
                    <w:rPr>
                      <w:rFonts w:eastAsiaTheme="majorEastAsia"/>
                      <w:kern w:val="0"/>
                      <w:sz w:val="18"/>
                      <w:szCs w:val="18"/>
                    </w:rPr>
                    <w:t>2条线</w:t>
                  </w:r>
                </w:p>
              </w:tc>
            </w:tr>
            <w:bookmarkEnd w:id="43"/>
            <w:tr w14:paraId="4CB18F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97" w:type="dxa"/>
                  <w:vMerge w:val="continue"/>
                  <w:vAlign w:val="center"/>
                </w:tcPr>
                <w:p w14:paraId="5D7E06F1">
                  <w:pPr>
                    <w:widowControl/>
                    <w:jc w:val="left"/>
                    <w:rPr>
                      <w:rFonts w:eastAsiaTheme="majorEastAsia"/>
                      <w:kern w:val="0"/>
                      <w:sz w:val="18"/>
                      <w:szCs w:val="18"/>
                    </w:rPr>
                  </w:pPr>
                </w:p>
              </w:tc>
              <w:tc>
                <w:tcPr>
                  <w:tcW w:w="723" w:type="dxa"/>
                  <w:shd w:val="clear" w:color="auto" w:fill="auto"/>
                  <w:vAlign w:val="center"/>
                </w:tcPr>
                <w:p w14:paraId="46DD3D11">
                  <w:pPr>
                    <w:widowControl/>
                    <w:jc w:val="center"/>
                    <w:rPr>
                      <w:rFonts w:eastAsiaTheme="majorEastAsia"/>
                      <w:kern w:val="0"/>
                      <w:sz w:val="18"/>
                      <w:szCs w:val="18"/>
                    </w:rPr>
                  </w:pPr>
                  <w:r>
                    <w:rPr>
                      <w:rFonts w:eastAsiaTheme="majorEastAsia"/>
                      <w:kern w:val="0"/>
                      <w:sz w:val="18"/>
                      <w:szCs w:val="18"/>
                    </w:rPr>
                    <w:t>BEY切片干燥废气G3-1</w:t>
                  </w:r>
                </w:p>
              </w:tc>
              <w:tc>
                <w:tcPr>
                  <w:tcW w:w="0" w:type="auto"/>
                  <w:shd w:val="clear" w:color="auto" w:fill="auto"/>
                  <w:noWrap/>
                  <w:vAlign w:val="center"/>
                </w:tcPr>
                <w:p w14:paraId="307C9622">
                  <w:pPr>
                    <w:widowControl/>
                    <w:jc w:val="center"/>
                    <w:rPr>
                      <w:rFonts w:eastAsiaTheme="majorEastAsia"/>
                      <w:kern w:val="0"/>
                      <w:sz w:val="18"/>
                      <w:szCs w:val="18"/>
                    </w:rPr>
                  </w:pPr>
                  <w:r>
                    <w:rPr>
                      <w:rFonts w:eastAsiaTheme="majorEastAsia"/>
                      <w:kern w:val="0"/>
                      <w:sz w:val="18"/>
                      <w:szCs w:val="18"/>
                    </w:rPr>
                    <w:t xml:space="preserve">20000 </w:t>
                  </w:r>
                </w:p>
              </w:tc>
              <w:tc>
                <w:tcPr>
                  <w:tcW w:w="0" w:type="auto"/>
                  <w:shd w:val="clear" w:color="auto" w:fill="auto"/>
                  <w:noWrap/>
                  <w:vAlign w:val="center"/>
                </w:tcPr>
                <w:p w14:paraId="369871D7">
                  <w:pPr>
                    <w:widowControl/>
                    <w:jc w:val="center"/>
                    <w:rPr>
                      <w:rFonts w:eastAsiaTheme="majorEastAsia"/>
                      <w:kern w:val="0"/>
                      <w:sz w:val="18"/>
                      <w:szCs w:val="18"/>
                    </w:rPr>
                  </w:pPr>
                  <w:r>
                    <w:rPr>
                      <w:rFonts w:eastAsiaTheme="majorEastAsia"/>
                      <w:kern w:val="0"/>
                      <w:sz w:val="18"/>
                      <w:szCs w:val="18"/>
                    </w:rPr>
                    <w:t>颗粒物</w:t>
                  </w:r>
                </w:p>
              </w:tc>
              <w:tc>
                <w:tcPr>
                  <w:tcW w:w="0" w:type="auto"/>
                  <w:shd w:val="clear" w:color="auto" w:fill="auto"/>
                  <w:noWrap/>
                  <w:vAlign w:val="center"/>
                </w:tcPr>
                <w:p w14:paraId="115416A1">
                  <w:pPr>
                    <w:widowControl/>
                    <w:jc w:val="center"/>
                    <w:rPr>
                      <w:rFonts w:eastAsiaTheme="majorEastAsia"/>
                      <w:kern w:val="0"/>
                      <w:sz w:val="18"/>
                      <w:szCs w:val="18"/>
                    </w:rPr>
                  </w:pPr>
                  <w:r>
                    <w:rPr>
                      <w:rFonts w:eastAsiaTheme="majorEastAsia"/>
                      <w:kern w:val="0"/>
                      <w:sz w:val="18"/>
                      <w:szCs w:val="18"/>
                    </w:rPr>
                    <w:t xml:space="preserve">0.33 </w:t>
                  </w:r>
                </w:p>
              </w:tc>
              <w:tc>
                <w:tcPr>
                  <w:tcW w:w="0" w:type="auto"/>
                  <w:shd w:val="clear" w:color="auto" w:fill="auto"/>
                  <w:noWrap/>
                  <w:vAlign w:val="center"/>
                </w:tcPr>
                <w:p w14:paraId="61F4E9F0">
                  <w:pPr>
                    <w:widowControl/>
                    <w:jc w:val="center"/>
                    <w:rPr>
                      <w:rFonts w:eastAsiaTheme="majorEastAsia"/>
                      <w:kern w:val="0"/>
                      <w:sz w:val="18"/>
                      <w:szCs w:val="18"/>
                    </w:rPr>
                  </w:pPr>
                  <w:r>
                    <w:rPr>
                      <w:rFonts w:eastAsiaTheme="majorEastAsia"/>
                      <w:kern w:val="0"/>
                      <w:sz w:val="18"/>
                      <w:szCs w:val="18"/>
                    </w:rPr>
                    <w:t xml:space="preserve">0.04 </w:t>
                  </w:r>
                </w:p>
              </w:tc>
              <w:tc>
                <w:tcPr>
                  <w:tcW w:w="0" w:type="auto"/>
                  <w:shd w:val="clear" w:color="auto" w:fill="auto"/>
                  <w:noWrap/>
                  <w:vAlign w:val="center"/>
                </w:tcPr>
                <w:p w14:paraId="0BBF9906">
                  <w:pPr>
                    <w:widowControl/>
                    <w:jc w:val="center"/>
                    <w:rPr>
                      <w:rFonts w:eastAsiaTheme="majorEastAsia"/>
                      <w:kern w:val="0"/>
                      <w:sz w:val="18"/>
                      <w:szCs w:val="18"/>
                    </w:rPr>
                  </w:pPr>
                  <w:r>
                    <w:rPr>
                      <w:rFonts w:eastAsiaTheme="majorEastAsia"/>
                      <w:kern w:val="0"/>
                      <w:sz w:val="18"/>
                      <w:szCs w:val="18"/>
                    </w:rPr>
                    <w:t xml:space="preserve">2.00 </w:t>
                  </w:r>
                </w:p>
              </w:tc>
              <w:tc>
                <w:tcPr>
                  <w:tcW w:w="406" w:type="dxa"/>
                  <w:shd w:val="clear" w:color="auto" w:fill="auto"/>
                  <w:noWrap/>
                  <w:vAlign w:val="center"/>
                </w:tcPr>
                <w:p w14:paraId="505E1FD2">
                  <w:pPr>
                    <w:widowControl/>
                    <w:jc w:val="center"/>
                    <w:rPr>
                      <w:rFonts w:eastAsiaTheme="majorEastAsia"/>
                      <w:kern w:val="0"/>
                      <w:sz w:val="18"/>
                      <w:szCs w:val="18"/>
                    </w:rPr>
                  </w:pPr>
                  <w:r>
                    <w:rPr>
                      <w:rFonts w:eastAsiaTheme="majorEastAsia"/>
                      <w:kern w:val="0"/>
                      <w:sz w:val="18"/>
                      <w:szCs w:val="18"/>
                    </w:rPr>
                    <w:t xml:space="preserve">95 </w:t>
                  </w:r>
                </w:p>
              </w:tc>
              <w:tc>
                <w:tcPr>
                  <w:tcW w:w="633" w:type="dxa"/>
                  <w:shd w:val="clear" w:color="auto" w:fill="auto"/>
                  <w:vAlign w:val="center"/>
                </w:tcPr>
                <w:p w14:paraId="45F78E4F">
                  <w:pPr>
                    <w:widowControl/>
                    <w:jc w:val="center"/>
                    <w:rPr>
                      <w:rFonts w:eastAsiaTheme="majorEastAsia"/>
                      <w:kern w:val="0"/>
                      <w:sz w:val="18"/>
                      <w:szCs w:val="18"/>
                    </w:rPr>
                  </w:pPr>
                  <w:r>
                    <w:rPr>
                      <w:rFonts w:eastAsiaTheme="majorEastAsia"/>
                      <w:kern w:val="0"/>
                      <w:sz w:val="18"/>
                      <w:szCs w:val="18"/>
                    </w:rPr>
                    <w:t>旋风除尘+袋式除尘</w:t>
                  </w:r>
                </w:p>
              </w:tc>
              <w:tc>
                <w:tcPr>
                  <w:tcW w:w="427" w:type="dxa"/>
                  <w:shd w:val="clear" w:color="auto" w:fill="auto"/>
                  <w:noWrap/>
                  <w:vAlign w:val="center"/>
                </w:tcPr>
                <w:p w14:paraId="451B506E">
                  <w:pPr>
                    <w:widowControl/>
                    <w:jc w:val="center"/>
                    <w:rPr>
                      <w:rFonts w:eastAsiaTheme="majorEastAsia"/>
                      <w:kern w:val="0"/>
                      <w:sz w:val="18"/>
                      <w:szCs w:val="18"/>
                    </w:rPr>
                  </w:pPr>
                  <w:r>
                    <w:rPr>
                      <w:rFonts w:eastAsiaTheme="majorEastAsia"/>
                      <w:kern w:val="0"/>
                      <w:sz w:val="18"/>
                      <w:szCs w:val="18"/>
                    </w:rPr>
                    <w:t xml:space="preserve">99 </w:t>
                  </w:r>
                </w:p>
              </w:tc>
              <w:tc>
                <w:tcPr>
                  <w:tcW w:w="498" w:type="dxa"/>
                  <w:shd w:val="clear" w:color="auto" w:fill="auto"/>
                  <w:noWrap/>
                  <w:vAlign w:val="center"/>
                </w:tcPr>
                <w:p w14:paraId="43E95CBC">
                  <w:pPr>
                    <w:widowControl/>
                    <w:jc w:val="center"/>
                    <w:rPr>
                      <w:rFonts w:eastAsiaTheme="majorEastAsia"/>
                      <w:kern w:val="0"/>
                      <w:sz w:val="18"/>
                      <w:szCs w:val="18"/>
                    </w:rPr>
                  </w:pPr>
                  <w:r>
                    <w:rPr>
                      <w:rFonts w:eastAsiaTheme="majorEastAsia"/>
                      <w:kern w:val="0"/>
                      <w:sz w:val="18"/>
                      <w:szCs w:val="18"/>
                    </w:rPr>
                    <w:t>是</w:t>
                  </w:r>
                </w:p>
              </w:tc>
              <w:tc>
                <w:tcPr>
                  <w:tcW w:w="0" w:type="auto"/>
                  <w:shd w:val="clear" w:color="auto" w:fill="auto"/>
                  <w:noWrap/>
                  <w:vAlign w:val="center"/>
                </w:tcPr>
                <w:p w14:paraId="6A976ACA">
                  <w:pPr>
                    <w:widowControl/>
                    <w:jc w:val="center"/>
                    <w:rPr>
                      <w:rFonts w:eastAsiaTheme="majorEastAsia"/>
                      <w:kern w:val="0"/>
                      <w:sz w:val="18"/>
                      <w:szCs w:val="18"/>
                    </w:rPr>
                  </w:pPr>
                  <w:r>
                    <w:rPr>
                      <w:sz w:val="18"/>
                      <w:szCs w:val="18"/>
                    </w:rPr>
                    <w:t xml:space="preserve">0.003 </w:t>
                  </w:r>
                </w:p>
              </w:tc>
              <w:tc>
                <w:tcPr>
                  <w:tcW w:w="557" w:type="dxa"/>
                  <w:shd w:val="clear" w:color="auto" w:fill="auto"/>
                  <w:noWrap/>
                  <w:vAlign w:val="center"/>
                </w:tcPr>
                <w:p w14:paraId="4DE8C70F">
                  <w:pPr>
                    <w:widowControl/>
                    <w:jc w:val="center"/>
                    <w:rPr>
                      <w:rFonts w:eastAsiaTheme="majorEastAsia"/>
                      <w:kern w:val="0"/>
                      <w:sz w:val="18"/>
                      <w:szCs w:val="18"/>
                    </w:rPr>
                  </w:pPr>
                  <w:r>
                    <w:rPr>
                      <w:sz w:val="18"/>
                      <w:szCs w:val="18"/>
                    </w:rPr>
                    <w:t xml:space="preserve">0.0004 </w:t>
                  </w:r>
                </w:p>
              </w:tc>
              <w:tc>
                <w:tcPr>
                  <w:tcW w:w="716" w:type="dxa"/>
                  <w:shd w:val="clear" w:color="auto" w:fill="auto"/>
                  <w:noWrap/>
                  <w:vAlign w:val="center"/>
                </w:tcPr>
                <w:p w14:paraId="76297811">
                  <w:pPr>
                    <w:widowControl/>
                    <w:jc w:val="center"/>
                    <w:rPr>
                      <w:rFonts w:eastAsiaTheme="majorEastAsia"/>
                      <w:kern w:val="0"/>
                      <w:sz w:val="18"/>
                      <w:szCs w:val="18"/>
                    </w:rPr>
                  </w:pPr>
                  <w:r>
                    <w:rPr>
                      <w:sz w:val="18"/>
                      <w:szCs w:val="18"/>
                    </w:rPr>
                    <w:t xml:space="preserve">0.020 </w:t>
                  </w:r>
                </w:p>
              </w:tc>
              <w:tc>
                <w:tcPr>
                  <w:tcW w:w="567" w:type="dxa"/>
                  <w:shd w:val="clear" w:color="auto" w:fill="auto"/>
                  <w:noWrap/>
                  <w:vAlign w:val="center"/>
                </w:tcPr>
                <w:p w14:paraId="2FF01A6A">
                  <w:pPr>
                    <w:widowControl/>
                    <w:jc w:val="center"/>
                    <w:rPr>
                      <w:rFonts w:eastAsiaTheme="majorEastAsia"/>
                      <w:kern w:val="0"/>
                      <w:sz w:val="18"/>
                      <w:szCs w:val="18"/>
                    </w:rPr>
                  </w:pPr>
                  <w:r>
                    <w:rPr>
                      <w:rFonts w:eastAsiaTheme="majorEastAsia"/>
                      <w:kern w:val="0"/>
                      <w:sz w:val="18"/>
                      <w:szCs w:val="18"/>
                    </w:rPr>
                    <w:t xml:space="preserve">26 </w:t>
                  </w:r>
                </w:p>
              </w:tc>
              <w:tc>
                <w:tcPr>
                  <w:tcW w:w="0" w:type="auto"/>
                  <w:shd w:val="clear" w:color="auto" w:fill="auto"/>
                  <w:noWrap/>
                  <w:vAlign w:val="center"/>
                </w:tcPr>
                <w:p w14:paraId="29322043">
                  <w:pPr>
                    <w:widowControl/>
                    <w:jc w:val="center"/>
                    <w:rPr>
                      <w:rFonts w:eastAsiaTheme="majorEastAsia"/>
                      <w:kern w:val="0"/>
                      <w:sz w:val="18"/>
                      <w:szCs w:val="18"/>
                    </w:rPr>
                  </w:pPr>
                  <w:r>
                    <w:rPr>
                      <w:rFonts w:eastAsiaTheme="majorEastAsia"/>
                      <w:kern w:val="0"/>
                      <w:sz w:val="18"/>
                      <w:szCs w:val="18"/>
                    </w:rPr>
                    <w:t xml:space="preserve">1 </w:t>
                  </w:r>
                </w:p>
              </w:tc>
              <w:tc>
                <w:tcPr>
                  <w:tcW w:w="0" w:type="auto"/>
                  <w:shd w:val="clear" w:color="auto" w:fill="auto"/>
                  <w:noWrap/>
                  <w:vAlign w:val="center"/>
                </w:tcPr>
                <w:p w14:paraId="030C7652">
                  <w:pPr>
                    <w:widowControl/>
                    <w:jc w:val="center"/>
                    <w:rPr>
                      <w:rFonts w:eastAsiaTheme="majorEastAsia"/>
                      <w:kern w:val="0"/>
                      <w:sz w:val="18"/>
                      <w:szCs w:val="18"/>
                    </w:rPr>
                  </w:pPr>
                  <w:r>
                    <w:rPr>
                      <w:rFonts w:eastAsiaTheme="majorEastAsia"/>
                      <w:kern w:val="0"/>
                      <w:sz w:val="18"/>
                      <w:szCs w:val="18"/>
                    </w:rPr>
                    <w:t xml:space="preserve">25 </w:t>
                  </w:r>
                </w:p>
              </w:tc>
              <w:tc>
                <w:tcPr>
                  <w:tcW w:w="0" w:type="auto"/>
                  <w:shd w:val="clear" w:color="auto" w:fill="auto"/>
                  <w:noWrap/>
                  <w:vAlign w:val="center"/>
                </w:tcPr>
                <w:p w14:paraId="1023E250">
                  <w:pPr>
                    <w:widowControl/>
                    <w:jc w:val="center"/>
                    <w:rPr>
                      <w:rFonts w:eastAsiaTheme="majorEastAsia"/>
                      <w:kern w:val="0"/>
                      <w:sz w:val="18"/>
                      <w:szCs w:val="18"/>
                    </w:rPr>
                  </w:pPr>
                  <w:r>
                    <w:rPr>
                      <w:rFonts w:eastAsiaTheme="majorEastAsia"/>
                      <w:kern w:val="0"/>
                      <w:sz w:val="18"/>
                      <w:szCs w:val="18"/>
                    </w:rPr>
                    <w:t>连续</w:t>
                  </w:r>
                </w:p>
              </w:tc>
              <w:tc>
                <w:tcPr>
                  <w:tcW w:w="0" w:type="auto"/>
                  <w:shd w:val="clear" w:color="auto" w:fill="auto"/>
                  <w:noWrap/>
                  <w:vAlign w:val="center"/>
                </w:tcPr>
                <w:p w14:paraId="4BADC538">
                  <w:pPr>
                    <w:widowControl/>
                    <w:jc w:val="center"/>
                    <w:rPr>
                      <w:rFonts w:eastAsiaTheme="majorEastAsia"/>
                      <w:kern w:val="0"/>
                      <w:sz w:val="18"/>
                      <w:szCs w:val="18"/>
                    </w:rPr>
                  </w:pPr>
                  <w:r>
                    <w:rPr>
                      <w:rFonts w:eastAsiaTheme="majorEastAsia"/>
                      <w:kern w:val="0"/>
                      <w:sz w:val="18"/>
                      <w:szCs w:val="18"/>
                    </w:rPr>
                    <w:t>DA016</w:t>
                  </w:r>
                </w:p>
              </w:tc>
              <w:tc>
                <w:tcPr>
                  <w:tcW w:w="0" w:type="auto"/>
                  <w:shd w:val="clear" w:color="auto" w:fill="auto"/>
                  <w:noWrap/>
                  <w:vAlign w:val="center"/>
                </w:tcPr>
                <w:p w14:paraId="6473E1FD">
                  <w:pPr>
                    <w:widowControl/>
                    <w:jc w:val="center"/>
                    <w:rPr>
                      <w:rFonts w:eastAsiaTheme="majorEastAsia"/>
                      <w:kern w:val="0"/>
                      <w:sz w:val="18"/>
                      <w:szCs w:val="18"/>
                    </w:rPr>
                  </w:pPr>
                  <w:r>
                    <w:rPr>
                      <w:rFonts w:eastAsiaTheme="majorEastAsia"/>
                      <w:kern w:val="0"/>
                      <w:sz w:val="18"/>
                      <w:szCs w:val="18"/>
                    </w:rPr>
                    <w:t>3条线</w:t>
                  </w:r>
                </w:p>
              </w:tc>
            </w:tr>
            <w:tr w14:paraId="4C4563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97" w:type="dxa"/>
                  <w:vMerge w:val="continue"/>
                  <w:vAlign w:val="center"/>
                </w:tcPr>
                <w:p w14:paraId="52D2BE55">
                  <w:pPr>
                    <w:widowControl/>
                    <w:jc w:val="left"/>
                    <w:rPr>
                      <w:rFonts w:eastAsiaTheme="majorEastAsia"/>
                      <w:kern w:val="0"/>
                      <w:sz w:val="18"/>
                      <w:szCs w:val="18"/>
                    </w:rPr>
                  </w:pPr>
                </w:p>
              </w:tc>
              <w:tc>
                <w:tcPr>
                  <w:tcW w:w="723" w:type="dxa"/>
                  <w:shd w:val="clear" w:color="auto" w:fill="auto"/>
                  <w:vAlign w:val="center"/>
                </w:tcPr>
                <w:p w14:paraId="79DCA269">
                  <w:pPr>
                    <w:widowControl/>
                    <w:jc w:val="center"/>
                    <w:rPr>
                      <w:rFonts w:eastAsiaTheme="majorEastAsia"/>
                      <w:kern w:val="0"/>
                      <w:sz w:val="18"/>
                      <w:szCs w:val="18"/>
                    </w:rPr>
                  </w:pPr>
                  <w:r>
                    <w:rPr>
                      <w:rFonts w:eastAsiaTheme="majorEastAsia"/>
                      <w:kern w:val="0"/>
                      <w:sz w:val="18"/>
                      <w:szCs w:val="18"/>
                    </w:rPr>
                    <w:t>涤锦切片干燥废气G4-1</w:t>
                  </w:r>
                </w:p>
              </w:tc>
              <w:tc>
                <w:tcPr>
                  <w:tcW w:w="0" w:type="auto"/>
                  <w:shd w:val="clear" w:color="auto" w:fill="auto"/>
                  <w:noWrap/>
                  <w:vAlign w:val="center"/>
                </w:tcPr>
                <w:p w14:paraId="204F86B0">
                  <w:pPr>
                    <w:widowControl/>
                    <w:jc w:val="center"/>
                    <w:rPr>
                      <w:rFonts w:eastAsiaTheme="majorEastAsia"/>
                      <w:kern w:val="0"/>
                      <w:sz w:val="18"/>
                      <w:szCs w:val="18"/>
                    </w:rPr>
                  </w:pPr>
                  <w:r>
                    <w:rPr>
                      <w:rFonts w:eastAsiaTheme="majorEastAsia"/>
                      <w:kern w:val="0"/>
                      <w:sz w:val="18"/>
                      <w:szCs w:val="18"/>
                    </w:rPr>
                    <w:t xml:space="preserve">20000 </w:t>
                  </w:r>
                </w:p>
              </w:tc>
              <w:tc>
                <w:tcPr>
                  <w:tcW w:w="0" w:type="auto"/>
                  <w:shd w:val="clear" w:color="auto" w:fill="auto"/>
                  <w:noWrap/>
                  <w:vAlign w:val="center"/>
                </w:tcPr>
                <w:p w14:paraId="25EEE12F">
                  <w:pPr>
                    <w:widowControl/>
                    <w:jc w:val="center"/>
                    <w:rPr>
                      <w:rFonts w:eastAsiaTheme="majorEastAsia"/>
                      <w:kern w:val="0"/>
                      <w:sz w:val="18"/>
                      <w:szCs w:val="18"/>
                    </w:rPr>
                  </w:pPr>
                  <w:r>
                    <w:rPr>
                      <w:rFonts w:eastAsiaTheme="majorEastAsia"/>
                      <w:kern w:val="0"/>
                      <w:sz w:val="18"/>
                      <w:szCs w:val="18"/>
                    </w:rPr>
                    <w:t>颗粒物</w:t>
                  </w:r>
                </w:p>
              </w:tc>
              <w:tc>
                <w:tcPr>
                  <w:tcW w:w="0" w:type="auto"/>
                  <w:shd w:val="clear" w:color="auto" w:fill="auto"/>
                  <w:noWrap/>
                  <w:vAlign w:val="center"/>
                </w:tcPr>
                <w:p w14:paraId="58419A58">
                  <w:pPr>
                    <w:widowControl/>
                    <w:jc w:val="center"/>
                    <w:rPr>
                      <w:rFonts w:eastAsiaTheme="majorEastAsia"/>
                      <w:kern w:val="0"/>
                      <w:sz w:val="18"/>
                      <w:szCs w:val="18"/>
                    </w:rPr>
                  </w:pPr>
                  <w:r>
                    <w:rPr>
                      <w:sz w:val="18"/>
                      <w:szCs w:val="18"/>
                    </w:rPr>
                    <w:t xml:space="preserve">0.38 </w:t>
                  </w:r>
                </w:p>
              </w:tc>
              <w:tc>
                <w:tcPr>
                  <w:tcW w:w="0" w:type="auto"/>
                  <w:shd w:val="clear" w:color="auto" w:fill="auto"/>
                  <w:noWrap/>
                  <w:vAlign w:val="center"/>
                </w:tcPr>
                <w:p w14:paraId="67CB0CBD">
                  <w:pPr>
                    <w:widowControl/>
                    <w:jc w:val="center"/>
                    <w:rPr>
                      <w:rFonts w:eastAsiaTheme="majorEastAsia"/>
                      <w:kern w:val="0"/>
                      <w:sz w:val="18"/>
                      <w:szCs w:val="18"/>
                    </w:rPr>
                  </w:pPr>
                  <w:r>
                    <w:rPr>
                      <w:sz w:val="18"/>
                      <w:szCs w:val="18"/>
                    </w:rPr>
                    <w:t xml:space="preserve">0.05 </w:t>
                  </w:r>
                </w:p>
              </w:tc>
              <w:tc>
                <w:tcPr>
                  <w:tcW w:w="0" w:type="auto"/>
                  <w:shd w:val="clear" w:color="auto" w:fill="auto"/>
                  <w:noWrap/>
                  <w:vAlign w:val="center"/>
                </w:tcPr>
                <w:p w14:paraId="73B4A8A4">
                  <w:pPr>
                    <w:widowControl/>
                    <w:jc w:val="center"/>
                    <w:rPr>
                      <w:rFonts w:eastAsiaTheme="majorEastAsia"/>
                      <w:kern w:val="0"/>
                      <w:sz w:val="18"/>
                      <w:szCs w:val="18"/>
                    </w:rPr>
                  </w:pPr>
                  <w:r>
                    <w:rPr>
                      <w:sz w:val="18"/>
                      <w:szCs w:val="18"/>
                    </w:rPr>
                    <w:t xml:space="preserve">2.50 </w:t>
                  </w:r>
                </w:p>
              </w:tc>
              <w:tc>
                <w:tcPr>
                  <w:tcW w:w="406" w:type="dxa"/>
                  <w:shd w:val="clear" w:color="auto" w:fill="auto"/>
                  <w:noWrap/>
                  <w:vAlign w:val="center"/>
                </w:tcPr>
                <w:p w14:paraId="74B690B0">
                  <w:pPr>
                    <w:widowControl/>
                    <w:jc w:val="center"/>
                    <w:rPr>
                      <w:rFonts w:eastAsiaTheme="majorEastAsia"/>
                      <w:kern w:val="0"/>
                      <w:sz w:val="18"/>
                      <w:szCs w:val="18"/>
                    </w:rPr>
                  </w:pPr>
                  <w:r>
                    <w:rPr>
                      <w:rFonts w:eastAsiaTheme="majorEastAsia"/>
                      <w:kern w:val="0"/>
                      <w:sz w:val="18"/>
                      <w:szCs w:val="18"/>
                    </w:rPr>
                    <w:t xml:space="preserve">95 </w:t>
                  </w:r>
                </w:p>
              </w:tc>
              <w:tc>
                <w:tcPr>
                  <w:tcW w:w="633" w:type="dxa"/>
                  <w:shd w:val="clear" w:color="auto" w:fill="auto"/>
                  <w:vAlign w:val="center"/>
                </w:tcPr>
                <w:p w14:paraId="1AD9AC8C">
                  <w:pPr>
                    <w:widowControl/>
                    <w:jc w:val="center"/>
                    <w:rPr>
                      <w:rFonts w:eastAsiaTheme="majorEastAsia"/>
                      <w:kern w:val="0"/>
                      <w:sz w:val="18"/>
                      <w:szCs w:val="18"/>
                    </w:rPr>
                  </w:pPr>
                  <w:r>
                    <w:rPr>
                      <w:rFonts w:eastAsiaTheme="majorEastAsia"/>
                      <w:kern w:val="0"/>
                      <w:sz w:val="18"/>
                      <w:szCs w:val="18"/>
                    </w:rPr>
                    <w:t>旋风除尘+袋式除尘</w:t>
                  </w:r>
                </w:p>
              </w:tc>
              <w:tc>
                <w:tcPr>
                  <w:tcW w:w="427" w:type="dxa"/>
                  <w:shd w:val="clear" w:color="auto" w:fill="auto"/>
                  <w:noWrap/>
                  <w:vAlign w:val="center"/>
                </w:tcPr>
                <w:p w14:paraId="2BBD2D09">
                  <w:pPr>
                    <w:widowControl/>
                    <w:jc w:val="center"/>
                    <w:rPr>
                      <w:rFonts w:eastAsiaTheme="majorEastAsia"/>
                      <w:kern w:val="0"/>
                      <w:sz w:val="18"/>
                      <w:szCs w:val="18"/>
                    </w:rPr>
                  </w:pPr>
                  <w:r>
                    <w:rPr>
                      <w:rFonts w:eastAsiaTheme="majorEastAsia"/>
                      <w:kern w:val="0"/>
                      <w:sz w:val="18"/>
                      <w:szCs w:val="18"/>
                    </w:rPr>
                    <w:t xml:space="preserve">99 </w:t>
                  </w:r>
                </w:p>
              </w:tc>
              <w:tc>
                <w:tcPr>
                  <w:tcW w:w="498" w:type="dxa"/>
                  <w:shd w:val="clear" w:color="auto" w:fill="auto"/>
                  <w:noWrap/>
                  <w:vAlign w:val="center"/>
                </w:tcPr>
                <w:p w14:paraId="13757243">
                  <w:pPr>
                    <w:widowControl/>
                    <w:jc w:val="center"/>
                    <w:rPr>
                      <w:rFonts w:eastAsiaTheme="majorEastAsia"/>
                      <w:kern w:val="0"/>
                      <w:sz w:val="18"/>
                      <w:szCs w:val="18"/>
                    </w:rPr>
                  </w:pPr>
                  <w:r>
                    <w:rPr>
                      <w:rFonts w:eastAsiaTheme="majorEastAsia"/>
                      <w:kern w:val="0"/>
                      <w:sz w:val="18"/>
                      <w:szCs w:val="18"/>
                    </w:rPr>
                    <w:t>是</w:t>
                  </w:r>
                </w:p>
              </w:tc>
              <w:tc>
                <w:tcPr>
                  <w:tcW w:w="0" w:type="auto"/>
                  <w:shd w:val="clear" w:color="auto" w:fill="auto"/>
                  <w:noWrap/>
                  <w:vAlign w:val="center"/>
                </w:tcPr>
                <w:p w14:paraId="1BAD2C77">
                  <w:pPr>
                    <w:widowControl/>
                    <w:jc w:val="center"/>
                    <w:rPr>
                      <w:rFonts w:eastAsiaTheme="majorEastAsia"/>
                      <w:kern w:val="0"/>
                      <w:sz w:val="18"/>
                      <w:szCs w:val="18"/>
                    </w:rPr>
                  </w:pPr>
                  <w:r>
                    <w:rPr>
                      <w:sz w:val="18"/>
                      <w:szCs w:val="18"/>
                    </w:rPr>
                    <w:t xml:space="preserve">0.004 </w:t>
                  </w:r>
                </w:p>
              </w:tc>
              <w:tc>
                <w:tcPr>
                  <w:tcW w:w="557" w:type="dxa"/>
                  <w:shd w:val="clear" w:color="auto" w:fill="auto"/>
                  <w:noWrap/>
                  <w:vAlign w:val="center"/>
                </w:tcPr>
                <w:p w14:paraId="5D8F8694">
                  <w:pPr>
                    <w:widowControl/>
                    <w:jc w:val="center"/>
                    <w:rPr>
                      <w:rFonts w:eastAsiaTheme="majorEastAsia"/>
                      <w:kern w:val="0"/>
                      <w:sz w:val="18"/>
                      <w:szCs w:val="18"/>
                    </w:rPr>
                  </w:pPr>
                  <w:r>
                    <w:rPr>
                      <w:sz w:val="18"/>
                      <w:szCs w:val="18"/>
                    </w:rPr>
                    <w:t xml:space="preserve">0.001 </w:t>
                  </w:r>
                </w:p>
              </w:tc>
              <w:tc>
                <w:tcPr>
                  <w:tcW w:w="716" w:type="dxa"/>
                  <w:shd w:val="clear" w:color="auto" w:fill="auto"/>
                  <w:noWrap/>
                  <w:vAlign w:val="center"/>
                </w:tcPr>
                <w:p w14:paraId="662AC231">
                  <w:pPr>
                    <w:widowControl/>
                    <w:jc w:val="center"/>
                    <w:rPr>
                      <w:rFonts w:eastAsiaTheme="majorEastAsia"/>
                      <w:kern w:val="0"/>
                      <w:sz w:val="18"/>
                      <w:szCs w:val="18"/>
                    </w:rPr>
                  </w:pPr>
                  <w:r>
                    <w:rPr>
                      <w:sz w:val="18"/>
                      <w:szCs w:val="18"/>
                    </w:rPr>
                    <w:t xml:space="preserve">0.025 </w:t>
                  </w:r>
                </w:p>
              </w:tc>
              <w:tc>
                <w:tcPr>
                  <w:tcW w:w="567" w:type="dxa"/>
                  <w:shd w:val="clear" w:color="auto" w:fill="auto"/>
                  <w:noWrap/>
                  <w:vAlign w:val="center"/>
                </w:tcPr>
                <w:p w14:paraId="1168B742">
                  <w:pPr>
                    <w:widowControl/>
                    <w:jc w:val="center"/>
                    <w:rPr>
                      <w:rFonts w:eastAsiaTheme="majorEastAsia"/>
                      <w:kern w:val="0"/>
                      <w:sz w:val="18"/>
                      <w:szCs w:val="18"/>
                    </w:rPr>
                  </w:pPr>
                  <w:r>
                    <w:rPr>
                      <w:rFonts w:eastAsiaTheme="majorEastAsia"/>
                      <w:kern w:val="0"/>
                      <w:sz w:val="18"/>
                      <w:szCs w:val="18"/>
                    </w:rPr>
                    <w:t xml:space="preserve">26 </w:t>
                  </w:r>
                </w:p>
              </w:tc>
              <w:tc>
                <w:tcPr>
                  <w:tcW w:w="0" w:type="auto"/>
                  <w:shd w:val="clear" w:color="auto" w:fill="auto"/>
                  <w:noWrap/>
                  <w:vAlign w:val="center"/>
                </w:tcPr>
                <w:p w14:paraId="794B1034">
                  <w:pPr>
                    <w:widowControl/>
                    <w:jc w:val="center"/>
                    <w:rPr>
                      <w:rFonts w:eastAsiaTheme="majorEastAsia"/>
                      <w:kern w:val="0"/>
                      <w:sz w:val="18"/>
                      <w:szCs w:val="18"/>
                    </w:rPr>
                  </w:pPr>
                  <w:r>
                    <w:rPr>
                      <w:rFonts w:eastAsiaTheme="majorEastAsia"/>
                      <w:kern w:val="0"/>
                      <w:sz w:val="18"/>
                      <w:szCs w:val="18"/>
                    </w:rPr>
                    <w:t xml:space="preserve">1 </w:t>
                  </w:r>
                </w:p>
              </w:tc>
              <w:tc>
                <w:tcPr>
                  <w:tcW w:w="0" w:type="auto"/>
                  <w:shd w:val="clear" w:color="auto" w:fill="auto"/>
                  <w:noWrap/>
                  <w:vAlign w:val="center"/>
                </w:tcPr>
                <w:p w14:paraId="4FB981B1">
                  <w:pPr>
                    <w:widowControl/>
                    <w:jc w:val="center"/>
                    <w:rPr>
                      <w:rFonts w:eastAsiaTheme="majorEastAsia"/>
                      <w:kern w:val="0"/>
                      <w:sz w:val="18"/>
                      <w:szCs w:val="18"/>
                    </w:rPr>
                  </w:pPr>
                  <w:r>
                    <w:rPr>
                      <w:rFonts w:eastAsiaTheme="majorEastAsia"/>
                      <w:kern w:val="0"/>
                      <w:sz w:val="18"/>
                      <w:szCs w:val="18"/>
                    </w:rPr>
                    <w:t xml:space="preserve">25 </w:t>
                  </w:r>
                </w:p>
              </w:tc>
              <w:tc>
                <w:tcPr>
                  <w:tcW w:w="0" w:type="auto"/>
                  <w:shd w:val="clear" w:color="auto" w:fill="auto"/>
                  <w:noWrap/>
                  <w:vAlign w:val="center"/>
                </w:tcPr>
                <w:p w14:paraId="1AB1453C">
                  <w:pPr>
                    <w:widowControl/>
                    <w:jc w:val="center"/>
                    <w:rPr>
                      <w:rFonts w:eastAsiaTheme="majorEastAsia"/>
                      <w:kern w:val="0"/>
                      <w:sz w:val="18"/>
                      <w:szCs w:val="18"/>
                    </w:rPr>
                  </w:pPr>
                  <w:r>
                    <w:rPr>
                      <w:rFonts w:eastAsiaTheme="majorEastAsia"/>
                      <w:kern w:val="0"/>
                      <w:sz w:val="18"/>
                      <w:szCs w:val="18"/>
                    </w:rPr>
                    <w:t>连续</w:t>
                  </w:r>
                </w:p>
              </w:tc>
              <w:tc>
                <w:tcPr>
                  <w:tcW w:w="0" w:type="auto"/>
                  <w:shd w:val="clear" w:color="auto" w:fill="auto"/>
                  <w:noWrap/>
                  <w:vAlign w:val="center"/>
                </w:tcPr>
                <w:p w14:paraId="1DB9D1C9">
                  <w:pPr>
                    <w:widowControl/>
                    <w:jc w:val="center"/>
                    <w:rPr>
                      <w:rFonts w:eastAsiaTheme="majorEastAsia"/>
                      <w:kern w:val="0"/>
                      <w:sz w:val="18"/>
                      <w:szCs w:val="18"/>
                    </w:rPr>
                  </w:pPr>
                  <w:r>
                    <w:rPr>
                      <w:rFonts w:eastAsiaTheme="majorEastAsia"/>
                      <w:kern w:val="0"/>
                      <w:sz w:val="18"/>
                      <w:szCs w:val="18"/>
                    </w:rPr>
                    <w:t>DA017</w:t>
                  </w:r>
                </w:p>
              </w:tc>
              <w:tc>
                <w:tcPr>
                  <w:tcW w:w="0" w:type="auto"/>
                  <w:shd w:val="clear" w:color="auto" w:fill="auto"/>
                  <w:noWrap/>
                  <w:vAlign w:val="center"/>
                </w:tcPr>
                <w:p w14:paraId="7CB1CE54">
                  <w:pPr>
                    <w:widowControl/>
                    <w:jc w:val="center"/>
                    <w:rPr>
                      <w:rFonts w:eastAsiaTheme="majorEastAsia"/>
                      <w:kern w:val="0"/>
                      <w:sz w:val="18"/>
                      <w:szCs w:val="18"/>
                    </w:rPr>
                  </w:pPr>
                  <w:r>
                    <w:rPr>
                      <w:rFonts w:eastAsiaTheme="majorEastAsia"/>
                      <w:kern w:val="0"/>
                      <w:sz w:val="18"/>
                      <w:szCs w:val="18"/>
                    </w:rPr>
                    <w:t>1条线</w:t>
                  </w:r>
                </w:p>
              </w:tc>
            </w:tr>
            <w:tr w14:paraId="611B10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7" w:type="dxa"/>
                  <w:vMerge w:val="continue"/>
                  <w:vAlign w:val="center"/>
                </w:tcPr>
                <w:p w14:paraId="1CFB90F1">
                  <w:pPr>
                    <w:widowControl/>
                    <w:jc w:val="left"/>
                    <w:rPr>
                      <w:rFonts w:eastAsiaTheme="majorEastAsia"/>
                      <w:kern w:val="0"/>
                      <w:sz w:val="18"/>
                      <w:szCs w:val="18"/>
                    </w:rPr>
                  </w:pPr>
                </w:p>
              </w:tc>
              <w:tc>
                <w:tcPr>
                  <w:tcW w:w="723" w:type="dxa"/>
                  <w:vMerge w:val="restart"/>
                  <w:shd w:val="clear" w:color="auto" w:fill="auto"/>
                  <w:vAlign w:val="center"/>
                </w:tcPr>
                <w:p w14:paraId="79F4393A">
                  <w:pPr>
                    <w:widowControl/>
                    <w:jc w:val="center"/>
                    <w:rPr>
                      <w:rFonts w:eastAsiaTheme="majorEastAsia"/>
                      <w:kern w:val="0"/>
                      <w:sz w:val="18"/>
                      <w:szCs w:val="18"/>
                    </w:rPr>
                  </w:pPr>
                  <w:r>
                    <w:rPr>
                      <w:rFonts w:eastAsiaTheme="majorEastAsia"/>
                      <w:kern w:val="0"/>
                      <w:sz w:val="18"/>
                      <w:szCs w:val="18"/>
                    </w:rPr>
                    <w:t>废丝回收废气G5-1</w:t>
                  </w:r>
                </w:p>
              </w:tc>
              <w:tc>
                <w:tcPr>
                  <w:tcW w:w="0" w:type="auto"/>
                  <w:vMerge w:val="restart"/>
                  <w:shd w:val="clear" w:color="auto" w:fill="auto"/>
                  <w:noWrap/>
                  <w:vAlign w:val="center"/>
                </w:tcPr>
                <w:p w14:paraId="29445172">
                  <w:pPr>
                    <w:widowControl/>
                    <w:jc w:val="center"/>
                    <w:rPr>
                      <w:rFonts w:eastAsiaTheme="majorEastAsia"/>
                      <w:kern w:val="0"/>
                      <w:sz w:val="18"/>
                      <w:szCs w:val="18"/>
                    </w:rPr>
                  </w:pPr>
                  <w:r>
                    <w:rPr>
                      <w:sz w:val="18"/>
                      <w:szCs w:val="18"/>
                    </w:rPr>
                    <w:t xml:space="preserve">9000 </w:t>
                  </w:r>
                </w:p>
              </w:tc>
              <w:tc>
                <w:tcPr>
                  <w:tcW w:w="0" w:type="auto"/>
                  <w:shd w:val="clear" w:color="auto" w:fill="auto"/>
                  <w:vAlign w:val="center"/>
                </w:tcPr>
                <w:p w14:paraId="3CF54121">
                  <w:pPr>
                    <w:widowControl/>
                    <w:jc w:val="center"/>
                    <w:rPr>
                      <w:rFonts w:eastAsiaTheme="majorEastAsia"/>
                      <w:kern w:val="0"/>
                      <w:sz w:val="18"/>
                      <w:szCs w:val="18"/>
                    </w:rPr>
                  </w:pPr>
                  <w:r>
                    <w:rPr>
                      <w:sz w:val="18"/>
                      <w:szCs w:val="18"/>
                    </w:rPr>
                    <w:t>非甲烷总烃</w:t>
                  </w:r>
                </w:p>
              </w:tc>
              <w:tc>
                <w:tcPr>
                  <w:tcW w:w="0" w:type="auto"/>
                  <w:shd w:val="clear" w:color="auto" w:fill="auto"/>
                  <w:noWrap/>
                  <w:vAlign w:val="center"/>
                </w:tcPr>
                <w:p w14:paraId="27D06A1A">
                  <w:pPr>
                    <w:widowControl/>
                    <w:jc w:val="center"/>
                    <w:rPr>
                      <w:rFonts w:eastAsiaTheme="majorEastAsia"/>
                      <w:kern w:val="0"/>
                      <w:sz w:val="18"/>
                      <w:szCs w:val="18"/>
                    </w:rPr>
                  </w:pPr>
                  <w:r>
                    <w:rPr>
                      <w:sz w:val="18"/>
                      <w:szCs w:val="18"/>
                    </w:rPr>
                    <w:t xml:space="preserve">28.50 </w:t>
                  </w:r>
                </w:p>
              </w:tc>
              <w:tc>
                <w:tcPr>
                  <w:tcW w:w="0" w:type="auto"/>
                  <w:shd w:val="clear" w:color="auto" w:fill="auto"/>
                  <w:noWrap/>
                  <w:vAlign w:val="center"/>
                </w:tcPr>
                <w:p w14:paraId="01833C7E">
                  <w:pPr>
                    <w:widowControl/>
                    <w:jc w:val="center"/>
                    <w:rPr>
                      <w:rFonts w:eastAsiaTheme="majorEastAsia"/>
                      <w:kern w:val="0"/>
                      <w:sz w:val="18"/>
                      <w:szCs w:val="18"/>
                    </w:rPr>
                  </w:pPr>
                  <w:r>
                    <w:rPr>
                      <w:sz w:val="18"/>
                      <w:szCs w:val="18"/>
                    </w:rPr>
                    <w:t xml:space="preserve">3.39 </w:t>
                  </w:r>
                </w:p>
              </w:tc>
              <w:tc>
                <w:tcPr>
                  <w:tcW w:w="0" w:type="auto"/>
                  <w:shd w:val="clear" w:color="auto" w:fill="auto"/>
                  <w:noWrap/>
                  <w:vAlign w:val="center"/>
                </w:tcPr>
                <w:p w14:paraId="22B46778">
                  <w:pPr>
                    <w:widowControl/>
                    <w:jc w:val="center"/>
                    <w:rPr>
                      <w:rFonts w:eastAsiaTheme="majorEastAsia"/>
                      <w:kern w:val="0"/>
                      <w:sz w:val="18"/>
                      <w:szCs w:val="18"/>
                    </w:rPr>
                  </w:pPr>
                  <w:r>
                    <w:rPr>
                      <w:sz w:val="18"/>
                      <w:szCs w:val="18"/>
                    </w:rPr>
                    <w:t xml:space="preserve">376.67 </w:t>
                  </w:r>
                </w:p>
              </w:tc>
              <w:tc>
                <w:tcPr>
                  <w:tcW w:w="406" w:type="dxa"/>
                  <w:shd w:val="clear" w:color="auto" w:fill="auto"/>
                  <w:noWrap/>
                  <w:vAlign w:val="center"/>
                </w:tcPr>
                <w:p w14:paraId="7DF23B2F">
                  <w:pPr>
                    <w:widowControl/>
                    <w:jc w:val="center"/>
                    <w:rPr>
                      <w:rFonts w:eastAsiaTheme="majorEastAsia"/>
                      <w:kern w:val="0"/>
                      <w:sz w:val="18"/>
                      <w:szCs w:val="18"/>
                    </w:rPr>
                  </w:pPr>
                  <w:r>
                    <w:rPr>
                      <w:sz w:val="18"/>
                      <w:szCs w:val="18"/>
                    </w:rPr>
                    <w:t xml:space="preserve">95 </w:t>
                  </w:r>
                </w:p>
              </w:tc>
              <w:tc>
                <w:tcPr>
                  <w:tcW w:w="633" w:type="dxa"/>
                  <w:vMerge w:val="restart"/>
                  <w:shd w:val="clear" w:color="auto" w:fill="auto"/>
                  <w:noWrap/>
                  <w:vAlign w:val="center"/>
                </w:tcPr>
                <w:p w14:paraId="50D5888D">
                  <w:pPr>
                    <w:widowControl/>
                    <w:jc w:val="center"/>
                    <w:rPr>
                      <w:rFonts w:eastAsiaTheme="majorEastAsia"/>
                      <w:kern w:val="0"/>
                      <w:sz w:val="18"/>
                      <w:szCs w:val="18"/>
                    </w:rPr>
                  </w:pPr>
                  <w:r>
                    <w:rPr>
                      <w:sz w:val="18"/>
                      <w:szCs w:val="18"/>
                    </w:rPr>
                    <w:t>油烟净化</w:t>
                  </w:r>
                </w:p>
              </w:tc>
              <w:tc>
                <w:tcPr>
                  <w:tcW w:w="427" w:type="dxa"/>
                  <w:shd w:val="clear" w:color="auto" w:fill="auto"/>
                  <w:noWrap/>
                  <w:vAlign w:val="center"/>
                </w:tcPr>
                <w:p w14:paraId="2AE45EDE">
                  <w:pPr>
                    <w:widowControl/>
                    <w:jc w:val="center"/>
                    <w:rPr>
                      <w:rFonts w:eastAsiaTheme="majorEastAsia"/>
                      <w:kern w:val="0"/>
                      <w:sz w:val="18"/>
                      <w:szCs w:val="18"/>
                    </w:rPr>
                  </w:pPr>
                  <w:r>
                    <w:rPr>
                      <w:sz w:val="18"/>
                      <w:szCs w:val="18"/>
                    </w:rPr>
                    <w:t xml:space="preserve">90 </w:t>
                  </w:r>
                </w:p>
              </w:tc>
              <w:tc>
                <w:tcPr>
                  <w:tcW w:w="498" w:type="dxa"/>
                  <w:shd w:val="clear" w:color="auto" w:fill="auto"/>
                  <w:noWrap/>
                  <w:vAlign w:val="center"/>
                </w:tcPr>
                <w:p w14:paraId="161835BB">
                  <w:pPr>
                    <w:widowControl/>
                    <w:jc w:val="center"/>
                    <w:rPr>
                      <w:rFonts w:eastAsiaTheme="majorEastAsia"/>
                      <w:kern w:val="0"/>
                      <w:sz w:val="18"/>
                      <w:szCs w:val="18"/>
                    </w:rPr>
                  </w:pPr>
                  <w:r>
                    <w:rPr>
                      <w:sz w:val="18"/>
                      <w:szCs w:val="18"/>
                    </w:rPr>
                    <w:t>是</w:t>
                  </w:r>
                </w:p>
              </w:tc>
              <w:tc>
                <w:tcPr>
                  <w:tcW w:w="0" w:type="auto"/>
                  <w:shd w:val="clear" w:color="auto" w:fill="auto"/>
                  <w:noWrap/>
                  <w:vAlign w:val="center"/>
                </w:tcPr>
                <w:p w14:paraId="39D1FA8F">
                  <w:pPr>
                    <w:widowControl/>
                    <w:jc w:val="center"/>
                    <w:rPr>
                      <w:rFonts w:eastAsiaTheme="majorEastAsia"/>
                      <w:kern w:val="0"/>
                      <w:sz w:val="18"/>
                      <w:szCs w:val="18"/>
                    </w:rPr>
                  </w:pPr>
                  <w:r>
                    <w:rPr>
                      <w:sz w:val="18"/>
                      <w:szCs w:val="18"/>
                    </w:rPr>
                    <w:t xml:space="preserve">2.85 </w:t>
                  </w:r>
                </w:p>
              </w:tc>
              <w:tc>
                <w:tcPr>
                  <w:tcW w:w="557" w:type="dxa"/>
                  <w:shd w:val="clear" w:color="auto" w:fill="auto"/>
                  <w:noWrap/>
                  <w:vAlign w:val="center"/>
                </w:tcPr>
                <w:p w14:paraId="47861F8F">
                  <w:pPr>
                    <w:widowControl/>
                    <w:jc w:val="center"/>
                    <w:rPr>
                      <w:rFonts w:eastAsiaTheme="majorEastAsia"/>
                      <w:kern w:val="0"/>
                      <w:sz w:val="18"/>
                      <w:szCs w:val="18"/>
                    </w:rPr>
                  </w:pPr>
                  <w:r>
                    <w:rPr>
                      <w:sz w:val="18"/>
                      <w:szCs w:val="18"/>
                    </w:rPr>
                    <w:t xml:space="preserve">0.34 </w:t>
                  </w:r>
                </w:p>
              </w:tc>
              <w:tc>
                <w:tcPr>
                  <w:tcW w:w="716" w:type="dxa"/>
                  <w:shd w:val="clear" w:color="auto" w:fill="auto"/>
                  <w:noWrap/>
                  <w:vAlign w:val="center"/>
                </w:tcPr>
                <w:p w14:paraId="7F758218">
                  <w:pPr>
                    <w:widowControl/>
                    <w:jc w:val="center"/>
                    <w:rPr>
                      <w:rFonts w:eastAsiaTheme="majorEastAsia"/>
                      <w:kern w:val="0"/>
                      <w:sz w:val="18"/>
                      <w:szCs w:val="18"/>
                    </w:rPr>
                  </w:pPr>
                  <w:r>
                    <w:rPr>
                      <w:sz w:val="18"/>
                      <w:szCs w:val="18"/>
                    </w:rPr>
                    <w:t xml:space="preserve">37.67 </w:t>
                  </w:r>
                </w:p>
              </w:tc>
              <w:tc>
                <w:tcPr>
                  <w:tcW w:w="567" w:type="dxa"/>
                  <w:vMerge w:val="restart"/>
                  <w:shd w:val="clear" w:color="auto" w:fill="auto"/>
                  <w:noWrap/>
                  <w:vAlign w:val="center"/>
                </w:tcPr>
                <w:p w14:paraId="5A0CC80E">
                  <w:pPr>
                    <w:widowControl/>
                    <w:jc w:val="center"/>
                    <w:rPr>
                      <w:rFonts w:eastAsiaTheme="majorEastAsia"/>
                      <w:kern w:val="0"/>
                      <w:sz w:val="18"/>
                      <w:szCs w:val="18"/>
                    </w:rPr>
                  </w:pPr>
                  <w:r>
                    <w:rPr>
                      <w:rFonts w:eastAsiaTheme="majorEastAsia"/>
                      <w:kern w:val="0"/>
                      <w:sz w:val="18"/>
                      <w:szCs w:val="18"/>
                    </w:rPr>
                    <w:t xml:space="preserve">26 </w:t>
                  </w:r>
                </w:p>
              </w:tc>
              <w:tc>
                <w:tcPr>
                  <w:tcW w:w="0" w:type="auto"/>
                  <w:vMerge w:val="restart"/>
                  <w:shd w:val="clear" w:color="auto" w:fill="auto"/>
                  <w:noWrap/>
                  <w:vAlign w:val="center"/>
                </w:tcPr>
                <w:p w14:paraId="3763AC4F">
                  <w:pPr>
                    <w:widowControl/>
                    <w:jc w:val="center"/>
                    <w:rPr>
                      <w:rFonts w:eastAsiaTheme="majorEastAsia"/>
                      <w:kern w:val="0"/>
                      <w:sz w:val="18"/>
                      <w:szCs w:val="18"/>
                    </w:rPr>
                  </w:pPr>
                  <w:r>
                    <w:rPr>
                      <w:rFonts w:eastAsiaTheme="majorEastAsia"/>
                      <w:kern w:val="0"/>
                      <w:sz w:val="18"/>
                      <w:szCs w:val="18"/>
                    </w:rPr>
                    <w:t>0.5</w:t>
                  </w:r>
                </w:p>
              </w:tc>
              <w:tc>
                <w:tcPr>
                  <w:tcW w:w="0" w:type="auto"/>
                  <w:vMerge w:val="restart"/>
                  <w:shd w:val="clear" w:color="auto" w:fill="auto"/>
                  <w:noWrap/>
                  <w:vAlign w:val="center"/>
                </w:tcPr>
                <w:p w14:paraId="05D629C5">
                  <w:pPr>
                    <w:widowControl/>
                    <w:jc w:val="center"/>
                    <w:rPr>
                      <w:rFonts w:eastAsiaTheme="majorEastAsia"/>
                      <w:kern w:val="0"/>
                      <w:sz w:val="18"/>
                      <w:szCs w:val="18"/>
                    </w:rPr>
                  </w:pPr>
                  <w:r>
                    <w:rPr>
                      <w:rFonts w:eastAsiaTheme="majorEastAsia"/>
                      <w:kern w:val="0"/>
                      <w:sz w:val="18"/>
                      <w:szCs w:val="18"/>
                    </w:rPr>
                    <w:t xml:space="preserve">25 </w:t>
                  </w:r>
                </w:p>
              </w:tc>
              <w:tc>
                <w:tcPr>
                  <w:tcW w:w="0" w:type="auto"/>
                  <w:vMerge w:val="restart"/>
                  <w:shd w:val="clear" w:color="auto" w:fill="auto"/>
                  <w:noWrap/>
                  <w:vAlign w:val="center"/>
                </w:tcPr>
                <w:p w14:paraId="040D2098">
                  <w:pPr>
                    <w:widowControl/>
                    <w:jc w:val="center"/>
                    <w:rPr>
                      <w:rFonts w:eastAsiaTheme="majorEastAsia"/>
                      <w:kern w:val="0"/>
                      <w:sz w:val="18"/>
                      <w:szCs w:val="18"/>
                    </w:rPr>
                  </w:pPr>
                  <w:r>
                    <w:rPr>
                      <w:rFonts w:eastAsiaTheme="majorEastAsia"/>
                      <w:kern w:val="0"/>
                      <w:sz w:val="18"/>
                      <w:szCs w:val="18"/>
                    </w:rPr>
                    <w:t>连续</w:t>
                  </w:r>
                </w:p>
              </w:tc>
              <w:tc>
                <w:tcPr>
                  <w:tcW w:w="0" w:type="auto"/>
                  <w:vMerge w:val="restart"/>
                  <w:shd w:val="clear" w:color="auto" w:fill="auto"/>
                  <w:noWrap/>
                  <w:vAlign w:val="center"/>
                </w:tcPr>
                <w:p w14:paraId="06A81946">
                  <w:pPr>
                    <w:widowControl/>
                    <w:jc w:val="center"/>
                    <w:rPr>
                      <w:rFonts w:eastAsiaTheme="majorEastAsia"/>
                      <w:kern w:val="0"/>
                      <w:sz w:val="18"/>
                      <w:szCs w:val="18"/>
                    </w:rPr>
                  </w:pPr>
                  <w:r>
                    <w:rPr>
                      <w:rFonts w:eastAsiaTheme="majorEastAsia"/>
                      <w:kern w:val="0"/>
                      <w:sz w:val="18"/>
                      <w:szCs w:val="18"/>
                    </w:rPr>
                    <w:t>DA018</w:t>
                  </w:r>
                </w:p>
              </w:tc>
              <w:tc>
                <w:tcPr>
                  <w:tcW w:w="0" w:type="auto"/>
                  <w:vMerge w:val="restart"/>
                  <w:shd w:val="clear" w:color="auto" w:fill="auto"/>
                  <w:noWrap/>
                  <w:vAlign w:val="center"/>
                </w:tcPr>
                <w:p w14:paraId="79DE52CA">
                  <w:pPr>
                    <w:widowControl/>
                    <w:jc w:val="center"/>
                    <w:rPr>
                      <w:rFonts w:eastAsiaTheme="majorEastAsia"/>
                      <w:kern w:val="0"/>
                      <w:sz w:val="18"/>
                      <w:szCs w:val="18"/>
                    </w:rPr>
                  </w:pPr>
                  <w:r>
                    <w:rPr>
                      <w:rFonts w:eastAsiaTheme="majorEastAsia"/>
                      <w:kern w:val="0"/>
                      <w:sz w:val="18"/>
                      <w:szCs w:val="18"/>
                    </w:rPr>
                    <w:t>1条线</w:t>
                  </w:r>
                </w:p>
              </w:tc>
            </w:tr>
            <w:tr w14:paraId="572D64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7" w:type="dxa"/>
                  <w:vMerge w:val="continue"/>
                  <w:vAlign w:val="center"/>
                </w:tcPr>
                <w:p w14:paraId="665CDD5F">
                  <w:pPr>
                    <w:widowControl/>
                    <w:jc w:val="left"/>
                    <w:rPr>
                      <w:rFonts w:eastAsiaTheme="majorEastAsia"/>
                      <w:kern w:val="0"/>
                      <w:sz w:val="18"/>
                      <w:szCs w:val="18"/>
                    </w:rPr>
                  </w:pPr>
                </w:p>
              </w:tc>
              <w:tc>
                <w:tcPr>
                  <w:tcW w:w="723" w:type="dxa"/>
                  <w:vMerge w:val="continue"/>
                  <w:vAlign w:val="center"/>
                </w:tcPr>
                <w:p w14:paraId="13A57BC0">
                  <w:pPr>
                    <w:widowControl/>
                    <w:jc w:val="left"/>
                    <w:rPr>
                      <w:rFonts w:eastAsiaTheme="majorEastAsia"/>
                      <w:kern w:val="0"/>
                      <w:sz w:val="18"/>
                      <w:szCs w:val="18"/>
                    </w:rPr>
                  </w:pPr>
                </w:p>
              </w:tc>
              <w:tc>
                <w:tcPr>
                  <w:tcW w:w="0" w:type="auto"/>
                  <w:vMerge w:val="continue"/>
                  <w:vAlign w:val="center"/>
                </w:tcPr>
                <w:p w14:paraId="4E89405A">
                  <w:pPr>
                    <w:widowControl/>
                    <w:jc w:val="left"/>
                    <w:rPr>
                      <w:rFonts w:eastAsiaTheme="majorEastAsia"/>
                      <w:kern w:val="0"/>
                      <w:sz w:val="18"/>
                      <w:szCs w:val="18"/>
                    </w:rPr>
                  </w:pPr>
                </w:p>
              </w:tc>
              <w:tc>
                <w:tcPr>
                  <w:tcW w:w="0" w:type="auto"/>
                  <w:shd w:val="clear" w:color="auto" w:fill="auto"/>
                  <w:vAlign w:val="center"/>
                </w:tcPr>
                <w:p w14:paraId="0276A11A">
                  <w:pPr>
                    <w:widowControl/>
                    <w:jc w:val="center"/>
                    <w:rPr>
                      <w:rFonts w:eastAsiaTheme="majorEastAsia"/>
                      <w:kern w:val="0"/>
                      <w:sz w:val="18"/>
                      <w:szCs w:val="18"/>
                    </w:rPr>
                  </w:pPr>
                  <w:r>
                    <w:rPr>
                      <w:sz w:val="18"/>
                      <w:szCs w:val="18"/>
                    </w:rPr>
                    <w:t>颗粒物</w:t>
                  </w:r>
                </w:p>
              </w:tc>
              <w:tc>
                <w:tcPr>
                  <w:tcW w:w="0" w:type="auto"/>
                  <w:shd w:val="clear" w:color="auto" w:fill="auto"/>
                  <w:noWrap/>
                  <w:vAlign w:val="center"/>
                </w:tcPr>
                <w:p w14:paraId="1C0F2535">
                  <w:pPr>
                    <w:widowControl/>
                    <w:jc w:val="center"/>
                    <w:rPr>
                      <w:rFonts w:eastAsiaTheme="majorEastAsia"/>
                      <w:kern w:val="0"/>
                      <w:sz w:val="18"/>
                      <w:szCs w:val="18"/>
                    </w:rPr>
                  </w:pPr>
                  <w:r>
                    <w:rPr>
                      <w:sz w:val="18"/>
                      <w:szCs w:val="18"/>
                    </w:rPr>
                    <w:t xml:space="preserve">5.70 </w:t>
                  </w:r>
                </w:p>
              </w:tc>
              <w:tc>
                <w:tcPr>
                  <w:tcW w:w="0" w:type="auto"/>
                  <w:shd w:val="clear" w:color="auto" w:fill="auto"/>
                  <w:noWrap/>
                  <w:vAlign w:val="center"/>
                </w:tcPr>
                <w:p w14:paraId="0C133608">
                  <w:pPr>
                    <w:widowControl/>
                    <w:jc w:val="center"/>
                    <w:rPr>
                      <w:rFonts w:eastAsiaTheme="majorEastAsia"/>
                      <w:kern w:val="0"/>
                      <w:sz w:val="18"/>
                      <w:szCs w:val="18"/>
                    </w:rPr>
                  </w:pPr>
                  <w:r>
                    <w:rPr>
                      <w:sz w:val="18"/>
                      <w:szCs w:val="18"/>
                    </w:rPr>
                    <w:t xml:space="preserve">0.68 </w:t>
                  </w:r>
                </w:p>
              </w:tc>
              <w:tc>
                <w:tcPr>
                  <w:tcW w:w="0" w:type="auto"/>
                  <w:shd w:val="clear" w:color="auto" w:fill="auto"/>
                  <w:noWrap/>
                  <w:vAlign w:val="center"/>
                </w:tcPr>
                <w:p w14:paraId="580C77DE">
                  <w:pPr>
                    <w:widowControl/>
                    <w:jc w:val="center"/>
                    <w:rPr>
                      <w:rFonts w:eastAsiaTheme="majorEastAsia"/>
                      <w:kern w:val="0"/>
                      <w:sz w:val="18"/>
                      <w:szCs w:val="18"/>
                    </w:rPr>
                  </w:pPr>
                  <w:r>
                    <w:rPr>
                      <w:sz w:val="18"/>
                      <w:szCs w:val="18"/>
                    </w:rPr>
                    <w:t xml:space="preserve">75.56 </w:t>
                  </w:r>
                </w:p>
              </w:tc>
              <w:tc>
                <w:tcPr>
                  <w:tcW w:w="406" w:type="dxa"/>
                  <w:shd w:val="clear" w:color="auto" w:fill="auto"/>
                  <w:noWrap/>
                  <w:vAlign w:val="center"/>
                </w:tcPr>
                <w:p w14:paraId="715F6ADE">
                  <w:pPr>
                    <w:widowControl/>
                    <w:jc w:val="center"/>
                    <w:rPr>
                      <w:rFonts w:eastAsiaTheme="majorEastAsia"/>
                      <w:kern w:val="0"/>
                      <w:sz w:val="18"/>
                      <w:szCs w:val="18"/>
                    </w:rPr>
                  </w:pPr>
                  <w:r>
                    <w:rPr>
                      <w:sz w:val="18"/>
                      <w:szCs w:val="18"/>
                    </w:rPr>
                    <w:t xml:space="preserve">95 </w:t>
                  </w:r>
                </w:p>
              </w:tc>
              <w:tc>
                <w:tcPr>
                  <w:tcW w:w="633" w:type="dxa"/>
                  <w:vMerge w:val="continue"/>
                  <w:vAlign w:val="center"/>
                </w:tcPr>
                <w:p w14:paraId="7493C413">
                  <w:pPr>
                    <w:widowControl/>
                    <w:jc w:val="left"/>
                    <w:rPr>
                      <w:rFonts w:eastAsiaTheme="majorEastAsia"/>
                      <w:kern w:val="0"/>
                      <w:sz w:val="18"/>
                      <w:szCs w:val="18"/>
                    </w:rPr>
                  </w:pPr>
                </w:p>
              </w:tc>
              <w:tc>
                <w:tcPr>
                  <w:tcW w:w="427" w:type="dxa"/>
                  <w:shd w:val="clear" w:color="auto" w:fill="auto"/>
                  <w:noWrap/>
                  <w:vAlign w:val="center"/>
                </w:tcPr>
                <w:p w14:paraId="63D60FCD">
                  <w:pPr>
                    <w:widowControl/>
                    <w:jc w:val="center"/>
                    <w:rPr>
                      <w:rFonts w:eastAsiaTheme="majorEastAsia"/>
                      <w:kern w:val="0"/>
                      <w:sz w:val="18"/>
                      <w:szCs w:val="18"/>
                    </w:rPr>
                  </w:pPr>
                  <w:r>
                    <w:rPr>
                      <w:sz w:val="18"/>
                      <w:szCs w:val="18"/>
                    </w:rPr>
                    <w:t xml:space="preserve">90 </w:t>
                  </w:r>
                </w:p>
              </w:tc>
              <w:tc>
                <w:tcPr>
                  <w:tcW w:w="498" w:type="dxa"/>
                  <w:shd w:val="clear" w:color="auto" w:fill="auto"/>
                  <w:noWrap/>
                  <w:vAlign w:val="center"/>
                </w:tcPr>
                <w:p w14:paraId="262911E7">
                  <w:pPr>
                    <w:widowControl/>
                    <w:jc w:val="center"/>
                    <w:rPr>
                      <w:rFonts w:eastAsiaTheme="majorEastAsia"/>
                      <w:kern w:val="0"/>
                      <w:sz w:val="18"/>
                      <w:szCs w:val="18"/>
                    </w:rPr>
                  </w:pPr>
                  <w:r>
                    <w:rPr>
                      <w:sz w:val="18"/>
                      <w:szCs w:val="18"/>
                    </w:rPr>
                    <w:t>是</w:t>
                  </w:r>
                </w:p>
              </w:tc>
              <w:tc>
                <w:tcPr>
                  <w:tcW w:w="0" w:type="auto"/>
                  <w:shd w:val="clear" w:color="auto" w:fill="auto"/>
                  <w:noWrap/>
                  <w:vAlign w:val="center"/>
                </w:tcPr>
                <w:p w14:paraId="10A08A03">
                  <w:pPr>
                    <w:widowControl/>
                    <w:jc w:val="center"/>
                    <w:rPr>
                      <w:rFonts w:eastAsiaTheme="majorEastAsia"/>
                      <w:kern w:val="0"/>
                      <w:sz w:val="18"/>
                      <w:szCs w:val="18"/>
                    </w:rPr>
                  </w:pPr>
                  <w:r>
                    <w:rPr>
                      <w:sz w:val="18"/>
                      <w:szCs w:val="18"/>
                    </w:rPr>
                    <w:t xml:space="preserve">0.57 </w:t>
                  </w:r>
                </w:p>
              </w:tc>
              <w:tc>
                <w:tcPr>
                  <w:tcW w:w="557" w:type="dxa"/>
                  <w:shd w:val="clear" w:color="auto" w:fill="auto"/>
                  <w:noWrap/>
                  <w:vAlign w:val="center"/>
                </w:tcPr>
                <w:p w14:paraId="79DB4651">
                  <w:pPr>
                    <w:widowControl/>
                    <w:jc w:val="center"/>
                    <w:rPr>
                      <w:rFonts w:eastAsiaTheme="majorEastAsia"/>
                      <w:kern w:val="0"/>
                      <w:sz w:val="18"/>
                      <w:szCs w:val="18"/>
                    </w:rPr>
                  </w:pPr>
                  <w:r>
                    <w:rPr>
                      <w:sz w:val="18"/>
                      <w:szCs w:val="18"/>
                    </w:rPr>
                    <w:t xml:space="preserve">0.07 </w:t>
                  </w:r>
                </w:p>
              </w:tc>
              <w:tc>
                <w:tcPr>
                  <w:tcW w:w="716" w:type="dxa"/>
                  <w:shd w:val="clear" w:color="auto" w:fill="auto"/>
                  <w:noWrap/>
                  <w:vAlign w:val="center"/>
                </w:tcPr>
                <w:p w14:paraId="6C25783A">
                  <w:pPr>
                    <w:widowControl/>
                    <w:jc w:val="center"/>
                    <w:rPr>
                      <w:rFonts w:eastAsiaTheme="majorEastAsia"/>
                      <w:kern w:val="0"/>
                      <w:sz w:val="18"/>
                      <w:szCs w:val="18"/>
                    </w:rPr>
                  </w:pPr>
                  <w:r>
                    <w:rPr>
                      <w:sz w:val="18"/>
                      <w:szCs w:val="18"/>
                    </w:rPr>
                    <w:t xml:space="preserve">7.56 </w:t>
                  </w:r>
                </w:p>
              </w:tc>
              <w:tc>
                <w:tcPr>
                  <w:tcW w:w="567" w:type="dxa"/>
                  <w:vMerge w:val="continue"/>
                  <w:vAlign w:val="center"/>
                </w:tcPr>
                <w:p w14:paraId="74822B00">
                  <w:pPr>
                    <w:widowControl/>
                    <w:jc w:val="left"/>
                    <w:rPr>
                      <w:rFonts w:eastAsiaTheme="majorEastAsia"/>
                      <w:kern w:val="0"/>
                      <w:sz w:val="18"/>
                      <w:szCs w:val="18"/>
                    </w:rPr>
                  </w:pPr>
                </w:p>
              </w:tc>
              <w:tc>
                <w:tcPr>
                  <w:tcW w:w="0" w:type="auto"/>
                  <w:vMerge w:val="continue"/>
                  <w:vAlign w:val="center"/>
                </w:tcPr>
                <w:p w14:paraId="40B8886D">
                  <w:pPr>
                    <w:widowControl/>
                    <w:jc w:val="left"/>
                    <w:rPr>
                      <w:rFonts w:eastAsiaTheme="majorEastAsia"/>
                      <w:kern w:val="0"/>
                      <w:sz w:val="18"/>
                      <w:szCs w:val="18"/>
                    </w:rPr>
                  </w:pPr>
                </w:p>
              </w:tc>
              <w:tc>
                <w:tcPr>
                  <w:tcW w:w="0" w:type="auto"/>
                  <w:vMerge w:val="continue"/>
                  <w:vAlign w:val="center"/>
                </w:tcPr>
                <w:p w14:paraId="025686F5">
                  <w:pPr>
                    <w:widowControl/>
                    <w:jc w:val="left"/>
                    <w:rPr>
                      <w:rFonts w:eastAsiaTheme="majorEastAsia"/>
                      <w:kern w:val="0"/>
                      <w:sz w:val="18"/>
                      <w:szCs w:val="18"/>
                    </w:rPr>
                  </w:pPr>
                </w:p>
              </w:tc>
              <w:tc>
                <w:tcPr>
                  <w:tcW w:w="0" w:type="auto"/>
                  <w:vMerge w:val="continue"/>
                  <w:vAlign w:val="center"/>
                </w:tcPr>
                <w:p w14:paraId="4C8411D0">
                  <w:pPr>
                    <w:widowControl/>
                    <w:jc w:val="left"/>
                    <w:rPr>
                      <w:rFonts w:eastAsiaTheme="majorEastAsia"/>
                      <w:kern w:val="0"/>
                      <w:sz w:val="18"/>
                      <w:szCs w:val="18"/>
                    </w:rPr>
                  </w:pPr>
                </w:p>
              </w:tc>
              <w:tc>
                <w:tcPr>
                  <w:tcW w:w="0" w:type="auto"/>
                  <w:vMerge w:val="continue"/>
                  <w:vAlign w:val="center"/>
                </w:tcPr>
                <w:p w14:paraId="01AC23DF">
                  <w:pPr>
                    <w:widowControl/>
                    <w:jc w:val="left"/>
                    <w:rPr>
                      <w:rFonts w:eastAsiaTheme="majorEastAsia"/>
                      <w:kern w:val="0"/>
                      <w:sz w:val="18"/>
                      <w:szCs w:val="18"/>
                    </w:rPr>
                  </w:pPr>
                </w:p>
              </w:tc>
              <w:tc>
                <w:tcPr>
                  <w:tcW w:w="0" w:type="auto"/>
                  <w:vMerge w:val="continue"/>
                  <w:vAlign w:val="center"/>
                </w:tcPr>
                <w:p w14:paraId="43E8DB2F">
                  <w:pPr>
                    <w:widowControl/>
                    <w:jc w:val="left"/>
                    <w:rPr>
                      <w:rFonts w:eastAsiaTheme="majorEastAsia"/>
                      <w:kern w:val="0"/>
                      <w:sz w:val="18"/>
                      <w:szCs w:val="18"/>
                    </w:rPr>
                  </w:pPr>
                </w:p>
              </w:tc>
            </w:tr>
            <w:tr w14:paraId="7CB4CE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7" w:type="dxa"/>
                  <w:vMerge w:val="continue"/>
                  <w:vAlign w:val="center"/>
                </w:tcPr>
                <w:p w14:paraId="036BFBB7">
                  <w:pPr>
                    <w:widowControl/>
                    <w:jc w:val="left"/>
                    <w:rPr>
                      <w:rFonts w:eastAsiaTheme="majorEastAsia"/>
                      <w:kern w:val="0"/>
                      <w:sz w:val="18"/>
                      <w:szCs w:val="18"/>
                    </w:rPr>
                  </w:pPr>
                </w:p>
              </w:tc>
              <w:tc>
                <w:tcPr>
                  <w:tcW w:w="723" w:type="dxa"/>
                  <w:vMerge w:val="restart"/>
                  <w:shd w:val="clear" w:color="auto" w:fill="auto"/>
                  <w:vAlign w:val="center"/>
                </w:tcPr>
                <w:p w14:paraId="60A456BF">
                  <w:pPr>
                    <w:widowControl/>
                    <w:jc w:val="center"/>
                    <w:rPr>
                      <w:rFonts w:eastAsiaTheme="majorEastAsia"/>
                      <w:kern w:val="0"/>
                      <w:sz w:val="18"/>
                      <w:szCs w:val="18"/>
                    </w:rPr>
                  </w:pPr>
                  <w:r>
                    <w:rPr>
                      <w:rFonts w:eastAsiaTheme="majorEastAsia"/>
                      <w:kern w:val="0"/>
                      <w:sz w:val="18"/>
                      <w:szCs w:val="18"/>
                    </w:rPr>
                    <w:t>废丝回收废气G5-2</w:t>
                  </w:r>
                </w:p>
              </w:tc>
              <w:tc>
                <w:tcPr>
                  <w:tcW w:w="0" w:type="auto"/>
                  <w:vMerge w:val="restart"/>
                  <w:shd w:val="clear" w:color="auto" w:fill="auto"/>
                  <w:noWrap/>
                  <w:vAlign w:val="center"/>
                </w:tcPr>
                <w:p w14:paraId="1BA0D13A">
                  <w:pPr>
                    <w:widowControl/>
                    <w:jc w:val="center"/>
                    <w:rPr>
                      <w:rFonts w:eastAsiaTheme="majorEastAsia"/>
                      <w:kern w:val="0"/>
                      <w:sz w:val="18"/>
                      <w:szCs w:val="18"/>
                    </w:rPr>
                  </w:pPr>
                  <w:r>
                    <w:rPr>
                      <w:sz w:val="18"/>
                      <w:szCs w:val="18"/>
                    </w:rPr>
                    <w:t xml:space="preserve">9000 </w:t>
                  </w:r>
                </w:p>
              </w:tc>
              <w:tc>
                <w:tcPr>
                  <w:tcW w:w="0" w:type="auto"/>
                  <w:shd w:val="clear" w:color="auto" w:fill="auto"/>
                  <w:vAlign w:val="center"/>
                </w:tcPr>
                <w:p w14:paraId="038770DF">
                  <w:pPr>
                    <w:widowControl/>
                    <w:jc w:val="center"/>
                    <w:rPr>
                      <w:rFonts w:eastAsiaTheme="majorEastAsia"/>
                      <w:kern w:val="0"/>
                      <w:sz w:val="18"/>
                      <w:szCs w:val="18"/>
                    </w:rPr>
                  </w:pPr>
                  <w:r>
                    <w:rPr>
                      <w:sz w:val="18"/>
                      <w:szCs w:val="18"/>
                    </w:rPr>
                    <w:t>非甲烷总烃</w:t>
                  </w:r>
                </w:p>
              </w:tc>
              <w:tc>
                <w:tcPr>
                  <w:tcW w:w="0" w:type="auto"/>
                  <w:shd w:val="clear" w:color="auto" w:fill="auto"/>
                  <w:noWrap/>
                  <w:vAlign w:val="center"/>
                </w:tcPr>
                <w:p w14:paraId="7E01C378">
                  <w:pPr>
                    <w:widowControl/>
                    <w:jc w:val="center"/>
                    <w:rPr>
                      <w:rFonts w:eastAsiaTheme="majorEastAsia"/>
                      <w:kern w:val="0"/>
                      <w:sz w:val="18"/>
                      <w:szCs w:val="18"/>
                    </w:rPr>
                  </w:pPr>
                  <w:r>
                    <w:rPr>
                      <w:sz w:val="18"/>
                      <w:szCs w:val="18"/>
                    </w:rPr>
                    <w:t xml:space="preserve">28.50 </w:t>
                  </w:r>
                </w:p>
              </w:tc>
              <w:tc>
                <w:tcPr>
                  <w:tcW w:w="0" w:type="auto"/>
                  <w:shd w:val="clear" w:color="auto" w:fill="auto"/>
                  <w:noWrap/>
                  <w:vAlign w:val="center"/>
                </w:tcPr>
                <w:p w14:paraId="24B4D618">
                  <w:pPr>
                    <w:widowControl/>
                    <w:jc w:val="center"/>
                    <w:rPr>
                      <w:rFonts w:eastAsiaTheme="majorEastAsia"/>
                      <w:kern w:val="0"/>
                      <w:sz w:val="18"/>
                      <w:szCs w:val="18"/>
                    </w:rPr>
                  </w:pPr>
                  <w:r>
                    <w:rPr>
                      <w:sz w:val="18"/>
                      <w:szCs w:val="18"/>
                    </w:rPr>
                    <w:t xml:space="preserve">3.39 </w:t>
                  </w:r>
                </w:p>
              </w:tc>
              <w:tc>
                <w:tcPr>
                  <w:tcW w:w="0" w:type="auto"/>
                  <w:shd w:val="clear" w:color="auto" w:fill="auto"/>
                  <w:noWrap/>
                  <w:vAlign w:val="center"/>
                </w:tcPr>
                <w:p w14:paraId="4886282A">
                  <w:pPr>
                    <w:widowControl/>
                    <w:jc w:val="center"/>
                    <w:rPr>
                      <w:rFonts w:eastAsiaTheme="majorEastAsia"/>
                      <w:kern w:val="0"/>
                      <w:sz w:val="18"/>
                      <w:szCs w:val="18"/>
                    </w:rPr>
                  </w:pPr>
                  <w:r>
                    <w:rPr>
                      <w:sz w:val="18"/>
                      <w:szCs w:val="18"/>
                    </w:rPr>
                    <w:t xml:space="preserve">376.67 </w:t>
                  </w:r>
                </w:p>
              </w:tc>
              <w:tc>
                <w:tcPr>
                  <w:tcW w:w="406" w:type="dxa"/>
                  <w:shd w:val="clear" w:color="auto" w:fill="auto"/>
                  <w:noWrap/>
                  <w:vAlign w:val="center"/>
                </w:tcPr>
                <w:p w14:paraId="5DBFBE1B">
                  <w:pPr>
                    <w:widowControl/>
                    <w:jc w:val="center"/>
                    <w:rPr>
                      <w:rFonts w:eastAsiaTheme="majorEastAsia"/>
                      <w:kern w:val="0"/>
                      <w:sz w:val="18"/>
                      <w:szCs w:val="18"/>
                    </w:rPr>
                  </w:pPr>
                  <w:r>
                    <w:rPr>
                      <w:sz w:val="18"/>
                      <w:szCs w:val="18"/>
                    </w:rPr>
                    <w:t xml:space="preserve">95 </w:t>
                  </w:r>
                </w:p>
              </w:tc>
              <w:tc>
                <w:tcPr>
                  <w:tcW w:w="633" w:type="dxa"/>
                  <w:vMerge w:val="restart"/>
                  <w:shd w:val="clear" w:color="auto" w:fill="auto"/>
                  <w:noWrap/>
                  <w:vAlign w:val="center"/>
                </w:tcPr>
                <w:p w14:paraId="1FECEC66">
                  <w:pPr>
                    <w:widowControl/>
                    <w:jc w:val="center"/>
                    <w:rPr>
                      <w:rFonts w:eastAsiaTheme="majorEastAsia"/>
                      <w:kern w:val="0"/>
                      <w:sz w:val="18"/>
                      <w:szCs w:val="18"/>
                    </w:rPr>
                  </w:pPr>
                  <w:r>
                    <w:rPr>
                      <w:sz w:val="18"/>
                      <w:szCs w:val="18"/>
                    </w:rPr>
                    <w:t>油烟净化</w:t>
                  </w:r>
                </w:p>
              </w:tc>
              <w:tc>
                <w:tcPr>
                  <w:tcW w:w="427" w:type="dxa"/>
                  <w:shd w:val="clear" w:color="auto" w:fill="auto"/>
                  <w:noWrap/>
                  <w:vAlign w:val="center"/>
                </w:tcPr>
                <w:p w14:paraId="5F35CFAF">
                  <w:pPr>
                    <w:widowControl/>
                    <w:jc w:val="center"/>
                    <w:rPr>
                      <w:rFonts w:eastAsiaTheme="majorEastAsia"/>
                      <w:kern w:val="0"/>
                      <w:sz w:val="18"/>
                      <w:szCs w:val="18"/>
                    </w:rPr>
                  </w:pPr>
                  <w:r>
                    <w:rPr>
                      <w:sz w:val="18"/>
                      <w:szCs w:val="18"/>
                    </w:rPr>
                    <w:t xml:space="preserve">90 </w:t>
                  </w:r>
                </w:p>
              </w:tc>
              <w:tc>
                <w:tcPr>
                  <w:tcW w:w="498" w:type="dxa"/>
                  <w:shd w:val="clear" w:color="auto" w:fill="auto"/>
                  <w:noWrap/>
                  <w:vAlign w:val="center"/>
                </w:tcPr>
                <w:p w14:paraId="2E6D431E">
                  <w:pPr>
                    <w:widowControl/>
                    <w:jc w:val="center"/>
                    <w:rPr>
                      <w:rFonts w:eastAsiaTheme="majorEastAsia"/>
                      <w:kern w:val="0"/>
                      <w:sz w:val="18"/>
                      <w:szCs w:val="18"/>
                    </w:rPr>
                  </w:pPr>
                  <w:r>
                    <w:rPr>
                      <w:sz w:val="18"/>
                      <w:szCs w:val="18"/>
                    </w:rPr>
                    <w:t>是</w:t>
                  </w:r>
                </w:p>
              </w:tc>
              <w:tc>
                <w:tcPr>
                  <w:tcW w:w="0" w:type="auto"/>
                  <w:shd w:val="clear" w:color="auto" w:fill="auto"/>
                  <w:noWrap/>
                  <w:vAlign w:val="center"/>
                </w:tcPr>
                <w:p w14:paraId="30B4A7DF">
                  <w:pPr>
                    <w:widowControl/>
                    <w:jc w:val="center"/>
                    <w:rPr>
                      <w:rFonts w:eastAsiaTheme="majorEastAsia"/>
                      <w:kern w:val="0"/>
                      <w:sz w:val="18"/>
                      <w:szCs w:val="18"/>
                    </w:rPr>
                  </w:pPr>
                  <w:r>
                    <w:rPr>
                      <w:sz w:val="18"/>
                      <w:szCs w:val="18"/>
                    </w:rPr>
                    <w:t xml:space="preserve">2.85 </w:t>
                  </w:r>
                </w:p>
              </w:tc>
              <w:tc>
                <w:tcPr>
                  <w:tcW w:w="557" w:type="dxa"/>
                  <w:shd w:val="clear" w:color="auto" w:fill="auto"/>
                  <w:noWrap/>
                  <w:vAlign w:val="center"/>
                </w:tcPr>
                <w:p w14:paraId="1D98E4EA">
                  <w:pPr>
                    <w:widowControl/>
                    <w:jc w:val="center"/>
                    <w:rPr>
                      <w:rFonts w:eastAsiaTheme="majorEastAsia"/>
                      <w:kern w:val="0"/>
                      <w:sz w:val="18"/>
                      <w:szCs w:val="18"/>
                    </w:rPr>
                  </w:pPr>
                  <w:r>
                    <w:rPr>
                      <w:sz w:val="18"/>
                      <w:szCs w:val="18"/>
                    </w:rPr>
                    <w:t xml:space="preserve">0.34 </w:t>
                  </w:r>
                </w:p>
              </w:tc>
              <w:tc>
                <w:tcPr>
                  <w:tcW w:w="716" w:type="dxa"/>
                  <w:shd w:val="clear" w:color="auto" w:fill="auto"/>
                  <w:noWrap/>
                  <w:vAlign w:val="center"/>
                </w:tcPr>
                <w:p w14:paraId="0D92A2C1">
                  <w:pPr>
                    <w:widowControl/>
                    <w:jc w:val="center"/>
                    <w:rPr>
                      <w:rFonts w:eastAsiaTheme="majorEastAsia"/>
                      <w:kern w:val="0"/>
                      <w:sz w:val="18"/>
                      <w:szCs w:val="18"/>
                    </w:rPr>
                  </w:pPr>
                  <w:r>
                    <w:rPr>
                      <w:sz w:val="18"/>
                      <w:szCs w:val="18"/>
                    </w:rPr>
                    <w:t xml:space="preserve">37.67 </w:t>
                  </w:r>
                </w:p>
              </w:tc>
              <w:tc>
                <w:tcPr>
                  <w:tcW w:w="567" w:type="dxa"/>
                  <w:vMerge w:val="restart"/>
                  <w:shd w:val="clear" w:color="auto" w:fill="auto"/>
                  <w:noWrap/>
                  <w:vAlign w:val="center"/>
                </w:tcPr>
                <w:p w14:paraId="4D7A6D00">
                  <w:pPr>
                    <w:widowControl/>
                    <w:jc w:val="center"/>
                    <w:rPr>
                      <w:rFonts w:eastAsiaTheme="majorEastAsia"/>
                      <w:kern w:val="0"/>
                      <w:sz w:val="18"/>
                      <w:szCs w:val="18"/>
                    </w:rPr>
                  </w:pPr>
                  <w:r>
                    <w:rPr>
                      <w:rFonts w:eastAsiaTheme="majorEastAsia"/>
                      <w:kern w:val="0"/>
                      <w:sz w:val="18"/>
                      <w:szCs w:val="18"/>
                    </w:rPr>
                    <w:t xml:space="preserve">26 </w:t>
                  </w:r>
                </w:p>
              </w:tc>
              <w:tc>
                <w:tcPr>
                  <w:tcW w:w="0" w:type="auto"/>
                  <w:vMerge w:val="restart"/>
                  <w:shd w:val="clear" w:color="auto" w:fill="auto"/>
                  <w:noWrap/>
                  <w:vAlign w:val="center"/>
                </w:tcPr>
                <w:p w14:paraId="6CB47D40">
                  <w:pPr>
                    <w:widowControl/>
                    <w:jc w:val="center"/>
                    <w:rPr>
                      <w:rFonts w:eastAsiaTheme="majorEastAsia"/>
                      <w:kern w:val="0"/>
                      <w:sz w:val="18"/>
                      <w:szCs w:val="18"/>
                    </w:rPr>
                  </w:pPr>
                  <w:r>
                    <w:rPr>
                      <w:rFonts w:eastAsiaTheme="majorEastAsia"/>
                      <w:kern w:val="0"/>
                      <w:sz w:val="18"/>
                      <w:szCs w:val="18"/>
                    </w:rPr>
                    <w:t>0.5</w:t>
                  </w:r>
                </w:p>
              </w:tc>
              <w:tc>
                <w:tcPr>
                  <w:tcW w:w="0" w:type="auto"/>
                  <w:vMerge w:val="restart"/>
                  <w:shd w:val="clear" w:color="auto" w:fill="auto"/>
                  <w:noWrap/>
                  <w:vAlign w:val="center"/>
                </w:tcPr>
                <w:p w14:paraId="633601CD">
                  <w:pPr>
                    <w:widowControl/>
                    <w:jc w:val="center"/>
                    <w:rPr>
                      <w:rFonts w:eastAsiaTheme="majorEastAsia"/>
                      <w:kern w:val="0"/>
                      <w:sz w:val="18"/>
                      <w:szCs w:val="18"/>
                    </w:rPr>
                  </w:pPr>
                  <w:r>
                    <w:rPr>
                      <w:rFonts w:eastAsiaTheme="majorEastAsia"/>
                      <w:kern w:val="0"/>
                      <w:sz w:val="18"/>
                      <w:szCs w:val="18"/>
                    </w:rPr>
                    <w:t xml:space="preserve">25 </w:t>
                  </w:r>
                </w:p>
              </w:tc>
              <w:tc>
                <w:tcPr>
                  <w:tcW w:w="0" w:type="auto"/>
                  <w:vMerge w:val="restart"/>
                  <w:shd w:val="clear" w:color="auto" w:fill="auto"/>
                  <w:noWrap/>
                  <w:vAlign w:val="center"/>
                </w:tcPr>
                <w:p w14:paraId="29EFF190">
                  <w:pPr>
                    <w:widowControl/>
                    <w:jc w:val="center"/>
                    <w:rPr>
                      <w:rFonts w:eastAsiaTheme="majorEastAsia"/>
                      <w:kern w:val="0"/>
                      <w:sz w:val="18"/>
                      <w:szCs w:val="18"/>
                    </w:rPr>
                  </w:pPr>
                  <w:r>
                    <w:rPr>
                      <w:rFonts w:eastAsiaTheme="majorEastAsia"/>
                      <w:kern w:val="0"/>
                      <w:sz w:val="18"/>
                      <w:szCs w:val="18"/>
                    </w:rPr>
                    <w:t>连续</w:t>
                  </w:r>
                </w:p>
              </w:tc>
              <w:tc>
                <w:tcPr>
                  <w:tcW w:w="0" w:type="auto"/>
                  <w:vMerge w:val="restart"/>
                  <w:shd w:val="clear" w:color="auto" w:fill="auto"/>
                  <w:noWrap/>
                  <w:vAlign w:val="center"/>
                </w:tcPr>
                <w:p w14:paraId="7512DDDA">
                  <w:pPr>
                    <w:widowControl/>
                    <w:jc w:val="center"/>
                    <w:rPr>
                      <w:rFonts w:eastAsiaTheme="majorEastAsia"/>
                      <w:kern w:val="0"/>
                      <w:sz w:val="18"/>
                      <w:szCs w:val="18"/>
                    </w:rPr>
                  </w:pPr>
                  <w:r>
                    <w:rPr>
                      <w:rFonts w:eastAsiaTheme="majorEastAsia"/>
                      <w:kern w:val="0"/>
                      <w:sz w:val="18"/>
                      <w:szCs w:val="18"/>
                    </w:rPr>
                    <w:t>DA019</w:t>
                  </w:r>
                </w:p>
              </w:tc>
              <w:tc>
                <w:tcPr>
                  <w:tcW w:w="0" w:type="auto"/>
                  <w:vMerge w:val="restart"/>
                  <w:shd w:val="clear" w:color="auto" w:fill="auto"/>
                  <w:noWrap/>
                  <w:vAlign w:val="center"/>
                </w:tcPr>
                <w:p w14:paraId="6FD5EB67">
                  <w:pPr>
                    <w:widowControl/>
                    <w:jc w:val="center"/>
                    <w:rPr>
                      <w:rFonts w:eastAsiaTheme="majorEastAsia"/>
                      <w:kern w:val="0"/>
                      <w:sz w:val="18"/>
                      <w:szCs w:val="18"/>
                    </w:rPr>
                  </w:pPr>
                  <w:r>
                    <w:rPr>
                      <w:rFonts w:eastAsiaTheme="majorEastAsia"/>
                      <w:kern w:val="0"/>
                      <w:sz w:val="18"/>
                      <w:szCs w:val="18"/>
                    </w:rPr>
                    <w:t>1条线</w:t>
                  </w:r>
                </w:p>
              </w:tc>
            </w:tr>
            <w:tr w14:paraId="6283AF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7" w:type="dxa"/>
                  <w:vMerge w:val="continue"/>
                  <w:vAlign w:val="center"/>
                </w:tcPr>
                <w:p w14:paraId="3F5BFC07">
                  <w:pPr>
                    <w:widowControl/>
                    <w:jc w:val="left"/>
                    <w:rPr>
                      <w:rFonts w:eastAsiaTheme="majorEastAsia"/>
                      <w:kern w:val="0"/>
                      <w:sz w:val="18"/>
                      <w:szCs w:val="18"/>
                    </w:rPr>
                  </w:pPr>
                </w:p>
              </w:tc>
              <w:tc>
                <w:tcPr>
                  <w:tcW w:w="723" w:type="dxa"/>
                  <w:vMerge w:val="continue"/>
                  <w:vAlign w:val="center"/>
                </w:tcPr>
                <w:p w14:paraId="46E06319">
                  <w:pPr>
                    <w:widowControl/>
                    <w:jc w:val="left"/>
                    <w:rPr>
                      <w:rFonts w:eastAsiaTheme="majorEastAsia"/>
                      <w:kern w:val="0"/>
                      <w:sz w:val="18"/>
                      <w:szCs w:val="18"/>
                    </w:rPr>
                  </w:pPr>
                </w:p>
              </w:tc>
              <w:tc>
                <w:tcPr>
                  <w:tcW w:w="0" w:type="auto"/>
                  <w:vMerge w:val="continue"/>
                  <w:vAlign w:val="center"/>
                </w:tcPr>
                <w:p w14:paraId="294685A8">
                  <w:pPr>
                    <w:widowControl/>
                    <w:jc w:val="left"/>
                    <w:rPr>
                      <w:rFonts w:eastAsiaTheme="majorEastAsia"/>
                      <w:kern w:val="0"/>
                      <w:sz w:val="18"/>
                      <w:szCs w:val="18"/>
                    </w:rPr>
                  </w:pPr>
                </w:p>
              </w:tc>
              <w:tc>
                <w:tcPr>
                  <w:tcW w:w="0" w:type="auto"/>
                  <w:shd w:val="clear" w:color="auto" w:fill="auto"/>
                  <w:vAlign w:val="center"/>
                </w:tcPr>
                <w:p w14:paraId="11825421">
                  <w:pPr>
                    <w:widowControl/>
                    <w:jc w:val="center"/>
                    <w:rPr>
                      <w:rFonts w:eastAsiaTheme="majorEastAsia"/>
                      <w:kern w:val="0"/>
                      <w:sz w:val="18"/>
                      <w:szCs w:val="18"/>
                    </w:rPr>
                  </w:pPr>
                  <w:r>
                    <w:rPr>
                      <w:sz w:val="18"/>
                      <w:szCs w:val="18"/>
                    </w:rPr>
                    <w:t>颗粒物</w:t>
                  </w:r>
                </w:p>
              </w:tc>
              <w:tc>
                <w:tcPr>
                  <w:tcW w:w="0" w:type="auto"/>
                  <w:shd w:val="clear" w:color="auto" w:fill="auto"/>
                  <w:noWrap/>
                  <w:vAlign w:val="center"/>
                </w:tcPr>
                <w:p w14:paraId="4FE21E26">
                  <w:pPr>
                    <w:widowControl/>
                    <w:jc w:val="center"/>
                    <w:rPr>
                      <w:rFonts w:eastAsiaTheme="majorEastAsia"/>
                      <w:kern w:val="0"/>
                      <w:sz w:val="18"/>
                      <w:szCs w:val="18"/>
                    </w:rPr>
                  </w:pPr>
                  <w:r>
                    <w:rPr>
                      <w:sz w:val="18"/>
                      <w:szCs w:val="18"/>
                    </w:rPr>
                    <w:t xml:space="preserve">5.70 </w:t>
                  </w:r>
                </w:p>
              </w:tc>
              <w:tc>
                <w:tcPr>
                  <w:tcW w:w="0" w:type="auto"/>
                  <w:shd w:val="clear" w:color="auto" w:fill="auto"/>
                  <w:noWrap/>
                  <w:vAlign w:val="center"/>
                </w:tcPr>
                <w:p w14:paraId="30AB7F6F">
                  <w:pPr>
                    <w:widowControl/>
                    <w:jc w:val="center"/>
                    <w:rPr>
                      <w:rFonts w:eastAsiaTheme="majorEastAsia"/>
                      <w:kern w:val="0"/>
                      <w:sz w:val="18"/>
                      <w:szCs w:val="18"/>
                    </w:rPr>
                  </w:pPr>
                  <w:r>
                    <w:rPr>
                      <w:sz w:val="18"/>
                      <w:szCs w:val="18"/>
                    </w:rPr>
                    <w:t xml:space="preserve">0.68 </w:t>
                  </w:r>
                </w:p>
              </w:tc>
              <w:tc>
                <w:tcPr>
                  <w:tcW w:w="0" w:type="auto"/>
                  <w:shd w:val="clear" w:color="auto" w:fill="auto"/>
                  <w:noWrap/>
                  <w:vAlign w:val="center"/>
                </w:tcPr>
                <w:p w14:paraId="3E4480D1">
                  <w:pPr>
                    <w:widowControl/>
                    <w:jc w:val="center"/>
                    <w:rPr>
                      <w:rFonts w:eastAsiaTheme="majorEastAsia"/>
                      <w:kern w:val="0"/>
                      <w:sz w:val="18"/>
                      <w:szCs w:val="18"/>
                    </w:rPr>
                  </w:pPr>
                  <w:r>
                    <w:rPr>
                      <w:sz w:val="18"/>
                      <w:szCs w:val="18"/>
                    </w:rPr>
                    <w:t xml:space="preserve">75.56 </w:t>
                  </w:r>
                </w:p>
              </w:tc>
              <w:tc>
                <w:tcPr>
                  <w:tcW w:w="406" w:type="dxa"/>
                  <w:shd w:val="clear" w:color="auto" w:fill="auto"/>
                  <w:noWrap/>
                  <w:vAlign w:val="center"/>
                </w:tcPr>
                <w:p w14:paraId="650EB44E">
                  <w:pPr>
                    <w:widowControl/>
                    <w:jc w:val="center"/>
                    <w:rPr>
                      <w:rFonts w:eastAsiaTheme="majorEastAsia"/>
                      <w:kern w:val="0"/>
                      <w:sz w:val="18"/>
                      <w:szCs w:val="18"/>
                    </w:rPr>
                  </w:pPr>
                  <w:r>
                    <w:rPr>
                      <w:sz w:val="18"/>
                      <w:szCs w:val="18"/>
                    </w:rPr>
                    <w:t xml:space="preserve">95 </w:t>
                  </w:r>
                </w:p>
              </w:tc>
              <w:tc>
                <w:tcPr>
                  <w:tcW w:w="633" w:type="dxa"/>
                  <w:vMerge w:val="continue"/>
                  <w:vAlign w:val="center"/>
                </w:tcPr>
                <w:p w14:paraId="00280123">
                  <w:pPr>
                    <w:widowControl/>
                    <w:jc w:val="left"/>
                    <w:rPr>
                      <w:rFonts w:eastAsiaTheme="majorEastAsia"/>
                      <w:kern w:val="0"/>
                      <w:sz w:val="18"/>
                      <w:szCs w:val="18"/>
                    </w:rPr>
                  </w:pPr>
                </w:p>
              </w:tc>
              <w:tc>
                <w:tcPr>
                  <w:tcW w:w="427" w:type="dxa"/>
                  <w:shd w:val="clear" w:color="auto" w:fill="auto"/>
                  <w:noWrap/>
                  <w:vAlign w:val="center"/>
                </w:tcPr>
                <w:p w14:paraId="19C0454D">
                  <w:pPr>
                    <w:widowControl/>
                    <w:jc w:val="center"/>
                    <w:rPr>
                      <w:rFonts w:eastAsiaTheme="majorEastAsia"/>
                      <w:kern w:val="0"/>
                      <w:sz w:val="18"/>
                      <w:szCs w:val="18"/>
                    </w:rPr>
                  </w:pPr>
                  <w:r>
                    <w:rPr>
                      <w:sz w:val="18"/>
                      <w:szCs w:val="18"/>
                    </w:rPr>
                    <w:t xml:space="preserve">90 </w:t>
                  </w:r>
                </w:p>
              </w:tc>
              <w:tc>
                <w:tcPr>
                  <w:tcW w:w="498" w:type="dxa"/>
                  <w:shd w:val="clear" w:color="auto" w:fill="auto"/>
                  <w:noWrap/>
                  <w:vAlign w:val="center"/>
                </w:tcPr>
                <w:p w14:paraId="002F6D8D">
                  <w:pPr>
                    <w:widowControl/>
                    <w:jc w:val="center"/>
                    <w:rPr>
                      <w:rFonts w:eastAsiaTheme="majorEastAsia"/>
                      <w:kern w:val="0"/>
                      <w:sz w:val="18"/>
                      <w:szCs w:val="18"/>
                    </w:rPr>
                  </w:pPr>
                  <w:r>
                    <w:rPr>
                      <w:sz w:val="18"/>
                      <w:szCs w:val="18"/>
                    </w:rPr>
                    <w:t>是</w:t>
                  </w:r>
                </w:p>
              </w:tc>
              <w:tc>
                <w:tcPr>
                  <w:tcW w:w="0" w:type="auto"/>
                  <w:shd w:val="clear" w:color="auto" w:fill="auto"/>
                  <w:noWrap/>
                  <w:vAlign w:val="center"/>
                </w:tcPr>
                <w:p w14:paraId="368A5C26">
                  <w:pPr>
                    <w:widowControl/>
                    <w:jc w:val="center"/>
                    <w:rPr>
                      <w:rFonts w:eastAsiaTheme="majorEastAsia"/>
                      <w:kern w:val="0"/>
                      <w:sz w:val="18"/>
                      <w:szCs w:val="18"/>
                    </w:rPr>
                  </w:pPr>
                  <w:r>
                    <w:rPr>
                      <w:sz w:val="18"/>
                      <w:szCs w:val="18"/>
                    </w:rPr>
                    <w:t xml:space="preserve">0.57 </w:t>
                  </w:r>
                </w:p>
              </w:tc>
              <w:tc>
                <w:tcPr>
                  <w:tcW w:w="557" w:type="dxa"/>
                  <w:shd w:val="clear" w:color="auto" w:fill="auto"/>
                  <w:noWrap/>
                  <w:vAlign w:val="center"/>
                </w:tcPr>
                <w:p w14:paraId="74FDE3FE">
                  <w:pPr>
                    <w:widowControl/>
                    <w:jc w:val="center"/>
                    <w:rPr>
                      <w:rFonts w:eastAsiaTheme="majorEastAsia"/>
                      <w:kern w:val="0"/>
                      <w:sz w:val="18"/>
                      <w:szCs w:val="18"/>
                    </w:rPr>
                  </w:pPr>
                  <w:r>
                    <w:rPr>
                      <w:sz w:val="18"/>
                      <w:szCs w:val="18"/>
                    </w:rPr>
                    <w:t xml:space="preserve">0.07 </w:t>
                  </w:r>
                </w:p>
              </w:tc>
              <w:tc>
                <w:tcPr>
                  <w:tcW w:w="716" w:type="dxa"/>
                  <w:shd w:val="clear" w:color="auto" w:fill="auto"/>
                  <w:noWrap/>
                  <w:vAlign w:val="center"/>
                </w:tcPr>
                <w:p w14:paraId="4B207EEF">
                  <w:pPr>
                    <w:widowControl/>
                    <w:jc w:val="center"/>
                    <w:rPr>
                      <w:rFonts w:eastAsiaTheme="majorEastAsia"/>
                      <w:kern w:val="0"/>
                      <w:sz w:val="18"/>
                      <w:szCs w:val="18"/>
                    </w:rPr>
                  </w:pPr>
                  <w:r>
                    <w:rPr>
                      <w:sz w:val="18"/>
                      <w:szCs w:val="18"/>
                    </w:rPr>
                    <w:t xml:space="preserve">7.56 </w:t>
                  </w:r>
                </w:p>
              </w:tc>
              <w:tc>
                <w:tcPr>
                  <w:tcW w:w="567" w:type="dxa"/>
                  <w:vMerge w:val="continue"/>
                  <w:vAlign w:val="center"/>
                </w:tcPr>
                <w:p w14:paraId="38B273D0">
                  <w:pPr>
                    <w:widowControl/>
                    <w:jc w:val="left"/>
                    <w:rPr>
                      <w:rFonts w:eastAsiaTheme="majorEastAsia"/>
                      <w:kern w:val="0"/>
                      <w:sz w:val="18"/>
                      <w:szCs w:val="18"/>
                    </w:rPr>
                  </w:pPr>
                </w:p>
              </w:tc>
              <w:tc>
                <w:tcPr>
                  <w:tcW w:w="0" w:type="auto"/>
                  <w:vMerge w:val="continue"/>
                  <w:vAlign w:val="center"/>
                </w:tcPr>
                <w:p w14:paraId="3111B600">
                  <w:pPr>
                    <w:widowControl/>
                    <w:jc w:val="left"/>
                    <w:rPr>
                      <w:rFonts w:eastAsiaTheme="majorEastAsia"/>
                      <w:kern w:val="0"/>
                      <w:sz w:val="18"/>
                      <w:szCs w:val="18"/>
                    </w:rPr>
                  </w:pPr>
                </w:p>
              </w:tc>
              <w:tc>
                <w:tcPr>
                  <w:tcW w:w="0" w:type="auto"/>
                  <w:vMerge w:val="continue"/>
                  <w:vAlign w:val="center"/>
                </w:tcPr>
                <w:p w14:paraId="0F7FE3C3">
                  <w:pPr>
                    <w:widowControl/>
                    <w:jc w:val="left"/>
                    <w:rPr>
                      <w:rFonts w:eastAsiaTheme="majorEastAsia"/>
                      <w:kern w:val="0"/>
                      <w:sz w:val="18"/>
                      <w:szCs w:val="18"/>
                    </w:rPr>
                  </w:pPr>
                </w:p>
              </w:tc>
              <w:tc>
                <w:tcPr>
                  <w:tcW w:w="0" w:type="auto"/>
                  <w:vMerge w:val="continue"/>
                  <w:vAlign w:val="center"/>
                </w:tcPr>
                <w:p w14:paraId="38516770">
                  <w:pPr>
                    <w:widowControl/>
                    <w:jc w:val="left"/>
                    <w:rPr>
                      <w:rFonts w:eastAsiaTheme="majorEastAsia"/>
                      <w:kern w:val="0"/>
                      <w:sz w:val="18"/>
                      <w:szCs w:val="18"/>
                    </w:rPr>
                  </w:pPr>
                </w:p>
              </w:tc>
              <w:tc>
                <w:tcPr>
                  <w:tcW w:w="0" w:type="auto"/>
                  <w:vMerge w:val="continue"/>
                  <w:vAlign w:val="center"/>
                </w:tcPr>
                <w:p w14:paraId="25FA04FD">
                  <w:pPr>
                    <w:widowControl/>
                    <w:jc w:val="left"/>
                    <w:rPr>
                      <w:rFonts w:eastAsiaTheme="majorEastAsia"/>
                      <w:kern w:val="0"/>
                      <w:sz w:val="18"/>
                      <w:szCs w:val="18"/>
                    </w:rPr>
                  </w:pPr>
                </w:p>
              </w:tc>
              <w:tc>
                <w:tcPr>
                  <w:tcW w:w="0" w:type="auto"/>
                  <w:vMerge w:val="continue"/>
                  <w:vAlign w:val="center"/>
                </w:tcPr>
                <w:p w14:paraId="039E1476">
                  <w:pPr>
                    <w:widowControl/>
                    <w:jc w:val="left"/>
                    <w:rPr>
                      <w:rFonts w:eastAsiaTheme="majorEastAsia"/>
                      <w:kern w:val="0"/>
                      <w:sz w:val="18"/>
                      <w:szCs w:val="18"/>
                    </w:rPr>
                  </w:pPr>
                </w:p>
              </w:tc>
            </w:tr>
          </w:tbl>
          <w:p w14:paraId="70EA401E">
            <w:pPr>
              <w:pStyle w:val="56"/>
              <w:spacing w:line="360" w:lineRule="auto"/>
              <w:ind w:firstLine="480" w:firstLineChars="200"/>
              <w:jc w:val="both"/>
              <w:rPr>
                <w:rFonts w:ascii="Times New Roman" w:cs="Times New Roman"/>
                <w:color w:val="auto"/>
                <w:kern w:val="2"/>
              </w:rPr>
            </w:pPr>
          </w:p>
          <w:p w14:paraId="65AAC2D8">
            <w:pPr>
              <w:pStyle w:val="56"/>
              <w:spacing w:line="360" w:lineRule="auto"/>
              <w:ind w:firstLine="480" w:firstLineChars="200"/>
              <w:jc w:val="both"/>
              <w:rPr>
                <w:rFonts w:ascii="Times New Roman" w:cs="Times New Roman"/>
                <w:bCs/>
                <w:color w:val="auto"/>
                <w:szCs w:val="21"/>
              </w:rPr>
            </w:pPr>
          </w:p>
        </w:tc>
      </w:tr>
    </w:tbl>
    <w:p w14:paraId="582458B1">
      <w:pPr>
        <w:rPr>
          <w:bCs/>
          <w:szCs w:val="21"/>
        </w:rPr>
      </w:pPr>
    </w:p>
    <w:p w14:paraId="056B5B24">
      <w:pPr>
        <w:rPr>
          <w:bCs/>
          <w:szCs w:val="21"/>
        </w:rPr>
        <w:sectPr>
          <w:pgSz w:w="16840" w:h="11907" w:orient="landscape"/>
          <w:pgMar w:top="1531" w:right="1701" w:bottom="1531" w:left="2269" w:header="851" w:footer="851" w:gutter="0"/>
          <w:cols w:space="720" w:num="1"/>
          <w:docGrid w:linePitch="312" w:charSpace="0"/>
        </w:sect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5"/>
      </w:tblGrid>
      <w:tr w14:paraId="62087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6" w:hRule="atLeast"/>
        </w:trPr>
        <w:tc>
          <w:tcPr>
            <w:tcW w:w="8835" w:type="dxa"/>
          </w:tcPr>
          <w:p w14:paraId="02942995">
            <w:pPr>
              <w:spacing w:line="500" w:lineRule="exact"/>
              <w:ind w:firstLine="480" w:firstLineChars="200"/>
              <w:rPr>
                <w:sz w:val="24"/>
              </w:rPr>
            </w:pPr>
            <w:bookmarkStart w:id="44" w:name="OLE_LINK22"/>
            <w:r>
              <w:rPr>
                <w:sz w:val="24"/>
              </w:rPr>
              <w:t>本项目撬装加油装置卸油、储存油品过程中会产生挥发性有机物。本项目采用卧式双层钢制储罐密封储存，根据《散装液态石油产品损耗》（GB11085-1989），卧式罐的贮存损耗率可以忽略不计。根据《挥发性有机物无组织排放控制标准》（GB37822-2019）液态 VOCs 物料应采用密闭管道输送，本项目撬装式加油装置采用自吸式卸油工艺将柴油从专用车辆通过柴油罐配套软管和导管卸入 35m</w:t>
            </w:r>
            <w:r>
              <w:rPr>
                <w:sz w:val="24"/>
                <w:vertAlign w:val="superscript"/>
              </w:rPr>
              <w:t>3</w:t>
            </w:r>
            <w:r>
              <w:rPr>
                <w:sz w:val="24"/>
              </w:rPr>
              <w:t>阻隔防爆油罐内，符合要求。</w:t>
            </w:r>
          </w:p>
          <w:p w14:paraId="090BE0C5">
            <w:pPr>
              <w:spacing w:line="500" w:lineRule="exact"/>
              <w:ind w:firstLine="480" w:firstLineChars="200"/>
              <w:rPr>
                <w:sz w:val="24"/>
              </w:rPr>
            </w:pPr>
            <w:r>
              <w:rPr>
                <w:sz w:val="24"/>
              </w:rPr>
              <w:t>根据《加油站大气污染物排放标准》（GB20952-2020）加油站卸油、储油和加油时排放的油气，应采用以密闭收集为基础的油气回收方法进行控制。本项目安装油气回收装置对卸油过程排出的油气进行回收，减少油气向外界逸散。其基本原理是采用自流密闭式卸油方式卸油，通过卸油管、回气管、快速接头等将油罐车和储油罐组成密闭系统，用导管将逸散的油气重新输回油罐车里，完成油气循环的卸油过程。</w:t>
            </w:r>
          </w:p>
          <w:p w14:paraId="27BA9C6B">
            <w:pPr>
              <w:spacing w:line="500" w:lineRule="exact"/>
              <w:ind w:firstLine="480" w:firstLineChars="200"/>
              <w:rPr>
                <w:sz w:val="24"/>
              </w:rPr>
            </w:pPr>
            <w:r>
              <w:rPr>
                <w:sz w:val="24"/>
              </w:rPr>
              <w:t>根据《散装液态石油产品损耗标准》（GB11085-1989），本项目所在区域属于 B 类地区，煤、柴油卸油过程中油气损耗率为 0.05%，本项目年消耗柴油量为500t/a，则卸油过程中油气挥发量为 0.25t/a。卸油过程中卧式油罐挥发的油气约95%可被卸油油气回收系统回收至油罐车内，则油气排放量为 0.013t/a。</w:t>
            </w:r>
          </w:p>
          <w:p w14:paraId="3D0F7DD8">
            <w:pPr>
              <w:spacing w:line="500" w:lineRule="exact"/>
              <w:ind w:firstLine="480" w:firstLineChars="200"/>
              <w:rPr>
                <w:sz w:val="24"/>
              </w:rPr>
            </w:pPr>
            <w:r>
              <w:rPr>
                <w:sz w:val="24"/>
              </w:rPr>
              <w:t>汽车加油过程中油品流速较快，油气排放量较大。另外成品油的跑、冒、滴、漏与加油站的管理、加油工人的操作水平等诸多因素有关，根据《散装液态石油产品损耗标准》（GB11085-1989），加油过程中油气损耗率为 0.08%，本项目年消耗柴油量为 500t/a，则加油过程中油气挥发量为 0.4t/a。本项目设置油气回收系统进行油气回收，其工作原理是利用真空泵，在加油运转时产生真空，经过回收管、回收油枪将油箱内逸散的油气回收到卧式油罐内，油气回收效率可达到 95%以上，则油气排放量为 0.02t/a。</w:t>
            </w:r>
          </w:p>
          <w:bookmarkEnd w:id="44"/>
          <w:p w14:paraId="165B8EEA">
            <w:pPr>
              <w:spacing w:line="500" w:lineRule="exact"/>
              <w:ind w:firstLine="480" w:firstLineChars="200"/>
              <w:jc w:val="left"/>
            </w:pPr>
            <w:r>
              <w:rPr>
                <w:sz w:val="24"/>
              </w:rPr>
              <w:t>结合纺丝和废丝部分无组织废气，本项目无组织废气排放汇总情况见下表。</w:t>
            </w:r>
          </w:p>
          <w:p w14:paraId="51867515">
            <w:pPr>
              <w:adjustRightInd w:val="0"/>
              <w:snapToGrid w:val="0"/>
              <w:jc w:val="center"/>
              <w:outlineLvl w:val="0"/>
              <w:rPr>
                <w:b/>
                <w:bCs/>
                <w:sz w:val="24"/>
              </w:rPr>
            </w:pPr>
            <w:r>
              <w:rPr>
                <w:b/>
                <w:bCs/>
                <w:sz w:val="24"/>
              </w:rPr>
              <w:t>表4-3 无组织废气源强核算汇总表</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77"/>
              <w:gridCol w:w="1577"/>
              <w:gridCol w:w="1841"/>
              <w:gridCol w:w="1724"/>
              <w:gridCol w:w="1900"/>
            </w:tblGrid>
            <w:tr w14:paraId="4BA915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915" w:type="pct"/>
                  <w:shd w:val="clear" w:color="auto" w:fill="auto"/>
                  <w:vAlign w:val="center"/>
                </w:tcPr>
                <w:p w14:paraId="2E468ACF">
                  <w:pPr>
                    <w:widowControl/>
                    <w:jc w:val="center"/>
                    <w:rPr>
                      <w:rFonts w:eastAsiaTheme="majorEastAsia"/>
                      <w:b/>
                      <w:bCs/>
                      <w:kern w:val="0"/>
                      <w:szCs w:val="21"/>
                    </w:rPr>
                  </w:pPr>
                  <w:r>
                    <w:rPr>
                      <w:rFonts w:eastAsiaTheme="majorEastAsia"/>
                      <w:b/>
                      <w:bCs/>
                      <w:kern w:val="0"/>
                      <w:szCs w:val="21"/>
                    </w:rPr>
                    <w:t>污染源</w:t>
                  </w:r>
                </w:p>
              </w:tc>
              <w:tc>
                <w:tcPr>
                  <w:tcW w:w="915" w:type="pct"/>
                  <w:shd w:val="clear" w:color="auto" w:fill="auto"/>
                  <w:vAlign w:val="center"/>
                </w:tcPr>
                <w:p w14:paraId="6347FB6B">
                  <w:pPr>
                    <w:widowControl/>
                    <w:jc w:val="center"/>
                    <w:rPr>
                      <w:rFonts w:eastAsiaTheme="majorEastAsia"/>
                      <w:b/>
                      <w:bCs/>
                      <w:kern w:val="0"/>
                      <w:szCs w:val="21"/>
                    </w:rPr>
                  </w:pPr>
                  <w:r>
                    <w:rPr>
                      <w:rFonts w:eastAsiaTheme="majorEastAsia"/>
                      <w:b/>
                      <w:bCs/>
                      <w:kern w:val="0"/>
                      <w:szCs w:val="21"/>
                    </w:rPr>
                    <w:t>污染物</w:t>
                  </w:r>
                </w:p>
              </w:tc>
              <w:tc>
                <w:tcPr>
                  <w:tcW w:w="1068" w:type="pct"/>
                  <w:shd w:val="clear" w:color="auto" w:fill="auto"/>
                  <w:vAlign w:val="center"/>
                </w:tcPr>
                <w:p w14:paraId="5B851801">
                  <w:pPr>
                    <w:widowControl/>
                    <w:jc w:val="center"/>
                    <w:rPr>
                      <w:rFonts w:eastAsiaTheme="majorEastAsia"/>
                      <w:b/>
                      <w:bCs/>
                      <w:kern w:val="0"/>
                      <w:szCs w:val="21"/>
                    </w:rPr>
                  </w:pPr>
                  <w:r>
                    <w:rPr>
                      <w:rFonts w:eastAsiaTheme="majorEastAsia"/>
                      <w:b/>
                      <w:bCs/>
                      <w:kern w:val="0"/>
                      <w:szCs w:val="21"/>
                    </w:rPr>
                    <w:t>排放量(t/a)</w:t>
                  </w:r>
                </w:p>
              </w:tc>
              <w:tc>
                <w:tcPr>
                  <w:tcW w:w="1000" w:type="pct"/>
                  <w:shd w:val="clear" w:color="auto" w:fill="auto"/>
                  <w:vAlign w:val="center"/>
                </w:tcPr>
                <w:p w14:paraId="1BF6B9EE">
                  <w:pPr>
                    <w:widowControl/>
                    <w:jc w:val="center"/>
                    <w:rPr>
                      <w:rFonts w:eastAsiaTheme="majorEastAsia"/>
                      <w:b/>
                      <w:bCs/>
                      <w:kern w:val="0"/>
                      <w:szCs w:val="21"/>
                    </w:rPr>
                  </w:pPr>
                  <w:r>
                    <w:rPr>
                      <w:rFonts w:eastAsiaTheme="majorEastAsia"/>
                      <w:b/>
                      <w:bCs/>
                      <w:kern w:val="0"/>
                      <w:szCs w:val="21"/>
                    </w:rPr>
                    <w:t>排放时间(h)</w:t>
                  </w:r>
                </w:p>
              </w:tc>
              <w:tc>
                <w:tcPr>
                  <w:tcW w:w="1102" w:type="pct"/>
                  <w:shd w:val="clear" w:color="auto" w:fill="auto"/>
                  <w:vAlign w:val="center"/>
                </w:tcPr>
                <w:p w14:paraId="63479196">
                  <w:pPr>
                    <w:widowControl/>
                    <w:jc w:val="center"/>
                    <w:rPr>
                      <w:rFonts w:eastAsiaTheme="majorEastAsia"/>
                      <w:b/>
                      <w:bCs/>
                      <w:kern w:val="0"/>
                      <w:szCs w:val="21"/>
                    </w:rPr>
                  </w:pPr>
                  <w:r>
                    <w:rPr>
                      <w:rFonts w:eastAsiaTheme="majorEastAsia"/>
                      <w:b/>
                      <w:bCs/>
                      <w:kern w:val="0"/>
                      <w:szCs w:val="21"/>
                    </w:rPr>
                    <w:t>排放速率(kg/h)</w:t>
                  </w:r>
                </w:p>
              </w:tc>
            </w:tr>
            <w:tr w14:paraId="360D22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15" w:type="pct"/>
                  <w:vMerge w:val="restart"/>
                  <w:shd w:val="clear" w:color="auto" w:fill="auto"/>
                  <w:vAlign w:val="center"/>
                </w:tcPr>
                <w:p w14:paraId="309EA948">
                  <w:pPr>
                    <w:widowControl/>
                    <w:jc w:val="center"/>
                    <w:rPr>
                      <w:rFonts w:eastAsiaTheme="majorEastAsia"/>
                      <w:kern w:val="0"/>
                      <w:szCs w:val="21"/>
                    </w:rPr>
                  </w:pPr>
                  <w:r>
                    <w:rPr>
                      <w:rFonts w:eastAsiaTheme="majorEastAsia"/>
                      <w:kern w:val="0"/>
                      <w:szCs w:val="21"/>
                    </w:rPr>
                    <w:t>纺丝车间2</w:t>
                  </w:r>
                </w:p>
              </w:tc>
              <w:tc>
                <w:tcPr>
                  <w:tcW w:w="915" w:type="pct"/>
                  <w:shd w:val="clear" w:color="auto" w:fill="auto"/>
                  <w:vAlign w:val="center"/>
                </w:tcPr>
                <w:p w14:paraId="51D0F6A3">
                  <w:pPr>
                    <w:widowControl/>
                    <w:jc w:val="center"/>
                    <w:rPr>
                      <w:rFonts w:eastAsiaTheme="majorEastAsia"/>
                      <w:kern w:val="0"/>
                      <w:szCs w:val="21"/>
                    </w:rPr>
                  </w:pPr>
                  <w:r>
                    <w:rPr>
                      <w:rFonts w:eastAsiaTheme="majorEastAsia"/>
                      <w:kern w:val="0"/>
                      <w:szCs w:val="21"/>
                    </w:rPr>
                    <w:t>颗粒物</w:t>
                  </w:r>
                </w:p>
              </w:tc>
              <w:tc>
                <w:tcPr>
                  <w:tcW w:w="1068" w:type="pct"/>
                  <w:shd w:val="clear" w:color="auto" w:fill="auto"/>
                  <w:vAlign w:val="center"/>
                </w:tcPr>
                <w:p w14:paraId="5892AFFE">
                  <w:pPr>
                    <w:widowControl/>
                    <w:jc w:val="center"/>
                    <w:rPr>
                      <w:rFonts w:eastAsiaTheme="majorEastAsia"/>
                      <w:kern w:val="0"/>
                      <w:szCs w:val="21"/>
                    </w:rPr>
                  </w:pPr>
                  <w:r>
                    <w:rPr>
                      <w:rFonts w:eastAsiaTheme="majorEastAsia"/>
                      <w:kern w:val="0"/>
                      <w:szCs w:val="21"/>
                    </w:rPr>
                    <w:t>0.05</w:t>
                  </w:r>
                </w:p>
              </w:tc>
              <w:tc>
                <w:tcPr>
                  <w:tcW w:w="1000" w:type="pct"/>
                  <w:shd w:val="clear" w:color="auto" w:fill="auto"/>
                  <w:vAlign w:val="center"/>
                </w:tcPr>
                <w:p w14:paraId="0E7688E1">
                  <w:pPr>
                    <w:widowControl/>
                    <w:jc w:val="center"/>
                    <w:rPr>
                      <w:rFonts w:eastAsiaTheme="majorEastAsia"/>
                      <w:kern w:val="0"/>
                      <w:szCs w:val="21"/>
                    </w:rPr>
                  </w:pPr>
                  <w:r>
                    <w:rPr>
                      <w:rFonts w:eastAsiaTheme="majorEastAsia"/>
                      <w:kern w:val="0"/>
                      <w:szCs w:val="21"/>
                    </w:rPr>
                    <w:t>8400</w:t>
                  </w:r>
                </w:p>
              </w:tc>
              <w:tc>
                <w:tcPr>
                  <w:tcW w:w="1102" w:type="pct"/>
                  <w:shd w:val="clear" w:color="auto" w:fill="auto"/>
                  <w:vAlign w:val="center"/>
                </w:tcPr>
                <w:p w14:paraId="746DDEE6">
                  <w:pPr>
                    <w:widowControl/>
                    <w:jc w:val="center"/>
                    <w:rPr>
                      <w:rFonts w:eastAsiaTheme="majorEastAsia"/>
                      <w:kern w:val="0"/>
                      <w:szCs w:val="21"/>
                    </w:rPr>
                  </w:pPr>
                  <w:r>
                    <w:rPr>
                      <w:rFonts w:eastAsiaTheme="majorEastAsia"/>
                      <w:kern w:val="0"/>
                      <w:szCs w:val="21"/>
                    </w:rPr>
                    <w:t>0.006</w:t>
                  </w:r>
                </w:p>
              </w:tc>
            </w:tr>
            <w:tr w14:paraId="03FA5F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915" w:type="pct"/>
                  <w:vMerge w:val="continue"/>
                  <w:vAlign w:val="center"/>
                </w:tcPr>
                <w:p w14:paraId="30F08527">
                  <w:pPr>
                    <w:widowControl/>
                    <w:jc w:val="left"/>
                    <w:rPr>
                      <w:rFonts w:eastAsiaTheme="majorEastAsia"/>
                      <w:kern w:val="0"/>
                      <w:szCs w:val="21"/>
                    </w:rPr>
                  </w:pPr>
                </w:p>
              </w:tc>
              <w:tc>
                <w:tcPr>
                  <w:tcW w:w="915" w:type="pct"/>
                  <w:shd w:val="clear" w:color="auto" w:fill="auto"/>
                  <w:vAlign w:val="center"/>
                </w:tcPr>
                <w:p w14:paraId="1630F30D">
                  <w:pPr>
                    <w:widowControl/>
                    <w:jc w:val="center"/>
                    <w:rPr>
                      <w:rFonts w:eastAsiaTheme="majorEastAsia"/>
                      <w:kern w:val="0"/>
                      <w:szCs w:val="21"/>
                    </w:rPr>
                  </w:pPr>
                  <w:r>
                    <w:rPr>
                      <w:rFonts w:eastAsiaTheme="majorEastAsia"/>
                      <w:kern w:val="0"/>
                      <w:szCs w:val="21"/>
                    </w:rPr>
                    <w:t>非甲烷总烃</w:t>
                  </w:r>
                </w:p>
              </w:tc>
              <w:tc>
                <w:tcPr>
                  <w:tcW w:w="1068" w:type="pct"/>
                  <w:shd w:val="clear" w:color="auto" w:fill="auto"/>
                  <w:vAlign w:val="center"/>
                </w:tcPr>
                <w:p w14:paraId="6EE8F0F1">
                  <w:pPr>
                    <w:widowControl/>
                    <w:jc w:val="center"/>
                    <w:rPr>
                      <w:rFonts w:eastAsiaTheme="majorEastAsia"/>
                      <w:kern w:val="0"/>
                      <w:szCs w:val="21"/>
                    </w:rPr>
                  </w:pPr>
                  <w:r>
                    <w:rPr>
                      <w:rFonts w:eastAsiaTheme="majorEastAsia"/>
                      <w:kern w:val="0"/>
                      <w:szCs w:val="21"/>
                    </w:rPr>
                    <w:t>2.64</w:t>
                  </w:r>
                </w:p>
              </w:tc>
              <w:tc>
                <w:tcPr>
                  <w:tcW w:w="1000" w:type="pct"/>
                  <w:shd w:val="clear" w:color="auto" w:fill="auto"/>
                  <w:vAlign w:val="center"/>
                </w:tcPr>
                <w:p w14:paraId="797048BB">
                  <w:pPr>
                    <w:widowControl/>
                    <w:jc w:val="center"/>
                    <w:rPr>
                      <w:rFonts w:eastAsiaTheme="majorEastAsia"/>
                      <w:kern w:val="0"/>
                      <w:szCs w:val="21"/>
                    </w:rPr>
                  </w:pPr>
                  <w:r>
                    <w:rPr>
                      <w:rFonts w:eastAsiaTheme="majorEastAsia"/>
                      <w:kern w:val="0"/>
                      <w:szCs w:val="21"/>
                    </w:rPr>
                    <w:t>8400</w:t>
                  </w:r>
                </w:p>
              </w:tc>
              <w:tc>
                <w:tcPr>
                  <w:tcW w:w="1102" w:type="pct"/>
                  <w:shd w:val="clear" w:color="auto" w:fill="auto"/>
                  <w:vAlign w:val="center"/>
                </w:tcPr>
                <w:p w14:paraId="63A31F73">
                  <w:pPr>
                    <w:widowControl/>
                    <w:jc w:val="center"/>
                    <w:rPr>
                      <w:rFonts w:eastAsiaTheme="majorEastAsia"/>
                      <w:kern w:val="0"/>
                      <w:szCs w:val="21"/>
                    </w:rPr>
                  </w:pPr>
                  <w:r>
                    <w:rPr>
                      <w:rFonts w:eastAsiaTheme="majorEastAsia"/>
                      <w:kern w:val="0"/>
                      <w:szCs w:val="21"/>
                    </w:rPr>
                    <w:t>0.314</w:t>
                  </w:r>
                </w:p>
              </w:tc>
            </w:tr>
            <w:tr w14:paraId="11241E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915" w:type="pct"/>
                  <w:vMerge w:val="restart"/>
                  <w:shd w:val="clear" w:color="auto" w:fill="auto"/>
                  <w:vAlign w:val="center"/>
                </w:tcPr>
                <w:p w14:paraId="373A6AA8">
                  <w:pPr>
                    <w:widowControl/>
                    <w:jc w:val="center"/>
                    <w:rPr>
                      <w:rFonts w:eastAsiaTheme="majorEastAsia"/>
                      <w:kern w:val="0"/>
                      <w:szCs w:val="21"/>
                    </w:rPr>
                  </w:pPr>
                  <w:r>
                    <w:rPr>
                      <w:rFonts w:eastAsiaTheme="majorEastAsia"/>
                      <w:kern w:val="0"/>
                      <w:szCs w:val="21"/>
                    </w:rPr>
                    <w:t>纺丝车间1</w:t>
                  </w:r>
                </w:p>
              </w:tc>
              <w:tc>
                <w:tcPr>
                  <w:tcW w:w="915" w:type="pct"/>
                  <w:shd w:val="clear" w:color="auto" w:fill="auto"/>
                  <w:vAlign w:val="center"/>
                </w:tcPr>
                <w:p w14:paraId="571A7C6E">
                  <w:pPr>
                    <w:widowControl/>
                    <w:jc w:val="center"/>
                    <w:rPr>
                      <w:rFonts w:eastAsiaTheme="majorEastAsia"/>
                      <w:kern w:val="0"/>
                      <w:szCs w:val="21"/>
                    </w:rPr>
                  </w:pPr>
                  <w:r>
                    <w:rPr>
                      <w:rFonts w:eastAsiaTheme="majorEastAsia"/>
                      <w:kern w:val="0"/>
                      <w:szCs w:val="21"/>
                    </w:rPr>
                    <w:t>颗粒物</w:t>
                  </w:r>
                </w:p>
              </w:tc>
              <w:tc>
                <w:tcPr>
                  <w:tcW w:w="1068" w:type="pct"/>
                  <w:shd w:val="clear" w:color="auto" w:fill="auto"/>
                  <w:noWrap/>
                  <w:vAlign w:val="center"/>
                </w:tcPr>
                <w:p w14:paraId="2E247A27">
                  <w:pPr>
                    <w:widowControl/>
                    <w:jc w:val="center"/>
                    <w:rPr>
                      <w:rFonts w:eastAsiaTheme="majorEastAsia"/>
                      <w:kern w:val="0"/>
                      <w:szCs w:val="21"/>
                    </w:rPr>
                  </w:pPr>
                  <w:r>
                    <w:rPr>
                      <w:rFonts w:eastAsiaTheme="majorEastAsia"/>
                      <w:kern w:val="0"/>
                      <w:szCs w:val="21"/>
                    </w:rPr>
                    <w:t>0.6</w:t>
                  </w:r>
                </w:p>
              </w:tc>
              <w:tc>
                <w:tcPr>
                  <w:tcW w:w="1000" w:type="pct"/>
                  <w:shd w:val="clear" w:color="auto" w:fill="auto"/>
                  <w:vAlign w:val="center"/>
                </w:tcPr>
                <w:p w14:paraId="486EFD1D">
                  <w:pPr>
                    <w:widowControl/>
                    <w:jc w:val="center"/>
                    <w:rPr>
                      <w:rFonts w:eastAsiaTheme="majorEastAsia"/>
                      <w:kern w:val="0"/>
                      <w:szCs w:val="21"/>
                    </w:rPr>
                  </w:pPr>
                  <w:r>
                    <w:rPr>
                      <w:rFonts w:eastAsiaTheme="majorEastAsia"/>
                      <w:kern w:val="0"/>
                      <w:szCs w:val="21"/>
                    </w:rPr>
                    <w:t>8400</w:t>
                  </w:r>
                </w:p>
              </w:tc>
              <w:tc>
                <w:tcPr>
                  <w:tcW w:w="1102" w:type="pct"/>
                  <w:shd w:val="clear" w:color="auto" w:fill="auto"/>
                  <w:vAlign w:val="center"/>
                </w:tcPr>
                <w:p w14:paraId="64F11E4B">
                  <w:pPr>
                    <w:widowControl/>
                    <w:jc w:val="center"/>
                    <w:rPr>
                      <w:rFonts w:eastAsiaTheme="majorEastAsia"/>
                      <w:kern w:val="0"/>
                      <w:szCs w:val="21"/>
                    </w:rPr>
                  </w:pPr>
                  <w:r>
                    <w:rPr>
                      <w:rFonts w:eastAsiaTheme="majorEastAsia"/>
                      <w:szCs w:val="21"/>
                    </w:rPr>
                    <w:t>0.071</w:t>
                  </w:r>
                </w:p>
              </w:tc>
            </w:tr>
            <w:tr w14:paraId="088D64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915" w:type="pct"/>
                  <w:vMerge w:val="continue"/>
                  <w:vAlign w:val="center"/>
                </w:tcPr>
                <w:p w14:paraId="31B30CFC">
                  <w:pPr>
                    <w:widowControl/>
                    <w:jc w:val="left"/>
                    <w:rPr>
                      <w:rFonts w:eastAsiaTheme="majorEastAsia"/>
                      <w:kern w:val="0"/>
                      <w:szCs w:val="21"/>
                    </w:rPr>
                  </w:pPr>
                </w:p>
              </w:tc>
              <w:tc>
                <w:tcPr>
                  <w:tcW w:w="915" w:type="pct"/>
                  <w:shd w:val="clear" w:color="auto" w:fill="auto"/>
                  <w:vAlign w:val="center"/>
                </w:tcPr>
                <w:p w14:paraId="3D05FC62">
                  <w:pPr>
                    <w:widowControl/>
                    <w:jc w:val="center"/>
                    <w:rPr>
                      <w:rFonts w:eastAsiaTheme="majorEastAsia"/>
                      <w:kern w:val="0"/>
                      <w:szCs w:val="21"/>
                    </w:rPr>
                  </w:pPr>
                  <w:r>
                    <w:rPr>
                      <w:rFonts w:eastAsiaTheme="majorEastAsia"/>
                      <w:kern w:val="0"/>
                      <w:szCs w:val="21"/>
                    </w:rPr>
                    <w:t>非甲烷总烃</w:t>
                  </w:r>
                </w:p>
              </w:tc>
              <w:tc>
                <w:tcPr>
                  <w:tcW w:w="1068" w:type="pct"/>
                  <w:shd w:val="clear" w:color="auto" w:fill="auto"/>
                  <w:noWrap/>
                  <w:vAlign w:val="center"/>
                </w:tcPr>
                <w:p w14:paraId="29B01777">
                  <w:pPr>
                    <w:widowControl/>
                    <w:jc w:val="center"/>
                    <w:rPr>
                      <w:rFonts w:eastAsiaTheme="majorEastAsia"/>
                      <w:kern w:val="0"/>
                      <w:szCs w:val="21"/>
                    </w:rPr>
                  </w:pPr>
                  <w:r>
                    <w:rPr>
                      <w:rFonts w:eastAsiaTheme="majorEastAsia"/>
                      <w:kern w:val="0"/>
                      <w:szCs w:val="21"/>
                    </w:rPr>
                    <w:t>3.0</w:t>
                  </w:r>
                </w:p>
              </w:tc>
              <w:tc>
                <w:tcPr>
                  <w:tcW w:w="1000" w:type="pct"/>
                  <w:shd w:val="clear" w:color="auto" w:fill="auto"/>
                  <w:vAlign w:val="center"/>
                </w:tcPr>
                <w:p w14:paraId="6380FE3B">
                  <w:pPr>
                    <w:widowControl/>
                    <w:jc w:val="center"/>
                    <w:rPr>
                      <w:rFonts w:eastAsiaTheme="majorEastAsia"/>
                      <w:kern w:val="0"/>
                      <w:szCs w:val="21"/>
                    </w:rPr>
                  </w:pPr>
                  <w:r>
                    <w:rPr>
                      <w:rFonts w:eastAsiaTheme="majorEastAsia"/>
                      <w:kern w:val="0"/>
                      <w:szCs w:val="21"/>
                    </w:rPr>
                    <w:t>8400</w:t>
                  </w:r>
                </w:p>
              </w:tc>
              <w:tc>
                <w:tcPr>
                  <w:tcW w:w="1102" w:type="pct"/>
                  <w:shd w:val="clear" w:color="auto" w:fill="auto"/>
                  <w:vAlign w:val="center"/>
                </w:tcPr>
                <w:p w14:paraId="66A5FAA4">
                  <w:pPr>
                    <w:widowControl/>
                    <w:jc w:val="center"/>
                    <w:rPr>
                      <w:rFonts w:eastAsiaTheme="majorEastAsia"/>
                      <w:kern w:val="0"/>
                      <w:szCs w:val="21"/>
                    </w:rPr>
                  </w:pPr>
                  <w:r>
                    <w:rPr>
                      <w:rFonts w:eastAsiaTheme="majorEastAsia"/>
                      <w:szCs w:val="21"/>
                    </w:rPr>
                    <w:t>0.357</w:t>
                  </w:r>
                </w:p>
              </w:tc>
            </w:tr>
            <w:tr w14:paraId="07A055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915" w:type="pct"/>
                  <w:vAlign w:val="center"/>
                </w:tcPr>
                <w:p w14:paraId="334CFDEA">
                  <w:pPr>
                    <w:widowControl/>
                    <w:jc w:val="center"/>
                    <w:rPr>
                      <w:rFonts w:eastAsiaTheme="majorEastAsia"/>
                      <w:kern w:val="0"/>
                      <w:szCs w:val="21"/>
                    </w:rPr>
                  </w:pPr>
                  <w:r>
                    <w:rPr>
                      <w:rFonts w:eastAsiaTheme="majorEastAsia"/>
                      <w:kern w:val="0"/>
                      <w:szCs w:val="21"/>
                    </w:rPr>
                    <w:t>撬装加油一体化设备</w:t>
                  </w:r>
                </w:p>
              </w:tc>
              <w:tc>
                <w:tcPr>
                  <w:tcW w:w="915" w:type="pct"/>
                  <w:shd w:val="clear" w:color="auto" w:fill="auto"/>
                  <w:vAlign w:val="center"/>
                </w:tcPr>
                <w:p w14:paraId="2BB5D918">
                  <w:pPr>
                    <w:widowControl/>
                    <w:jc w:val="center"/>
                    <w:rPr>
                      <w:rFonts w:eastAsiaTheme="majorEastAsia"/>
                      <w:kern w:val="0"/>
                      <w:szCs w:val="21"/>
                    </w:rPr>
                  </w:pPr>
                  <w:r>
                    <w:rPr>
                      <w:rFonts w:eastAsiaTheme="majorEastAsia"/>
                      <w:kern w:val="0"/>
                      <w:szCs w:val="21"/>
                    </w:rPr>
                    <w:t>非甲烷总烃</w:t>
                  </w:r>
                </w:p>
              </w:tc>
              <w:tc>
                <w:tcPr>
                  <w:tcW w:w="1068" w:type="pct"/>
                  <w:shd w:val="clear" w:color="auto" w:fill="auto"/>
                  <w:noWrap/>
                  <w:vAlign w:val="center"/>
                </w:tcPr>
                <w:p w14:paraId="7A563473">
                  <w:pPr>
                    <w:widowControl/>
                    <w:jc w:val="center"/>
                    <w:rPr>
                      <w:rFonts w:eastAsiaTheme="majorEastAsia"/>
                      <w:kern w:val="0"/>
                      <w:szCs w:val="21"/>
                    </w:rPr>
                  </w:pPr>
                  <w:r>
                    <w:rPr>
                      <w:rFonts w:eastAsiaTheme="majorEastAsia"/>
                      <w:kern w:val="0"/>
                      <w:szCs w:val="21"/>
                    </w:rPr>
                    <w:t>0.033</w:t>
                  </w:r>
                </w:p>
              </w:tc>
              <w:tc>
                <w:tcPr>
                  <w:tcW w:w="1000" w:type="pct"/>
                  <w:shd w:val="clear" w:color="auto" w:fill="auto"/>
                  <w:vAlign w:val="center"/>
                </w:tcPr>
                <w:p w14:paraId="58270B99">
                  <w:pPr>
                    <w:widowControl/>
                    <w:jc w:val="center"/>
                    <w:rPr>
                      <w:rFonts w:eastAsiaTheme="majorEastAsia"/>
                      <w:kern w:val="0"/>
                      <w:szCs w:val="21"/>
                    </w:rPr>
                  </w:pPr>
                  <w:r>
                    <w:rPr>
                      <w:rFonts w:eastAsiaTheme="majorEastAsia"/>
                      <w:kern w:val="0"/>
                      <w:szCs w:val="21"/>
                    </w:rPr>
                    <w:t>8400</w:t>
                  </w:r>
                </w:p>
              </w:tc>
              <w:tc>
                <w:tcPr>
                  <w:tcW w:w="1102" w:type="pct"/>
                  <w:shd w:val="clear" w:color="auto" w:fill="auto"/>
                  <w:vAlign w:val="center"/>
                </w:tcPr>
                <w:p w14:paraId="6CF4D51B">
                  <w:pPr>
                    <w:widowControl/>
                    <w:jc w:val="center"/>
                    <w:rPr>
                      <w:rFonts w:eastAsiaTheme="majorEastAsia"/>
                      <w:szCs w:val="21"/>
                    </w:rPr>
                  </w:pPr>
                  <w:r>
                    <w:rPr>
                      <w:rFonts w:eastAsiaTheme="majorEastAsia"/>
                      <w:szCs w:val="21"/>
                    </w:rPr>
                    <w:t>0.004</w:t>
                  </w:r>
                </w:p>
              </w:tc>
            </w:tr>
          </w:tbl>
          <w:p w14:paraId="2CFF2664"/>
          <w:p w14:paraId="5370A331">
            <w:pPr>
              <w:spacing w:line="360" w:lineRule="auto"/>
              <w:ind w:firstLine="482" w:firstLineChars="200"/>
              <w:jc w:val="left"/>
              <w:rPr>
                <w:b/>
                <w:bCs/>
                <w:sz w:val="24"/>
              </w:rPr>
            </w:pPr>
            <w:r>
              <w:rPr>
                <w:b/>
                <w:bCs/>
                <w:sz w:val="24"/>
              </w:rPr>
              <w:t>（2）监测要求</w:t>
            </w:r>
          </w:p>
          <w:p w14:paraId="233178FA">
            <w:pPr>
              <w:spacing w:line="360" w:lineRule="auto"/>
              <w:ind w:firstLine="480" w:firstLineChars="200"/>
              <w:rPr>
                <w:sz w:val="24"/>
              </w:rPr>
            </w:pPr>
            <w:r>
              <w:rPr>
                <w:sz w:val="24"/>
              </w:rPr>
              <w:t>按照《排污单位自行监测技术指南 化学纤维制造业（HJ 1139-2020）》、《排污许可证申请与核发技术规范 废弃资源加工业》 (HJ 1034-2019)、《江苏省污染源自动监测监控管理办法》（2022 年修订）要求确定本项目监测频次及监测因子。</w:t>
            </w:r>
          </w:p>
          <w:p w14:paraId="3BFAD10F">
            <w:pPr>
              <w:adjustRightInd w:val="0"/>
              <w:snapToGrid w:val="0"/>
              <w:jc w:val="center"/>
              <w:outlineLvl w:val="0"/>
              <w:rPr>
                <w:b/>
                <w:bCs/>
                <w:sz w:val="24"/>
              </w:rPr>
            </w:pPr>
            <w:r>
              <w:rPr>
                <w:b/>
                <w:bCs/>
                <w:sz w:val="24"/>
              </w:rPr>
              <w:t>表4-4 建设项目废气污染源监测情况表</w:t>
            </w:r>
          </w:p>
          <w:tbl>
            <w:tblPr>
              <w:tblStyle w:val="4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1672"/>
              <w:gridCol w:w="904"/>
              <w:gridCol w:w="1153"/>
              <w:gridCol w:w="1178"/>
              <w:gridCol w:w="2153"/>
              <w:gridCol w:w="1005"/>
            </w:tblGrid>
            <w:tr w14:paraId="3A97EC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80" w:type="dxa"/>
                  <w:shd w:val="clear" w:color="auto" w:fill="auto"/>
                  <w:vAlign w:val="center"/>
                </w:tcPr>
                <w:p w14:paraId="2032F5CE">
                  <w:pPr>
                    <w:widowControl/>
                    <w:jc w:val="center"/>
                    <w:rPr>
                      <w:b/>
                      <w:bCs/>
                      <w:kern w:val="0"/>
                      <w:szCs w:val="21"/>
                    </w:rPr>
                  </w:pPr>
                  <w:r>
                    <w:rPr>
                      <w:b/>
                      <w:bCs/>
                      <w:kern w:val="0"/>
                      <w:szCs w:val="21"/>
                    </w:rPr>
                    <w:t>类别</w:t>
                  </w:r>
                </w:p>
              </w:tc>
              <w:tc>
                <w:tcPr>
                  <w:tcW w:w="1567" w:type="dxa"/>
                  <w:shd w:val="clear" w:color="auto" w:fill="auto"/>
                  <w:vAlign w:val="center"/>
                </w:tcPr>
                <w:p w14:paraId="5E0CB301">
                  <w:pPr>
                    <w:widowControl/>
                    <w:jc w:val="center"/>
                    <w:rPr>
                      <w:b/>
                      <w:bCs/>
                      <w:kern w:val="0"/>
                      <w:szCs w:val="21"/>
                    </w:rPr>
                  </w:pPr>
                  <w:r>
                    <w:rPr>
                      <w:b/>
                      <w:bCs/>
                      <w:kern w:val="0"/>
                      <w:szCs w:val="21"/>
                    </w:rPr>
                    <w:t>监测位置</w:t>
                  </w:r>
                </w:p>
              </w:tc>
              <w:tc>
                <w:tcPr>
                  <w:tcW w:w="996" w:type="dxa"/>
                  <w:shd w:val="clear" w:color="auto" w:fill="auto"/>
                  <w:vAlign w:val="center"/>
                </w:tcPr>
                <w:p w14:paraId="283C1F08">
                  <w:pPr>
                    <w:widowControl/>
                    <w:jc w:val="center"/>
                    <w:rPr>
                      <w:b/>
                      <w:bCs/>
                      <w:kern w:val="0"/>
                      <w:szCs w:val="21"/>
                    </w:rPr>
                  </w:pPr>
                  <w:r>
                    <w:rPr>
                      <w:b/>
                      <w:bCs/>
                      <w:kern w:val="0"/>
                      <w:szCs w:val="21"/>
                    </w:rPr>
                    <w:t>测点数</w:t>
                  </w:r>
                </w:p>
              </w:tc>
              <w:tc>
                <w:tcPr>
                  <w:tcW w:w="1253" w:type="dxa"/>
                  <w:shd w:val="clear" w:color="auto" w:fill="auto"/>
                  <w:vAlign w:val="center"/>
                </w:tcPr>
                <w:p w14:paraId="257F3E70">
                  <w:pPr>
                    <w:widowControl/>
                    <w:jc w:val="center"/>
                    <w:rPr>
                      <w:b/>
                      <w:bCs/>
                      <w:kern w:val="0"/>
                      <w:szCs w:val="21"/>
                    </w:rPr>
                  </w:pPr>
                  <w:r>
                    <w:rPr>
                      <w:b/>
                      <w:bCs/>
                      <w:kern w:val="0"/>
                      <w:szCs w:val="21"/>
                    </w:rPr>
                    <w:t>监测项目</w:t>
                  </w:r>
                </w:p>
              </w:tc>
              <w:tc>
                <w:tcPr>
                  <w:tcW w:w="1323" w:type="dxa"/>
                  <w:shd w:val="clear" w:color="auto" w:fill="auto"/>
                  <w:vAlign w:val="center"/>
                </w:tcPr>
                <w:p w14:paraId="1D8B21EF">
                  <w:pPr>
                    <w:widowControl/>
                    <w:jc w:val="center"/>
                    <w:rPr>
                      <w:b/>
                      <w:bCs/>
                      <w:kern w:val="0"/>
                      <w:szCs w:val="21"/>
                    </w:rPr>
                  </w:pPr>
                  <w:r>
                    <w:rPr>
                      <w:b/>
                      <w:bCs/>
                      <w:kern w:val="0"/>
                      <w:szCs w:val="21"/>
                    </w:rPr>
                    <w:t>监测频率</w:t>
                  </w:r>
                </w:p>
              </w:tc>
              <w:tc>
                <w:tcPr>
                  <w:tcW w:w="1824" w:type="dxa"/>
                  <w:shd w:val="clear" w:color="auto" w:fill="auto"/>
                  <w:vAlign w:val="center"/>
                </w:tcPr>
                <w:p w14:paraId="7DA1A018">
                  <w:pPr>
                    <w:widowControl/>
                    <w:jc w:val="center"/>
                    <w:rPr>
                      <w:b/>
                      <w:bCs/>
                      <w:kern w:val="0"/>
                      <w:szCs w:val="21"/>
                    </w:rPr>
                  </w:pPr>
                  <w:r>
                    <w:rPr>
                      <w:b/>
                      <w:bCs/>
                      <w:kern w:val="0"/>
                      <w:szCs w:val="21"/>
                    </w:rPr>
                    <w:t>执行标准</w:t>
                  </w:r>
                </w:p>
              </w:tc>
              <w:tc>
                <w:tcPr>
                  <w:tcW w:w="1076" w:type="dxa"/>
                  <w:shd w:val="clear" w:color="auto" w:fill="auto"/>
                  <w:vAlign w:val="center"/>
                </w:tcPr>
                <w:p w14:paraId="3C87A37E">
                  <w:pPr>
                    <w:widowControl/>
                    <w:jc w:val="center"/>
                    <w:rPr>
                      <w:b/>
                      <w:bCs/>
                      <w:kern w:val="0"/>
                      <w:szCs w:val="21"/>
                    </w:rPr>
                  </w:pPr>
                  <w:r>
                    <w:rPr>
                      <w:b/>
                      <w:bCs/>
                      <w:kern w:val="0"/>
                      <w:szCs w:val="21"/>
                    </w:rPr>
                    <w:t>备注</w:t>
                  </w:r>
                </w:p>
              </w:tc>
            </w:tr>
            <w:tr w14:paraId="592119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80" w:type="dxa"/>
                  <w:vMerge w:val="restart"/>
                  <w:shd w:val="clear" w:color="auto" w:fill="auto"/>
                  <w:vAlign w:val="center"/>
                </w:tcPr>
                <w:p w14:paraId="71578D4F">
                  <w:pPr>
                    <w:widowControl/>
                    <w:jc w:val="center"/>
                    <w:rPr>
                      <w:kern w:val="0"/>
                      <w:szCs w:val="21"/>
                    </w:rPr>
                  </w:pPr>
                  <w:r>
                    <w:rPr>
                      <w:kern w:val="0"/>
                      <w:szCs w:val="21"/>
                    </w:rPr>
                    <w:t>废气</w:t>
                  </w:r>
                </w:p>
              </w:tc>
              <w:tc>
                <w:tcPr>
                  <w:tcW w:w="1567" w:type="dxa"/>
                  <w:shd w:val="clear" w:color="auto" w:fill="auto"/>
                  <w:vAlign w:val="center"/>
                </w:tcPr>
                <w:p w14:paraId="46D5081C">
                  <w:pPr>
                    <w:widowControl/>
                    <w:jc w:val="center"/>
                    <w:rPr>
                      <w:kern w:val="0"/>
                      <w:szCs w:val="21"/>
                    </w:rPr>
                  </w:pPr>
                  <w:r>
                    <w:rPr>
                      <w:kern w:val="0"/>
                      <w:szCs w:val="21"/>
                    </w:rPr>
                    <w:t>DA0010~DA015</w:t>
                  </w:r>
                </w:p>
              </w:tc>
              <w:tc>
                <w:tcPr>
                  <w:tcW w:w="996" w:type="dxa"/>
                  <w:shd w:val="clear" w:color="auto" w:fill="auto"/>
                  <w:vAlign w:val="center"/>
                </w:tcPr>
                <w:p w14:paraId="75A4F01D">
                  <w:pPr>
                    <w:widowControl/>
                    <w:jc w:val="center"/>
                    <w:rPr>
                      <w:kern w:val="0"/>
                      <w:szCs w:val="21"/>
                    </w:rPr>
                  </w:pPr>
                  <w:r>
                    <w:rPr>
                      <w:kern w:val="0"/>
                      <w:szCs w:val="21"/>
                    </w:rPr>
                    <w:t>6</w:t>
                  </w:r>
                </w:p>
              </w:tc>
              <w:tc>
                <w:tcPr>
                  <w:tcW w:w="1253" w:type="dxa"/>
                  <w:shd w:val="clear" w:color="auto" w:fill="auto"/>
                  <w:vAlign w:val="center"/>
                </w:tcPr>
                <w:p w14:paraId="539C6F7C">
                  <w:pPr>
                    <w:widowControl/>
                    <w:jc w:val="center"/>
                    <w:rPr>
                      <w:kern w:val="0"/>
                      <w:szCs w:val="21"/>
                    </w:rPr>
                  </w:pPr>
                  <w:r>
                    <w:rPr>
                      <w:kern w:val="0"/>
                      <w:szCs w:val="21"/>
                    </w:rPr>
                    <w:t>非甲烷总烃</w:t>
                  </w:r>
                </w:p>
              </w:tc>
              <w:tc>
                <w:tcPr>
                  <w:tcW w:w="1323" w:type="dxa"/>
                  <w:shd w:val="clear" w:color="auto" w:fill="auto"/>
                  <w:vAlign w:val="center"/>
                </w:tcPr>
                <w:p w14:paraId="336DD811">
                  <w:pPr>
                    <w:widowControl/>
                    <w:jc w:val="center"/>
                    <w:rPr>
                      <w:kern w:val="0"/>
                      <w:szCs w:val="21"/>
                    </w:rPr>
                  </w:pPr>
                  <w:r>
                    <w:rPr>
                      <w:kern w:val="0"/>
                      <w:szCs w:val="21"/>
                    </w:rPr>
                    <w:t>每半年1次</w:t>
                  </w:r>
                </w:p>
              </w:tc>
              <w:tc>
                <w:tcPr>
                  <w:tcW w:w="1824" w:type="dxa"/>
                  <w:shd w:val="clear" w:color="auto" w:fill="auto"/>
                  <w:vAlign w:val="center"/>
                </w:tcPr>
                <w:p w14:paraId="1806CCDC">
                  <w:pPr>
                    <w:widowControl/>
                    <w:jc w:val="center"/>
                    <w:rPr>
                      <w:kern w:val="0"/>
                      <w:szCs w:val="21"/>
                    </w:rPr>
                  </w:pPr>
                  <w:r>
                    <w:rPr>
                      <w:kern w:val="0"/>
                      <w:szCs w:val="21"/>
                    </w:rPr>
                    <w:t>《合成树脂工业污染物排放标准》</w:t>
                  </w:r>
                  <w:r>
                    <w:rPr>
                      <w:rFonts w:hint="eastAsia"/>
                      <w:kern w:val="0"/>
                      <w:szCs w:val="21"/>
                    </w:rPr>
                    <w:t>及其修改单</w:t>
                  </w:r>
                  <w:r>
                    <w:rPr>
                      <w:kern w:val="0"/>
                      <w:szCs w:val="21"/>
                    </w:rPr>
                    <w:t>（GB31572-2015）表5标准</w:t>
                  </w:r>
                </w:p>
              </w:tc>
              <w:tc>
                <w:tcPr>
                  <w:tcW w:w="1076" w:type="dxa"/>
                  <w:shd w:val="clear" w:color="auto" w:fill="auto"/>
                  <w:vAlign w:val="center"/>
                </w:tcPr>
                <w:p w14:paraId="57EDCEBD">
                  <w:pPr>
                    <w:widowControl/>
                    <w:jc w:val="center"/>
                    <w:rPr>
                      <w:kern w:val="0"/>
                      <w:szCs w:val="21"/>
                    </w:rPr>
                  </w:pPr>
                  <w:r>
                    <w:rPr>
                      <w:kern w:val="0"/>
                      <w:szCs w:val="21"/>
                    </w:rPr>
                    <w:t>/</w:t>
                  </w:r>
                </w:p>
              </w:tc>
            </w:tr>
            <w:tr w14:paraId="59A947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80" w:type="dxa"/>
                  <w:vMerge w:val="continue"/>
                  <w:vAlign w:val="center"/>
                </w:tcPr>
                <w:p w14:paraId="65CAF33E">
                  <w:pPr>
                    <w:widowControl/>
                    <w:jc w:val="left"/>
                    <w:rPr>
                      <w:kern w:val="0"/>
                      <w:szCs w:val="21"/>
                    </w:rPr>
                  </w:pPr>
                </w:p>
              </w:tc>
              <w:tc>
                <w:tcPr>
                  <w:tcW w:w="1567" w:type="dxa"/>
                  <w:shd w:val="clear" w:color="auto" w:fill="auto"/>
                  <w:vAlign w:val="center"/>
                </w:tcPr>
                <w:p w14:paraId="35E28477">
                  <w:pPr>
                    <w:widowControl/>
                    <w:jc w:val="center"/>
                    <w:rPr>
                      <w:kern w:val="0"/>
                      <w:szCs w:val="21"/>
                    </w:rPr>
                  </w:pPr>
                  <w:r>
                    <w:rPr>
                      <w:kern w:val="0"/>
                      <w:szCs w:val="21"/>
                    </w:rPr>
                    <w:t>DA016</w:t>
                  </w:r>
                </w:p>
              </w:tc>
              <w:tc>
                <w:tcPr>
                  <w:tcW w:w="996" w:type="dxa"/>
                  <w:shd w:val="clear" w:color="auto" w:fill="auto"/>
                  <w:vAlign w:val="center"/>
                </w:tcPr>
                <w:p w14:paraId="4E009522">
                  <w:pPr>
                    <w:widowControl/>
                    <w:jc w:val="center"/>
                    <w:rPr>
                      <w:kern w:val="0"/>
                      <w:szCs w:val="21"/>
                    </w:rPr>
                  </w:pPr>
                  <w:r>
                    <w:rPr>
                      <w:kern w:val="0"/>
                      <w:szCs w:val="21"/>
                    </w:rPr>
                    <w:t>1</w:t>
                  </w:r>
                </w:p>
              </w:tc>
              <w:tc>
                <w:tcPr>
                  <w:tcW w:w="1253" w:type="dxa"/>
                  <w:shd w:val="clear" w:color="auto" w:fill="auto"/>
                  <w:vAlign w:val="center"/>
                </w:tcPr>
                <w:p w14:paraId="07661345">
                  <w:pPr>
                    <w:widowControl/>
                    <w:jc w:val="center"/>
                    <w:rPr>
                      <w:kern w:val="0"/>
                      <w:szCs w:val="21"/>
                    </w:rPr>
                  </w:pPr>
                  <w:r>
                    <w:rPr>
                      <w:kern w:val="0"/>
                      <w:szCs w:val="21"/>
                    </w:rPr>
                    <w:t>颗粒物、四氢呋喃</w:t>
                  </w:r>
                </w:p>
              </w:tc>
              <w:tc>
                <w:tcPr>
                  <w:tcW w:w="1323" w:type="dxa"/>
                  <w:shd w:val="clear" w:color="auto" w:fill="auto"/>
                  <w:vAlign w:val="center"/>
                </w:tcPr>
                <w:p w14:paraId="71FDF057">
                  <w:pPr>
                    <w:widowControl/>
                    <w:jc w:val="center"/>
                    <w:rPr>
                      <w:kern w:val="0"/>
                      <w:szCs w:val="21"/>
                    </w:rPr>
                  </w:pPr>
                  <w:r>
                    <w:rPr>
                      <w:kern w:val="0"/>
                      <w:szCs w:val="21"/>
                    </w:rPr>
                    <w:t>每半年1次</w:t>
                  </w:r>
                </w:p>
              </w:tc>
              <w:tc>
                <w:tcPr>
                  <w:tcW w:w="1824" w:type="dxa"/>
                  <w:shd w:val="clear" w:color="auto" w:fill="auto"/>
                  <w:vAlign w:val="center"/>
                </w:tcPr>
                <w:p w14:paraId="35FA353D">
                  <w:pPr>
                    <w:widowControl/>
                    <w:jc w:val="center"/>
                    <w:rPr>
                      <w:kern w:val="0"/>
                      <w:szCs w:val="21"/>
                    </w:rPr>
                  </w:pPr>
                  <w:r>
                    <w:rPr>
                      <w:kern w:val="0"/>
                      <w:szCs w:val="21"/>
                    </w:rPr>
                    <w:t>执行《合成树脂工业污染物排放标准》</w:t>
                  </w:r>
                  <w:r>
                    <w:rPr>
                      <w:rFonts w:hint="eastAsia"/>
                      <w:kern w:val="0"/>
                      <w:szCs w:val="21"/>
                    </w:rPr>
                    <w:t>及其修改单</w:t>
                  </w:r>
                  <w:r>
                    <w:rPr>
                      <w:kern w:val="0"/>
                      <w:szCs w:val="21"/>
                    </w:rPr>
                    <w:t>（GB31572-2015）表5</w:t>
                  </w:r>
                </w:p>
              </w:tc>
              <w:tc>
                <w:tcPr>
                  <w:tcW w:w="1076" w:type="dxa"/>
                  <w:shd w:val="clear" w:color="auto" w:fill="auto"/>
                  <w:vAlign w:val="center"/>
                </w:tcPr>
                <w:p w14:paraId="5AD933E9">
                  <w:pPr>
                    <w:widowControl/>
                    <w:jc w:val="center"/>
                    <w:rPr>
                      <w:kern w:val="0"/>
                      <w:szCs w:val="21"/>
                    </w:rPr>
                  </w:pPr>
                  <w:r>
                    <w:rPr>
                      <w:kern w:val="0"/>
                      <w:szCs w:val="21"/>
                    </w:rPr>
                    <w:t>四氢呋喃待国家污染物监测方法标准发布后实施。</w:t>
                  </w:r>
                </w:p>
              </w:tc>
            </w:tr>
            <w:tr w14:paraId="2FCE4B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80" w:type="dxa"/>
                  <w:vMerge w:val="continue"/>
                  <w:vAlign w:val="center"/>
                </w:tcPr>
                <w:p w14:paraId="4E34CC0E">
                  <w:pPr>
                    <w:widowControl/>
                    <w:jc w:val="left"/>
                    <w:rPr>
                      <w:kern w:val="0"/>
                      <w:szCs w:val="21"/>
                    </w:rPr>
                  </w:pPr>
                </w:p>
              </w:tc>
              <w:tc>
                <w:tcPr>
                  <w:tcW w:w="1567" w:type="dxa"/>
                  <w:shd w:val="clear" w:color="auto" w:fill="auto"/>
                  <w:vAlign w:val="center"/>
                </w:tcPr>
                <w:p w14:paraId="5A851897">
                  <w:pPr>
                    <w:widowControl/>
                    <w:jc w:val="center"/>
                    <w:rPr>
                      <w:kern w:val="0"/>
                      <w:szCs w:val="21"/>
                    </w:rPr>
                  </w:pPr>
                  <w:r>
                    <w:rPr>
                      <w:kern w:val="0"/>
                      <w:szCs w:val="21"/>
                    </w:rPr>
                    <w:t>DA017</w:t>
                  </w:r>
                </w:p>
              </w:tc>
              <w:tc>
                <w:tcPr>
                  <w:tcW w:w="996" w:type="dxa"/>
                  <w:shd w:val="clear" w:color="auto" w:fill="auto"/>
                  <w:vAlign w:val="center"/>
                </w:tcPr>
                <w:p w14:paraId="3F0D3B16">
                  <w:pPr>
                    <w:widowControl/>
                    <w:jc w:val="center"/>
                    <w:rPr>
                      <w:kern w:val="0"/>
                      <w:szCs w:val="21"/>
                    </w:rPr>
                  </w:pPr>
                  <w:r>
                    <w:rPr>
                      <w:kern w:val="0"/>
                      <w:szCs w:val="21"/>
                    </w:rPr>
                    <w:t>1</w:t>
                  </w:r>
                </w:p>
              </w:tc>
              <w:tc>
                <w:tcPr>
                  <w:tcW w:w="1253" w:type="dxa"/>
                  <w:shd w:val="clear" w:color="auto" w:fill="auto"/>
                  <w:vAlign w:val="center"/>
                </w:tcPr>
                <w:p w14:paraId="79A099D9">
                  <w:pPr>
                    <w:widowControl/>
                    <w:jc w:val="center"/>
                    <w:rPr>
                      <w:kern w:val="0"/>
                      <w:szCs w:val="21"/>
                    </w:rPr>
                  </w:pPr>
                  <w:r>
                    <w:rPr>
                      <w:kern w:val="0"/>
                      <w:szCs w:val="21"/>
                    </w:rPr>
                    <w:t>颗粒物、氨</w:t>
                  </w:r>
                </w:p>
              </w:tc>
              <w:tc>
                <w:tcPr>
                  <w:tcW w:w="1323" w:type="dxa"/>
                  <w:shd w:val="clear" w:color="auto" w:fill="auto"/>
                  <w:vAlign w:val="center"/>
                </w:tcPr>
                <w:p w14:paraId="213B1863">
                  <w:pPr>
                    <w:widowControl/>
                    <w:jc w:val="center"/>
                    <w:rPr>
                      <w:kern w:val="0"/>
                      <w:szCs w:val="21"/>
                    </w:rPr>
                  </w:pPr>
                  <w:r>
                    <w:rPr>
                      <w:kern w:val="0"/>
                      <w:szCs w:val="21"/>
                    </w:rPr>
                    <w:t>每半年1次</w:t>
                  </w:r>
                </w:p>
              </w:tc>
              <w:tc>
                <w:tcPr>
                  <w:tcW w:w="1824" w:type="dxa"/>
                  <w:shd w:val="clear" w:color="auto" w:fill="auto"/>
                  <w:vAlign w:val="center"/>
                </w:tcPr>
                <w:p w14:paraId="73235FDC">
                  <w:pPr>
                    <w:widowControl/>
                    <w:jc w:val="center"/>
                    <w:rPr>
                      <w:kern w:val="0"/>
                      <w:szCs w:val="21"/>
                    </w:rPr>
                  </w:pPr>
                  <w:r>
                    <w:rPr>
                      <w:kern w:val="0"/>
                      <w:szCs w:val="21"/>
                    </w:rPr>
                    <w:t>执行《合成树脂工业污染物排放标准》</w:t>
                  </w:r>
                  <w:r>
                    <w:rPr>
                      <w:rFonts w:hint="eastAsia"/>
                      <w:kern w:val="0"/>
                      <w:szCs w:val="21"/>
                    </w:rPr>
                    <w:t>及其修改单</w:t>
                  </w:r>
                  <w:r>
                    <w:rPr>
                      <w:kern w:val="0"/>
                      <w:szCs w:val="21"/>
                    </w:rPr>
                    <w:t>（GB31572-2015）表5</w:t>
                  </w:r>
                  <w:r>
                    <w:rPr>
                      <w:rFonts w:hint="eastAsia"/>
                      <w:kern w:val="0"/>
                      <w:szCs w:val="21"/>
                    </w:rPr>
                    <w:t>、《恶臭污染物排放标准》(GB14554-93)</w:t>
                  </w:r>
                </w:p>
              </w:tc>
              <w:tc>
                <w:tcPr>
                  <w:tcW w:w="1076" w:type="dxa"/>
                  <w:vAlign w:val="center"/>
                </w:tcPr>
                <w:p w14:paraId="2F216938">
                  <w:pPr>
                    <w:widowControl/>
                    <w:jc w:val="center"/>
                    <w:rPr>
                      <w:kern w:val="0"/>
                      <w:szCs w:val="21"/>
                    </w:rPr>
                  </w:pPr>
                  <w:r>
                    <w:rPr>
                      <w:kern w:val="0"/>
                      <w:szCs w:val="21"/>
                    </w:rPr>
                    <w:t>/</w:t>
                  </w:r>
                </w:p>
              </w:tc>
            </w:tr>
            <w:tr w14:paraId="5ABE8D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80" w:type="dxa"/>
                  <w:vMerge w:val="continue"/>
                  <w:vAlign w:val="center"/>
                </w:tcPr>
                <w:p w14:paraId="1827FD22">
                  <w:pPr>
                    <w:widowControl/>
                    <w:jc w:val="left"/>
                    <w:rPr>
                      <w:kern w:val="0"/>
                      <w:szCs w:val="21"/>
                    </w:rPr>
                  </w:pPr>
                </w:p>
              </w:tc>
              <w:tc>
                <w:tcPr>
                  <w:tcW w:w="1567" w:type="dxa"/>
                  <w:vMerge w:val="restart"/>
                  <w:shd w:val="clear" w:color="auto" w:fill="auto"/>
                  <w:vAlign w:val="center"/>
                </w:tcPr>
                <w:p w14:paraId="5126C2C3">
                  <w:pPr>
                    <w:widowControl/>
                    <w:jc w:val="center"/>
                    <w:rPr>
                      <w:kern w:val="0"/>
                      <w:szCs w:val="21"/>
                    </w:rPr>
                  </w:pPr>
                  <w:r>
                    <w:rPr>
                      <w:kern w:val="0"/>
                      <w:szCs w:val="21"/>
                    </w:rPr>
                    <w:t>DA018~DA019</w:t>
                  </w:r>
                </w:p>
              </w:tc>
              <w:tc>
                <w:tcPr>
                  <w:tcW w:w="996" w:type="dxa"/>
                  <w:vMerge w:val="restart"/>
                  <w:shd w:val="clear" w:color="auto" w:fill="auto"/>
                  <w:vAlign w:val="center"/>
                </w:tcPr>
                <w:p w14:paraId="570AA2A2">
                  <w:pPr>
                    <w:widowControl/>
                    <w:jc w:val="center"/>
                    <w:rPr>
                      <w:kern w:val="0"/>
                      <w:szCs w:val="21"/>
                    </w:rPr>
                  </w:pPr>
                  <w:r>
                    <w:rPr>
                      <w:kern w:val="0"/>
                      <w:szCs w:val="21"/>
                    </w:rPr>
                    <w:t>2</w:t>
                  </w:r>
                </w:p>
              </w:tc>
              <w:tc>
                <w:tcPr>
                  <w:tcW w:w="1253" w:type="dxa"/>
                  <w:shd w:val="clear" w:color="auto" w:fill="auto"/>
                  <w:vAlign w:val="center"/>
                </w:tcPr>
                <w:p w14:paraId="4E0DFAFD">
                  <w:pPr>
                    <w:widowControl/>
                    <w:jc w:val="center"/>
                    <w:rPr>
                      <w:kern w:val="0"/>
                      <w:szCs w:val="21"/>
                    </w:rPr>
                  </w:pPr>
                  <w:r>
                    <w:rPr>
                      <w:kern w:val="0"/>
                      <w:szCs w:val="21"/>
                    </w:rPr>
                    <w:t>非甲烷总烃</w:t>
                  </w:r>
                </w:p>
              </w:tc>
              <w:tc>
                <w:tcPr>
                  <w:tcW w:w="1323" w:type="dxa"/>
                  <w:shd w:val="clear" w:color="auto" w:fill="auto"/>
                  <w:vAlign w:val="center"/>
                </w:tcPr>
                <w:p w14:paraId="0962A975">
                  <w:pPr>
                    <w:widowControl/>
                    <w:jc w:val="center"/>
                    <w:rPr>
                      <w:kern w:val="0"/>
                      <w:szCs w:val="21"/>
                    </w:rPr>
                  </w:pPr>
                  <w:r>
                    <w:rPr>
                      <w:kern w:val="0"/>
                      <w:szCs w:val="21"/>
                    </w:rPr>
                    <w:t>每半年1次</w:t>
                  </w:r>
                </w:p>
              </w:tc>
              <w:tc>
                <w:tcPr>
                  <w:tcW w:w="1824" w:type="dxa"/>
                  <w:shd w:val="clear" w:color="auto" w:fill="auto"/>
                  <w:vAlign w:val="center"/>
                </w:tcPr>
                <w:p w14:paraId="290BB669">
                  <w:pPr>
                    <w:widowControl/>
                    <w:jc w:val="center"/>
                    <w:rPr>
                      <w:kern w:val="0"/>
                      <w:szCs w:val="21"/>
                    </w:rPr>
                  </w:pPr>
                  <w:r>
                    <w:rPr>
                      <w:kern w:val="0"/>
                      <w:szCs w:val="21"/>
                    </w:rPr>
                    <w:t>《合成树脂工业污染物排放标准》</w:t>
                  </w:r>
                  <w:r>
                    <w:rPr>
                      <w:rFonts w:hint="eastAsia"/>
                      <w:kern w:val="0"/>
                      <w:szCs w:val="21"/>
                    </w:rPr>
                    <w:t>及其修改单</w:t>
                  </w:r>
                  <w:r>
                    <w:rPr>
                      <w:kern w:val="0"/>
                      <w:szCs w:val="21"/>
                    </w:rPr>
                    <w:t>（GB31572-2015）表5标准</w:t>
                  </w:r>
                </w:p>
              </w:tc>
              <w:tc>
                <w:tcPr>
                  <w:tcW w:w="1076" w:type="dxa"/>
                  <w:vAlign w:val="center"/>
                </w:tcPr>
                <w:p w14:paraId="4161A9DE">
                  <w:pPr>
                    <w:widowControl/>
                    <w:jc w:val="center"/>
                    <w:rPr>
                      <w:kern w:val="0"/>
                      <w:szCs w:val="21"/>
                    </w:rPr>
                  </w:pPr>
                  <w:r>
                    <w:rPr>
                      <w:kern w:val="0"/>
                      <w:szCs w:val="21"/>
                    </w:rPr>
                    <w:t>/</w:t>
                  </w:r>
                </w:p>
              </w:tc>
            </w:tr>
            <w:tr w14:paraId="0CE852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80" w:type="dxa"/>
                  <w:vMerge w:val="continue"/>
                  <w:vAlign w:val="center"/>
                </w:tcPr>
                <w:p w14:paraId="5B4E127E">
                  <w:pPr>
                    <w:widowControl/>
                    <w:jc w:val="left"/>
                    <w:rPr>
                      <w:kern w:val="0"/>
                      <w:szCs w:val="21"/>
                    </w:rPr>
                  </w:pPr>
                </w:p>
              </w:tc>
              <w:tc>
                <w:tcPr>
                  <w:tcW w:w="1567" w:type="dxa"/>
                  <w:vMerge w:val="continue"/>
                  <w:shd w:val="clear" w:color="auto" w:fill="auto"/>
                  <w:vAlign w:val="center"/>
                </w:tcPr>
                <w:p w14:paraId="5D285426">
                  <w:pPr>
                    <w:widowControl/>
                    <w:jc w:val="center"/>
                    <w:rPr>
                      <w:kern w:val="0"/>
                      <w:szCs w:val="21"/>
                    </w:rPr>
                  </w:pPr>
                </w:p>
              </w:tc>
              <w:tc>
                <w:tcPr>
                  <w:tcW w:w="996" w:type="dxa"/>
                  <w:vMerge w:val="continue"/>
                  <w:shd w:val="clear" w:color="auto" w:fill="auto"/>
                  <w:vAlign w:val="center"/>
                </w:tcPr>
                <w:p w14:paraId="6F31109D">
                  <w:pPr>
                    <w:widowControl/>
                    <w:jc w:val="center"/>
                    <w:rPr>
                      <w:kern w:val="0"/>
                      <w:szCs w:val="21"/>
                    </w:rPr>
                  </w:pPr>
                </w:p>
              </w:tc>
              <w:tc>
                <w:tcPr>
                  <w:tcW w:w="1253" w:type="dxa"/>
                  <w:shd w:val="clear" w:color="auto" w:fill="auto"/>
                  <w:vAlign w:val="center"/>
                </w:tcPr>
                <w:p w14:paraId="48575CEF">
                  <w:pPr>
                    <w:widowControl/>
                    <w:jc w:val="center"/>
                    <w:rPr>
                      <w:kern w:val="0"/>
                      <w:szCs w:val="21"/>
                    </w:rPr>
                  </w:pPr>
                  <w:r>
                    <w:rPr>
                      <w:kern w:val="0"/>
                      <w:szCs w:val="21"/>
                    </w:rPr>
                    <w:t>颗粒物</w:t>
                  </w:r>
                </w:p>
              </w:tc>
              <w:tc>
                <w:tcPr>
                  <w:tcW w:w="1323" w:type="dxa"/>
                  <w:shd w:val="clear" w:color="auto" w:fill="auto"/>
                  <w:vAlign w:val="center"/>
                </w:tcPr>
                <w:p w14:paraId="5A950714">
                  <w:pPr>
                    <w:widowControl/>
                    <w:jc w:val="center"/>
                    <w:rPr>
                      <w:kern w:val="0"/>
                      <w:szCs w:val="21"/>
                    </w:rPr>
                  </w:pPr>
                  <w:r>
                    <w:rPr>
                      <w:kern w:val="0"/>
                      <w:szCs w:val="21"/>
                    </w:rPr>
                    <w:t>每半年1次</w:t>
                  </w:r>
                </w:p>
              </w:tc>
              <w:tc>
                <w:tcPr>
                  <w:tcW w:w="1824" w:type="dxa"/>
                  <w:shd w:val="clear" w:color="auto" w:fill="auto"/>
                  <w:vAlign w:val="center"/>
                </w:tcPr>
                <w:p w14:paraId="223D6455">
                  <w:pPr>
                    <w:widowControl/>
                    <w:jc w:val="center"/>
                    <w:rPr>
                      <w:kern w:val="0"/>
                      <w:szCs w:val="21"/>
                    </w:rPr>
                  </w:pPr>
                  <w:r>
                    <w:rPr>
                      <w:kern w:val="0"/>
                      <w:szCs w:val="21"/>
                    </w:rPr>
                    <w:t>执行《合成树脂工业污染物排放标准》</w:t>
                  </w:r>
                  <w:r>
                    <w:rPr>
                      <w:rFonts w:hint="eastAsia"/>
                      <w:kern w:val="0"/>
                      <w:szCs w:val="21"/>
                    </w:rPr>
                    <w:t>及其修改单</w:t>
                  </w:r>
                  <w:r>
                    <w:rPr>
                      <w:kern w:val="0"/>
                      <w:szCs w:val="21"/>
                    </w:rPr>
                    <w:t>（GB31572-2015）表5</w:t>
                  </w:r>
                </w:p>
              </w:tc>
              <w:tc>
                <w:tcPr>
                  <w:tcW w:w="1076" w:type="dxa"/>
                  <w:vAlign w:val="center"/>
                </w:tcPr>
                <w:p w14:paraId="283ED118">
                  <w:pPr>
                    <w:widowControl/>
                    <w:jc w:val="center"/>
                    <w:rPr>
                      <w:kern w:val="0"/>
                      <w:szCs w:val="21"/>
                    </w:rPr>
                  </w:pPr>
                  <w:r>
                    <w:rPr>
                      <w:kern w:val="0"/>
                      <w:szCs w:val="21"/>
                    </w:rPr>
                    <w:t>/</w:t>
                  </w:r>
                </w:p>
              </w:tc>
            </w:tr>
            <w:tr w14:paraId="6719DD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80" w:type="dxa"/>
                  <w:vMerge w:val="continue"/>
                  <w:vAlign w:val="center"/>
                </w:tcPr>
                <w:p w14:paraId="47BB38BC">
                  <w:pPr>
                    <w:widowControl/>
                    <w:jc w:val="left"/>
                    <w:rPr>
                      <w:kern w:val="0"/>
                      <w:szCs w:val="21"/>
                    </w:rPr>
                  </w:pPr>
                </w:p>
              </w:tc>
              <w:tc>
                <w:tcPr>
                  <w:tcW w:w="1567" w:type="dxa"/>
                  <w:shd w:val="clear" w:color="auto" w:fill="auto"/>
                  <w:vAlign w:val="center"/>
                </w:tcPr>
                <w:p w14:paraId="747C6BD8">
                  <w:pPr>
                    <w:widowControl/>
                    <w:jc w:val="center"/>
                    <w:rPr>
                      <w:kern w:val="0"/>
                      <w:szCs w:val="21"/>
                    </w:rPr>
                  </w:pPr>
                  <w:r>
                    <w:rPr>
                      <w:kern w:val="0"/>
                      <w:szCs w:val="21"/>
                    </w:rPr>
                    <w:t>厂界无组织*</w:t>
                  </w:r>
                </w:p>
              </w:tc>
              <w:tc>
                <w:tcPr>
                  <w:tcW w:w="996" w:type="dxa"/>
                  <w:shd w:val="clear" w:color="auto" w:fill="auto"/>
                  <w:vAlign w:val="center"/>
                </w:tcPr>
                <w:p w14:paraId="64423EB8">
                  <w:pPr>
                    <w:widowControl/>
                    <w:jc w:val="center"/>
                    <w:rPr>
                      <w:kern w:val="0"/>
                      <w:szCs w:val="21"/>
                    </w:rPr>
                  </w:pPr>
                  <w:r>
                    <w:rPr>
                      <w:kern w:val="0"/>
                      <w:szCs w:val="21"/>
                    </w:rPr>
                    <w:t>4</w:t>
                  </w:r>
                </w:p>
              </w:tc>
              <w:tc>
                <w:tcPr>
                  <w:tcW w:w="1253" w:type="dxa"/>
                  <w:shd w:val="clear" w:color="auto" w:fill="auto"/>
                  <w:vAlign w:val="center"/>
                </w:tcPr>
                <w:p w14:paraId="5C6CFF6B">
                  <w:pPr>
                    <w:widowControl/>
                    <w:jc w:val="center"/>
                    <w:rPr>
                      <w:kern w:val="0"/>
                      <w:szCs w:val="21"/>
                    </w:rPr>
                  </w:pPr>
                  <w:r>
                    <w:rPr>
                      <w:kern w:val="0"/>
                      <w:szCs w:val="21"/>
                    </w:rPr>
                    <w:t>颗粒物、非甲烷总烃、乙醛、氨</w:t>
                  </w:r>
                </w:p>
              </w:tc>
              <w:tc>
                <w:tcPr>
                  <w:tcW w:w="1323" w:type="dxa"/>
                  <w:shd w:val="clear" w:color="auto" w:fill="auto"/>
                  <w:vAlign w:val="center"/>
                </w:tcPr>
                <w:p w14:paraId="5C8F9F42">
                  <w:pPr>
                    <w:widowControl/>
                    <w:jc w:val="center"/>
                    <w:rPr>
                      <w:kern w:val="0"/>
                      <w:szCs w:val="21"/>
                    </w:rPr>
                  </w:pPr>
                  <w:r>
                    <w:rPr>
                      <w:kern w:val="0"/>
                      <w:szCs w:val="21"/>
                    </w:rPr>
                    <w:t>每季度1次</w:t>
                  </w:r>
                </w:p>
              </w:tc>
              <w:tc>
                <w:tcPr>
                  <w:tcW w:w="1824" w:type="dxa"/>
                  <w:shd w:val="clear" w:color="auto" w:fill="auto"/>
                  <w:vAlign w:val="center"/>
                </w:tcPr>
                <w:p w14:paraId="0CDD9CB1">
                  <w:pPr>
                    <w:widowControl/>
                    <w:jc w:val="center"/>
                    <w:rPr>
                      <w:kern w:val="0"/>
                      <w:szCs w:val="21"/>
                    </w:rPr>
                  </w:pPr>
                  <w:r>
                    <w:rPr>
                      <w:kern w:val="0"/>
                      <w:szCs w:val="21"/>
                    </w:rPr>
                    <w:t>《合成树脂工业污染物排放标准》</w:t>
                  </w:r>
                  <w:r>
                    <w:rPr>
                      <w:rFonts w:hint="eastAsia"/>
                      <w:kern w:val="0"/>
                      <w:szCs w:val="21"/>
                    </w:rPr>
                    <w:t>及其修改单</w:t>
                  </w:r>
                  <w:r>
                    <w:rPr>
                      <w:kern w:val="0"/>
                      <w:szCs w:val="21"/>
                    </w:rPr>
                    <w:t>（GB31572-2015）、《大气污染物综合排放标准》（DB32/4041-2021）</w:t>
                  </w:r>
                </w:p>
              </w:tc>
              <w:tc>
                <w:tcPr>
                  <w:tcW w:w="1076" w:type="dxa"/>
                  <w:vMerge w:val="restart"/>
                  <w:shd w:val="clear" w:color="auto" w:fill="auto"/>
                  <w:vAlign w:val="center"/>
                </w:tcPr>
                <w:p w14:paraId="2CD0F37D">
                  <w:pPr>
                    <w:widowControl/>
                    <w:jc w:val="center"/>
                    <w:rPr>
                      <w:kern w:val="0"/>
                      <w:szCs w:val="21"/>
                    </w:rPr>
                  </w:pPr>
                  <w:r>
                    <w:rPr>
                      <w:kern w:val="0"/>
                      <w:szCs w:val="21"/>
                    </w:rPr>
                    <w:t>根据实际生产情况及当天风向确定</w:t>
                  </w:r>
                </w:p>
              </w:tc>
            </w:tr>
            <w:tr w14:paraId="4BBA88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80" w:type="dxa"/>
                  <w:vMerge w:val="continue"/>
                  <w:vAlign w:val="center"/>
                </w:tcPr>
                <w:p w14:paraId="664B931C">
                  <w:pPr>
                    <w:widowControl/>
                    <w:jc w:val="left"/>
                    <w:rPr>
                      <w:kern w:val="0"/>
                      <w:szCs w:val="21"/>
                    </w:rPr>
                  </w:pPr>
                </w:p>
              </w:tc>
              <w:tc>
                <w:tcPr>
                  <w:tcW w:w="1567" w:type="dxa"/>
                  <w:shd w:val="clear" w:color="auto" w:fill="auto"/>
                  <w:vAlign w:val="center"/>
                </w:tcPr>
                <w:p w14:paraId="7C578597">
                  <w:pPr>
                    <w:widowControl/>
                    <w:jc w:val="center"/>
                    <w:rPr>
                      <w:kern w:val="0"/>
                      <w:szCs w:val="21"/>
                    </w:rPr>
                  </w:pPr>
                  <w:r>
                    <w:rPr>
                      <w:kern w:val="0"/>
                      <w:szCs w:val="21"/>
                    </w:rPr>
                    <w:t>厂区内*</w:t>
                  </w:r>
                </w:p>
              </w:tc>
              <w:tc>
                <w:tcPr>
                  <w:tcW w:w="996" w:type="dxa"/>
                  <w:shd w:val="clear" w:color="auto" w:fill="auto"/>
                  <w:vAlign w:val="center"/>
                </w:tcPr>
                <w:p w14:paraId="44ACEBB0">
                  <w:pPr>
                    <w:widowControl/>
                    <w:jc w:val="center"/>
                    <w:rPr>
                      <w:kern w:val="0"/>
                      <w:szCs w:val="21"/>
                    </w:rPr>
                  </w:pPr>
                  <w:r>
                    <w:rPr>
                      <w:kern w:val="0"/>
                      <w:szCs w:val="21"/>
                    </w:rPr>
                    <w:t>根据实际运行生产情况确定</w:t>
                  </w:r>
                </w:p>
              </w:tc>
              <w:tc>
                <w:tcPr>
                  <w:tcW w:w="1253" w:type="dxa"/>
                  <w:shd w:val="clear" w:color="auto" w:fill="auto"/>
                  <w:vAlign w:val="center"/>
                </w:tcPr>
                <w:p w14:paraId="38DAA644">
                  <w:pPr>
                    <w:widowControl/>
                    <w:jc w:val="center"/>
                    <w:rPr>
                      <w:kern w:val="0"/>
                      <w:szCs w:val="21"/>
                    </w:rPr>
                  </w:pPr>
                  <w:r>
                    <w:rPr>
                      <w:kern w:val="0"/>
                      <w:szCs w:val="21"/>
                    </w:rPr>
                    <w:t>非甲烷总烃</w:t>
                  </w:r>
                </w:p>
              </w:tc>
              <w:tc>
                <w:tcPr>
                  <w:tcW w:w="1323" w:type="dxa"/>
                  <w:shd w:val="clear" w:color="auto" w:fill="auto"/>
                  <w:vAlign w:val="center"/>
                </w:tcPr>
                <w:p w14:paraId="372944B0">
                  <w:pPr>
                    <w:widowControl/>
                    <w:jc w:val="center"/>
                    <w:rPr>
                      <w:kern w:val="0"/>
                      <w:szCs w:val="21"/>
                    </w:rPr>
                  </w:pPr>
                  <w:r>
                    <w:rPr>
                      <w:kern w:val="0"/>
                      <w:szCs w:val="21"/>
                    </w:rPr>
                    <w:t>每季度1次</w:t>
                  </w:r>
                </w:p>
              </w:tc>
              <w:tc>
                <w:tcPr>
                  <w:tcW w:w="1824" w:type="dxa"/>
                  <w:shd w:val="clear" w:color="auto" w:fill="auto"/>
                  <w:vAlign w:val="center"/>
                </w:tcPr>
                <w:p w14:paraId="453CE070">
                  <w:pPr>
                    <w:widowControl/>
                    <w:jc w:val="center"/>
                    <w:rPr>
                      <w:kern w:val="0"/>
                      <w:szCs w:val="21"/>
                    </w:rPr>
                  </w:pPr>
                  <w:r>
                    <w:rPr>
                      <w:kern w:val="0"/>
                      <w:szCs w:val="21"/>
                    </w:rPr>
                    <w:t>《大气污染物综合排放标准》（DB32/4041-2021）表3</w:t>
                  </w:r>
                </w:p>
              </w:tc>
              <w:tc>
                <w:tcPr>
                  <w:tcW w:w="1076" w:type="dxa"/>
                  <w:vMerge w:val="continue"/>
                  <w:vAlign w:val="center"/>
                </w:tcPr>
                <w:p w14:paraId="4B7B13FC">
                  <w:pPr>
                    <w:widowControl/>
                    <w:jc w:val="left"/>
                    <w:rPr>
                      <w:kern w:val="0"/>
                      <w:szCs w:val="21"/>
                    </w:rPr>
                  </w:pPr>
                </w:p>
              </w:tc>
            </w:tr>
          </w:tbl>
          <w:p w14:paraId="4E169465">
            <w:pPr>
              <w:spacing w:line="360" w:lineRule="auto"/>
              <w:jc w:val="left"/>
              <w:rPr>
                <w:b/>
                <w:bCs/>
                <w:szCs w:val="21"/>
              </w:rPr>
            </w:pPr>
            <w:r>
              <w:rPr>
                <w:b/>
                <w:bCs/>
                <w:szCs w:val="21"/>
              </w:rPr>
              <w:t>*</w:t>
            </w:r>
            <w:r>
              <w:rPr>
                <w:szCs w:val="21"/>
              </w:rPr>
              <w:t>监测频次与监测点位可依托现有。</w:t>
            </w:r>
          </w:p>
          <w:p w14:paraId="5347BF7B">
            <w:pPr>
              <w:spacing w:line="360" w:lineRule="auto"/>
              <w:ind w:firstLine="482" w:firstLineChars="200"/>
              <w:jc w:val="left"/>
              <w:rPr>
                <w:b/>
                <w:bCs/>
                <w:sz w:val="24"/>
              </w:rPr>
            </w:pPr>
            <w:r>
              <w:rPr>
                <w:b/>
                <w:bCs/>
                <w:sz w:val="24"/>
              </w:rPr>
              <w:t>（3）非正常工况</w:t>
            </w:r>
          </w:p>
          <w:p w14:paraId="0289B4E5">
            <w:pPr>
              <w:pStyle w:val="56"/>
              <w:spacing w:line="360" w:lineRule="auto"/>
              <w:ind w:firstLine="480" w:firstLineChars="200"/>
              <w:jc w:val="both"/>
              <w:rPr>
                <w:rFonts w:ascii="Times New Roman" w:cs="Times New Roman"/>
                <w:color w:val="auto"/>
              </w:rPr>
            </w:pPr>
            <w:r>
              <w:rPr>
                <w:rFonts w:hint="eastAsia" w:ascii="Times New Roman" w:cs="Times New Roman"/>
                <w:color w:val="auto"/>
              </w:rPr>
              <w:t>根据企业实际生产情况，</w:t>
            </w:r>
            <w:r>
              <w:rPr>
                <w:rFonts w:ascii="Times New Roman" w:cs="Times New Roman"/>
                <w:color w:val="auto"/>
              </w:rPr>
              <w:t>本项目纺丝静电除油设备需要定期保养，保养期间直排，保养周期POY、BEY、涤锦每月1次，每次用时3-4小时，FDY每月2次，每次用时3-4时。</w:t>
            </w:r>
          </w:p>
          <w:p w14:paraId="77ED552F">
            <w:pPr>
              <w:adjustRightInd w:val="0"/>
              <w:snapToGrid w:val="0"/>
              <w:jc w:val="center"/>
              <w:outlineLvl w:val="0"/>
              <w:rPr>
                <w:b/>
                <w:bCs/>
                <w:sz w:val="24"/>
              </w:rPr>
            </w:pPr>
            <w:r>
              <w:rPr>
                <w:b/>
                <w:bCs/>
                <w:sz w:val="24"/>
              </w:rPr>
              <w:t>表4-5 建设项目非正常排放情况表</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741"/>
              <w:gridCol w:w="773"/>
              <w:gridCol w:w="613"/>
              <w:gridCol w:w="798"/>
              <w:gridCol w:w="866"/>
              <w:gridCol w:w="866"/>
              <w:gridCol w:w="865"/>
              <w:gridCol w:w="835"/>
              <w:gridCol w:w="668"/>
              <w:gridCol w:w="509"/>
            </w:tblGrid>
            <w:tr w14:paraId="3001F9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1" w:type="pct"/>
                  <w:vMerge w:val="restart"/>
                  <w:shd w:val="clear" w:color="auto" w:fill="auto"/>
                  <w:noWrap/>
                  <w:vAlign w:val="center"/>
                </w:tcPr>
                <w:p w14:paraId="66E9DB6B">
                  <w:pPr>
                    <w:widowControl/>
                    <w:jc w:val="center"/>
                    <w:rPr>
                      <w:b/>
                      <w:bCs/>
                      <w:kern w:val="0"/>
                      <w:szCs w:val="21"/>
                    </w:rPr>
                  </w:pPr>
                  <w:r>
                    <w:rPr>
                      <w:b/>
                      <w:bCs/>
                      <w:kern w:val="0"/>
                      <w:szCs w:val="21"/>
                    </w:rPr>
                    <w:t>污染源</w:t>
                  </w:r>
                </w:p>
              </w:tc>
              <w:tc>
                <w:tcPr>
                  <w:tcW w:w="430" w:type="pct"/>
                  <w:vMerge w:val="restart"/>
                  <w:shd w:val="clear" w:color="auto" w:fill="auto"/>
                  <w:vAlign w:val="center"/>
                </w:tcPr>
                <w:p w14:paraId="349385A4">
                  <w:pPr>
                    <w:widowControl/>
                    <w:jc w:val="center"/>
                    <w:rPr>
                      <w:b/>
                      <w:bCs/>
                      <w:kern w:val="0"/>
                      <w:szCs w:val="21"/>
                    </w:rPr>
                  </w:pPr>
                  <w:r>
                    <w:rPr>
                      <w:b/>
                      <w:bCs/>
                      <w:kern w:val="0"/>
                      <w:szCs w:val="21"/>
                    </w:rPr>
                    <w:t>废气量m</w:t>
                  </w:r>
                  <w:r>
                    <w:rPr>
                      <w:b/>
                      <w:bCs/>
                      <w:kern w:val="0"/>
                      <w:szCs w:val="21"/>
                      <w:vertAlign w:val="superscript"/>
                    </w:rPr>
                    <w:t>3</w:t>
                  </w:r>
                  <w:r>
                    <w:rPr>
                      <w:b/>
                      <w:bCs/>
                      <w:kern w:val="0"/>
                      <w:szCs w:val="21"/>
                    </w:rPr>
                    <w:t>/h</w:t>
                  </w:r>
                </w:p>
              </w:tc>
              <w:tc>
                <w:tcPr>
                  <w:tcW w:w="460" w:type="pct"/>
                  <w:vMerge w:val="restart"/>
                  <w:shd w:val="clear" w:color="auto" w:fill="auto"/>
                  <w:vAlign w:val="center"/>
                </w:tcPr>
                <w:p w14:paraId="1A7AC264">
                  <w:pPr>
                    <w:widowControl/>
                    <w:jc w:val="center"/>
                    <w:rPr>
                      <w:b/>
                      <w:bCs/>
                      <w:kern w:val="0"/>
                      <w:szCs w:val="21"/>
                    </w:rPr>
                  </w:pPr>
                  <w:r>
                    <w:rPr>
                      <w:b/>
                      <w:bCs/>
                      <w:kern w:val="0"/>
                      <w:szCs w:val="21"/>
                    </w:rPr>
                    <w:t>污染物名称</w:t>
                  </w:r>
                </w:p>
              </w:tc>
              <w:tc>
                <w:tcPr>
                  <w:tcW w:w="795" w:type="pct"/>
                  <w:gridSpan w:val="2"/>
                  <w:shd w:val="clear" w:color="auto" w:fill="auto"/>
                  <w:noWrap/>
                  <w:vAlign w:val="center"/>
                </w:tcPr>
                <w:p w14:paraId="728039B0">
                  <w:pPr>
                    <w:widowControl/>
                    <w:jc w:val="center"/>
                    <w:rPr>
                      <w:b/>
                      <w:bCs/>
                      <w:kern w:val="0"/>
                      <w:szCs w:val="21"/>
                    </w:rPr>
                  </w:pPr>
                  <w:r>
                    <w:rPr>
                      <w:b/>
                      <w:bCs/>
                      <w:kern w:val="0"/>
                      <w:szCs w:val="21"/>
                    </w:rPr>
                    <w:t>排放情况</w:t>
                  </w:r>
                </w:p>
              </w:tc>
              <w:tc>
                <w:tcPr>
                  <w:tcW w:w="1483" w:type="pct"/>
                  <w:gridSpan w:val="3"/>
                  <w:shd w:val="clear" w:color="auto" w:fill="auto"/>
                  <w:noWrap/>
                  <w:vAlign w:val="center"/>
                </w:tcPr>
                <w:p w14:paraId="3C31FA17">
                  <w:pPr>
                    <w:widowControl/>
                    <w:jc w:val="center"/>
                    <w:rPr>
                      <w:b/>
                      <w:bCs/>
                      <w:kern w:val="0"/>
                      <w:szCs w:val="21"/>
                    </w:rPr>
                  </w:pPr>
                  <w:r>
                    <w:rPr>
                      <w:b/>
                      <w:bCs/>
                      <w:kern w:val="0"/>
                      <w:szCs w:val="21"/>
                    </w:rPr>
                    <w:t>排放口基本情况</w:t>
                  </w:r>
                </w:p>
              </w:tc>
              <w:tc>
                <w:tcPr>
                  <w:tcW w:w="484" w:type="pct"/>
                  <w:vMerge w:val="restart"/>
                  <w:shd w:val="clear" w:color="auto" w:fill="auto"/>
                  <w:vAlign w:val="center"/>
                </w:tcPr>
                <w:p w14:paraId="64542696">
                  <w:pPr>
                    <w:widowControl/>
                    <w:jc w:val="center"/>
                    <w:rPr>
                      <w:b/>
                      <w:bCs/>
                      <w:kern w:val="0"/>
                      <w:szCs w:val="21"/>
                    </w:rPr>
                  </w:pPr>
                  <w:r>
                    <w:rPr>
                      <w:b/>
                      <w:bCs/>
                      <w:kern w:val="0"/>
                      <w:szCs w:val="21"/>
                    </w:rPr>
                    <w:t>排气筒编号</w:t>
                  </w:r>
                </w:p>
              </w:tc>
              <w:tc>
                <w:tcPr>
                  <w:tcW w:w="399" w:type="pct"/>
                  <w:vMerge w:val="restart"/>
                  <w:shd w:val="clear" w:color="auto" w:fill="auto"/>
                  <w:vAlign w:val="center"/>
                </w:tcPr>
                <w:p w14:paraId="0B59275B">
                  <w:pPr>
                    <w:widowControl/>
                    <w:jc w:val="center"/>
                    <w:rPr>
                      <w:b/>
                      <w:bCs/>
                      <w:kern w:val="0"/>
                      <w:szCs w:val="21"/>
                    </w:rPr>
                  </w:pPr>
                  <w:r>
                    <w:rPr>
                      <w:b/>
                      <w:bCs/>
                      <w:kern w:val="0"/>
                      <w:szCs w:val="21"/>
                    </w:rPr>
                    <w:t>单次排放时间h</w:t>
                  </w:r>
                </w:p>
              </w:tc>
              <w:tc>
                <w:tcPr>
                  <w:tcW w:w="307" w:type="pct"/>
                  <w:vMerge w:val="restart"/>
                  <w:shd w:val="clear" w:color="auto" w:fill="auto"/>
                  <w:vAlign w:val="center"/>
                </w:tcPr>
                <w:p w14:paraId="76477FE2">
                  <w:pPr>
                    <w:widowControl/>
                    <w:jc w:val="center"/>
                    <w:rPr>
                      <w:b/>
                      <w:bCs/>
                      <w:kern w:val="0"/>
                      <w:szCs w:val="21"/>
                    </w:rPr>
                  </w:pPr>
                  <w:r>
                    <w:rPr>
                      <w:b/>
                      <w:bCs/>
                      <w:kern w:val="0"/>
                      <w:szCs w:val="21"/>
                    </w:rPr>
                    <w:t>年排放次数</w:t>
                  </w:r>
                </w:p>
              </w:tc>
            </w:tr>
            <w:tr w14:paraId="5691F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41" w:type="pct"/>
                  <w:vMerge w:val="continue"/>
                  <w:vAlign w:val="center"/>
                </w:tcPr>
                <w:p w14:paraId="56C54CD8">
                  <w:pPr>
                    <w:widowControl/>
                    <w:jc w:val="left"/>
                    <w:rPr>
                      <w:kern w:val="0"/>
                      <w:szCs w:val="21"/>
                    </w:rPr>
                  </w:pPr>
                </w:p>
              </w:tc>
              <w:tc>
                <w:tcPr>
                  <w:tcW w:w="430" w:type="pct"/>
                  <w:vMerge w:val="continue"/>
                  <w:vAlign w:val="center"/>
                </w:tcPr>
                <w:p w14:paraId="6A21E6D0">
                  <w:pPr>
                    <w:widowControl/>
                    <w:jc w:val="left"/>
                    <w:rPr>
                      <w:kern w:val="0"/>
                      <w:szCs w:val="21"/>
                    </w:rPr>
                  </w:pPr>
                </w:p>
              </w:tc>
              <w:tc>
                <w:tcPr>
                  <w:tcW w:w="460" w:type="pct"/>
                  <w:vMerge w:val="continue"/>
                  <w:vAlign w:val="center"/>
                </w:tcPr>
                <w:p w14:paraId="31A0AC6E">
                  <w:pPr>
                    <w:widowControl/>
                    <w:jc w:val="left"/>
                    <w:rPr>
                      <w:kern w:val="0"/>
                      <w:szCs w:val="21"/>
                    </w:rPr>
                  </w:pPr>
                </w:p>
              </w:tc>
              <w:tc>
                <w:tcPr>
                  <w:tcW w:w="345" w:type="pct"/>
                  <w:shd w:val="clear" w:color="auto" w:fill="auto"/>
                  <w:vAlign w:val="center"/>
                </w:tcPr>
                <w:p w14:paraId="7C03BCE4">
                  <w:pPr>
                    <w:widowControl/>
                    <w:jc w:val="center"/>
                    <w:rPr>
                      <w:b/>
                      <w:bCs/>
                      <w:kern w:val="0"/>
                      <w:szCs w:val="21"/>
                    </w:rPr>
                  </w:pPr>
                  <w:r>
                    <w:rPr>
                      <w:b/>
                      <w:bCs/>
                      <w:kern w:val="0"/>
                      <w:szCs w:val="21"/>
                    </w:rPr>
                    <w:t>排放速率kg/h</w:t>
                  </w:r>
                </w:p>
              </w:tc>
              <w:tc>
                <w:tcPr>
                  <w:tcW w:w="451" w:type="pct"/>
                  <w:shd w:val="clear" w:color="auto" w:fill="auto"/>
                  <w:vAlign w:val="center"/>
                </w:tcPr>
                <w:p w14:paraId="36727B3A">
                  <w:pPr>
                    <w:widowControl/>
                    <w:jc w:val="center"/>
                    <w:rPr>
                      <w:b/>
                      <w:bCs/>
                      <w:kern w:val="0"/>
                      <w:szCs w:val="21"/>
                    </w:rPr>
                  </w:pPr>
                  <w:r>
                    <w:rPr>
                      <w:b/>
                      <w:bCs/>
                      <w:kern w:val="0"/>
                      <w:szCs w:val="21"/>
                    </w:rPr>
                    <w:t>产生浓度mg/m</w:t>
                  </w:r>
                  <w:r>
                    <w:rPr>
                      <w:b/>
                      <w:bCs/>
                      <w:kern w:val="0"/>
                      <w:szCs w:val="21"/>
                      <w:vertAlign w:val="superscript"/>
                    </w:rPr>
                    <w:t>3</w:t>
                  </w:r>
                </w:p>
              </w:tc>
              <w:tc>
                <w:tcPr>
                  <w:tcW w:w="494" w:type="pct"/>
                  <w:shd w:val="clear" w:color="auto" w:fill="auto"/>
                  <w:noWrap/>
                  <w:vAlign w:val="center"/>
                </w:tcPr>
                <w:p w14:paraId="60EE3869">
                  <w:pPr>
                    <w:widowControl/>
                    <w:jc w:val="center"/>
                    <w:rPr>
                      <w:b/>
                      <w:bCs/>
                      <w:kern w:val="0"/>
                      <w:szCs w:val="21"/>
                    </w:rPr>
                  </w:pPr>
                  <w:r>
                    <w:rPr>
                      <w:b/>
                      <w:bCs/>
                      <w:kern w:val="0"/>
                      <w:szCs w:val="21"/>
                    </w:rPr>
                    <w:t>高度m</w:t>
                  </w:r>
                </w:p>
              </w:tc>
              <w:tc>
                <w:tcPr>
                  <w:tcW w:w="494" w:type="pct"/>
                  <w:shd w:val="clear" w:color="auto" w:fill="auto"/>
                  <w:noWrap/>
                  <w:vAlign w:val="center"/>
                </w:tcPr>
                <w:p w14:paraId="2DF6F3E8">
                  <w:pPr>
                    <w:widowControl/>
                    <w:jc w:val="center"/>
                    <w:rPr>
                      <w:b/>
                      <w:bCs/>
                      <w:kern w:val="0"/>
                      <w:szCs w:val="21"/>
                    </w:rPr>
                  </w:pPr>
                  <w:r>
                    <w:rPr>
                      <w:b/>
                      <w:bCs/>
                      <w:kern w:val="0"/>
                      <w:szCs w:val="21"/>
                    </w:rPr>
                    <w:t>内径m</w:t>
                  </w:r>
                </w:p>
              </w:tc>
              <w:tc>
                <w:tcPr>
                  <w:tcW w:w="494" w:type="pct"/>
                  <w:shd w:val="clear" w:color="auto" w:fill="auto"/>
                  <w:noWrap/>
                  <w:vAlign w:val="center"/>
                </w:tcPr>
                <w:p w14:paraId="75F7C400">
                  <w:pPr>
                    <w:widowControl/>
                    <w:jc w:val="center"/>
                    <w:rPr>
                      <w:b/>
                      <w:bCs/>
                      <w:kern w:val="0"/>
                      <w:szCs w:val="21"/>
                    </w:rPr>
                  </w:pPr>
                  <w:r>
                    <w:rPr>
                      <w:b/>
                      <w:bCs/>
                      <w:kern w:val="0"/>
                      <w:szCs w:val="21"/>
                    </w:rPr>
                    <w:t>温度℃</w:t>
                  </w:r>
                </w:p>
              </w:tc>
              <w:tc>
                <w:tcPr>
                  <w:tcW w:w="484" w:type="pct"/>
                  <w:vMerge w:val="continue"/>
                  <w:vAlign w:val="center"/>
                </w:tcPr>
                <w:p w14:paraId="3D272119">
                  <w:pPr>
                    <w:widowControl/>
                    <w:jc w:val="left"/>
                    <w:rPr>
                      <w:kern w:val="0"/>
                      <w:szCs w:val="21"/>
                    </w:rPr>
                  </w:pPr>
                </w:p>
              </w:tc>
              <w:tc>
                <w:tcPr>
                  <w:tcW w:w="399" w:type="pct"/>
                  <w:vMerge w:val="continue"/>
                  <w:vAlign w:val="center"/>
                </w:tcPr>
                <w:p w14:paraId="212D818B">
                  <w:pPr>
                    <w:widowControl/>
                    <w:jc w:val="left"/>
                    <w:rPr>
                      <w:kern w:val="0"/>
                      <w:szCs w:val="21"/>
                    </w:rPr>
                  </w:pPr>
                </w:p>
              </w:tc>
              <w:tc>
                <w:tcPr>
                  <w:tcW w:w="307" w:type="pct"/>
                  <w:vMerge w:val="continue"/>
                  <w:vAlign w:val="center"/>
                </w:tcPr>
                <w:p w14:paraId="69CF7395">
                  <w:pPr>
                    <w:widowControl/>
                    <w:jc w:val="left"/>
                    <w:rPr>
                      <w:kern w:val="0"/>
                      <w:szCs w:val="21"/>
                    </w:rPr>
                  </w:pPr>
                </w:p>
              </w:tc>
            </w:tr>
            <w:tr w14:paraId="7C0C81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641" w:type="pct"/>
                  <w:shd w:val="clear" w:color="auto" w:fill="auto"/>
                  <w:vAlign w:val="center"/>
                </w:tcPr>
                <w:p w14:paraId="39A0520F">
                  <w:pPr>
                    <w:widowControl/>
                    <w:jc w:val="center"/>
                    <w:rPr>
                      <w:kern w:val="0"/>
                      <w:szCs w:val="21"/>
                    </w:rPr>
                  </w:pPr>
                  <w:r>
                    <w:rPr>
                      <w:kern w:val="0"/>
                      <w:szCs w:val="21"/>
                    </w:rPr>
                    <w:t>POY纺丝油气G1-2、BEY纺丝油气G3-2、涤锦纺丝油气G4-2</w:t>
                  </w:r>
                </w:p>
              </w:tc>
              <w:tc>
                <w:tcPr>
                  <w:tcW w:w="430" w:type="pct"/>
                  <w:shd w:val="clear" w:color="auto" w:fill="auto"/>
                  <w:vAlign w:val="center"/>
                </w:tcPr>
                <w:p w14:paraId="5678D400">
                  <w:pPr>
                    <w:widowControl/>
                    <w:jc w:val="center"/>
                    <w:rPr>
                      <w:kern w:val="0"/>
                      <w:szCs w:val="21"/>
                    </w:rPr>
                  </w:pPr>
                  <w:r>
                    <w:rPr>
                      <w:kern w:val="0"/>
                      <w:szCs w:val="21"/>
                    </w:rPr>
                    <w:t>20000</w:t>
                  </w:r>
                </w:p>
              </w:tc>
              <w:tc>
                <w:tcPr>
                  <w:tcW w:w="460" w:type="pct"/>
                  <w:shd w:val="clear" w:color="auto" w:fill="auto"/>
                  <w:vAlign w:val="center"/>
                </w:tcPr>
                <w:p w14:paraId="7469F9EF">
                  <w:pPr>
                    <w:widowControl/>
                    <w:jc w:val="center"/>
                    <w:rPr>
                      <w:kern w:val="0"/>
                      <w:szCs w:val="21"/>
                    </w:rPr>
                  </w:pPr>
                  <w:r>
                    <w:rPr>
                      <w:kern w:val="0"/>
                      <w:szCs w:val="21"/>
                    </w:rPr>
                    <w:t>非甲烷总烃</w:t>
                  </w:r>
                </w:p>
              </w:tc>
              <w:tc>
                <w:tcPr>
                  <w:tcW w:w="345" w:type="pct"/>
                  <w:shd w:val="clear" w:color="auto" w:fill="auto"/>
                  <w:vAlign w:val="center"/>
                </w:tcPr>
                <w:p w14:paraId="20A64248">
                  <w:pPr>
                    <w:widowControl/>
                    <w:jc w:val="center"/>
                    <w:rPr>
                      <w:kern w:val="0"/>
                      <w:szCs w:val="21"/>
                    </w:rPr>
                  </w:pPr>
                  <w:r>
                    <w:rPr>
                      <w:kern w:val="0"/>
                      <w:szCs w:val="21"/>
                    </w:rPr>
                    <w:t>0.92</w:t>
                  </w:r>
                </w:p>
              </w:tc>
              <w:tc>
                <w:tcPr>
                  <w:tcW w:w="451" w:type="pct"/>
                  <w:shd w:val="clear" w:color="auto" w:fill="auto"/>
                  <w:vAlign w:val="center"/>
                </w:tcPr>
                <w:p w14:paraId="254992C2">
                  <w:pPr>
                    <w:widowControl/>
                    <w:jc w:val="center"/>
                    <w:rPr>
                      <w:kern w:val="0"/>
                      <w:szCs w:val="21"/>
                    </w:rPr>
                  </w:pPr>
                  <w:r>
                    <w:rPr>
                      <w:kern w:val="0"/>
                      <w:szCs w:val="21"/>
                    </w:rPr>
                    <w:t>46</w:t>
                  </w:r>
                </w:p>
              </w:tc>
              <w:tc>
                <w:tcPr>
                  <w:tcW w:w="494" w:type="pct"/>
                  <w:shd w:val="clear" w:color="auto" w:fill="auto"/>
                  <w:noWrap/>
                  <w:vAlign w:val="center"/>
                </w:tcPr>
                <w:p w14:paraId="128FE4B6">
                  <w:pPr>
                    <w:widowControl/>
                    <w:jc w:val="center"/>
                    <w:rPr>
                      <w:kern w:val="0"/>
                      <w:szCs w:val="21"/>
                    </w:rPr>
                  </w:pPr>
                  <w:r>
                    <w:rPr>
                      <w:kern w:val="0"/>
                      <w:szCs w:val="21"/>
                    </w:rPr>
                    <w:t>26</w:t>
                  </w:r>
                </w:p>
              </w:tc>
              <w:tc>
                <w:tcPr>
                  <w:tcW w:w="494" w:type="pct"/>
                  <w:shd w:val="clear" w:color="auto" w:fill="auto"/>
                  <w:noWrap/>
                  <w:vAlign w:val="center"/>
                </w:tcPr>
                <w:p w14:paraId="3545D17D">
                  <w:pPr>
                    <w:widowControl/>
                    <w:jc w:val="center"/>
                    <w:rPr>
                      <w:kern w:val="0"/>
                      <w:szCs w:val="21"/>
                    </w:rPr>
                  </w:pPr>
                  <w:r>
                    <w:rPr>
                      <w:kern w:val="0"/>
                      <w:szCs w:val="21"/>
                    </w:rPr>
                    <w:t>1</w:t>
                  </w:r>
                </w:p>
              </w:tc>
              <w:tc>
                <w:tcPr>
                  <w:tcW w:w="494" w:type="pct"/>
                  <w:shd w:val="clear" w:color="auto" w:fill="auto"/>
                  <w:noWrap/>
                  <w:vAlign w:val="center"/>
                </w:tcPr>
                <w:p w14:paraId="52828B2A">
                  <w:pPr>
                    <w:widowControl/>
                    <w:jc w:val="center"/>
                    <w:rPr>
                      <w:kern w:val="0"/>
                      <w:szCs w:val="21"/>
                    </w:rPr>
                  </w:pPr>
                  <w:r>
                    <w:rPr>
                      <w:kern w:val="0"/>
                      <w:szCs w:val="21"/>
                    </w:rPr>
                    <w:t>25</w:t>
                  </w:r>
                </w:p>
              </w:tc>
              <w:tc>
                <w:tcPr>
                  <w:tcW w:w="484" w:type="pct"/>
                  <w:shd w:val="clear" w:color="auto" w:fill="auto"/>
                  <w:noWrap/>
                  <w:vAlign w:val="center"/>
                </w:tcPr>
                <w:p w14:paraId="7521B387">
                  <w:pPr>
                    <w:widowControl/>
                    <w:jc w:val="center"/>
                    <w:rPr>
                      <w:kern w:val="0"/>
                      <w:szCs w:val="21"/>
                    </w:rPr>
                  </w:pPr>
                  <w:r>
                    <w:rPr>
                      <w:kern w:val="0"/>
                      <w:szCs w:val="21"/>
                    </w:rPr>
                    <w:t>DA013</w:t>
                  </w:r>
                </w:p>
              </w:tc>
              <w:tc>
                <w:tcPr>
                  <w:tcW w:w="399" w:type="pct"/>
                  <w:shd w:val="clear" w:color="auto" w:fill="auto"/>
                  <w:noWrap/>
                  <w:vAlign w:val="center"/>
                </w:tcPr>
                <w:p w14:paraId="28F14A1D">
                  <w:pPr>
                    <w:widowControl/>
                    <w:jc w:val="center"/>
                    <w:rPr>
                      <w:kern w:val="0"/>
                      <w:szCs w:val="21"/>
                    </w:rPr>
                  </w:pPr>
                  <w:r>
                    <w:rPr>
                      <w:kern w:val="0"/>
                      <w:szCs w:val="21"/>
                    </w:rPr>
                    <w:t>3-4</w:t>
                  </w:r>
                </w:p>
              </w:tc>
              <w:tc>
                <w:tcPr>
                  <w:tcW w:w="307" w:type="pct"/>
                  <w:shd w:val="clear" w:color="auto" w:fill="auto"/>
                  <w:noWrap/>
                  <w:vAlign w:val="center"/>
                </w:tcPr>
                <w:p w14:paraId="4BB50EFB">
                  <w:pPr>
                    <w:widowControl/>
                    <w:jc w:val="center"/>
                    <w:rPr>
                      <w:kern w:val="0"/>
                      <w:szCs w:val="21"/>
                    </w:rPr>
                  </w:pPr>
                  <w:r>
                    <w:rPr>
                      <w:kern w:val="0"/>
                      <w:szCs w:val="21"/>
                    </w:rPr>
                    <w:t>12</w:t>
                  </w:r>
                </w:p>
              </w:tc>
            </w:tr>
            <w:tr w14:paraId="76E56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41" w:type="pct"/>
                  <w:shd w:val="clear" w:color="auto" w:fill="auto"/>
                  <w:vAlign w:val="center"/>
                </w:tcPr>
                <w:p w14:paraId="06DEA420">
                  <w:pPr>
                    <w:widowControl/>
                    <w:jc w:val="center"/>
                    <w:rPr>
                      <w:kern w:val="0"/>
                      <w:szCs w:val="21"/>
                    </w:rPr>
                  </w:pPr>
                  <w:r>
                    <w:rPr>
                      <w:kern w:val="0"/>
                      <w:szCs w:val="21"/>
                    </w:rPr>
                    <w:t>FDY纺丝油气G2-2</w:t>
                  </w:r>
                </w:p>
              </w:tc>
              <w:tc>
                <w:tcPr>
                  <w:tcW w:w="430" w:type="pct"/>
                  <w:shd w:val="clear" w:color="auto" w:fill="auto"/>
                  <w:vAlign w:val="center"/>
                </w:tcPr>
                <w:p w14:paraId="264B12F4">
                  <w:pPr>
                    <w:widowControl/>
                    <w:jc w:val="center"/>
                    <w:rPr>
                      <w:kern w:val="0"/>
                      <w:szCs w:val="21"/>
                    </w:rPr>
                  </w:pPr>
                  <w:r>
                    <w:rPr>
                      <w:kern w:val="0"/>
                      <w:szCs w:val="21"/>
                    </w:rPr>
                    <w:t>25000</w:t>
                  </w:r>
                </w:p>
              </w:tc>
              <w:tc>
                <w:tcPr>
                  <w:tcW w:w="460" w:type="pct"/>
                  <w:shd w:val="clear" w:color="auto" w:fill="auto"/>
                  <w:vAlign w:val="center"/>
                </w:tcPr>
                <w:p w14:paraId="2922DE61">
                  <w:pPr>
                    <w:widowControl/>
                    <w:jc w:val="center"/>
                    <w:rPr>
                      <w:kern w:val="0"/>
                      <w:szCs w:val="21"/>
                    </w:rPr>
                  </w:pPr>
                  <w:r>
                    <w:rPr>
                      <w:kern w:val="0"/>
                      <w:szCs w:val="21"/>
                    </w:rPr>
                    <w:t>非甲烷总烃</w:t>
                  </w:r>
                </w:p>
              </w:tc>
              <w:tc>
                <w:tcPr>
                  <w:tcW w:w="345" w:type="pct"/>
                  <w:shd w:val="clear" w:color="auto" w:fill="auto"/>
                  <w:vAlign w:val="center"/>
                </w:tcPr>
                <w:p w14:paraId="39B9EA82">
                  <w:pPr>
                    <w:widowControl/>
                    <w:jc w:val="center"/>
                    <w:rPr>
                      <w:kern w:val="0"/>
                      <w:szCs w:val="21"/>
                    </w:rPr>
                  </w:pPr>
                  <w:r>
                    <w:rPr>
                      <w:rFonts w:eastAsiaTheme="majorEastAsia"/>
                      <w:kern w:val="0"/>
                      <w:szCs w:val="21"/>
                    </w:rPr>
                    <w:t xml:space="preserve">0.81 </w:t>
                  </w:r>
                </w:p>
              </w:tc>
              <w:tc>
                <w:tcPr>
                  <w:tcW w:w="451" w:type="pct"/>
                  <w:shd w:val="clear" w:color="auto" w:fill="auto"/>
                  <w:vAlign w:val="center"/>
                </w:tcPr>
                <w:p w14:paraId="2C664AB4">
                  <w:pPr>
                    <w:widowControl/>
                    <w:jc w:val="center"/>
                    <w:rPr>
                      <w:kern w:val="0"/>
                      <w:szCs w:val="21"/>
                    </w:rPr>
                  </w:pPr>
                  <w:r>
                    <w:rPr>
                      <w:rFonts w:eastAsiaTheme="majorEastAsia"/>
                      <w:kern w:val="0"/>
                      <w:szCs w:val="21"/>
                    </w:rPr>
                    <w:t xml:space="preserve">32.40 </w:t>
                  </w:r>
                </w:p>
              </w:tc>
              <w:tc>
                <w:tcPr>
                  <w:tcW w:w="494" w:type="pct"/>
                  <w:shd w:val="clear" w:color="auto" w:fill="auto"/>
                  <w:noWrap/>
                  <w:vAlign w:val="center"/>
                </w:tcPr>
                <w:p w14:paraId="6B4CAE2F">
                  <w:pPr>
                    <w:widowControl/>
                    <w:jc w:val="center"/>
                    <w:rPr>
                      <w:kern w:val="0"/>
                      <w:szCs w:val="21"/>
                    </w:rPr>
                  </w:pPr>
                  <w:r>
                    <w:rPr>
                      <w:kern w:val="0"/>
                      <w:szCs w:val="21"/>
                    </w:rPr>
                    <w:t>26</w:t>
                  </w:r>
                </w:p>
              </w:tc>
              <w:tc>
                <w:tcPr>
                  <w:tcW w:w="494" w:type="pct"/>
                  <w:shd w:val="clear" w:color="auto" w:fill="auto"/>
                  <w:noWrap/>
                  <w:vAlign w:val="center"/>
                </w:tcPr>
                <w:p w14:paraId="77C33642">
                  <w:pPr>
                    <w:widowControl/>
                    <w:jc w:val="center"/>
                    <w:rPr>
                      <w:kern w:val="0"/>
                      <w:szCs w:val="21"/>
                    </w:rPr>
                  </w:pPr>
                  <w:r>
                    <w:rPr>
                      <w:kern w:val="0"/>
                      <w:szCs w:val="21"/>
                    </w:rPr>
                    <w:t>1</w:t>
                  </w:r>
                </w:p>
              </w:tc>
              <w:tc>
                <w:tcPr>
                  <w:tcW w:w="494" w:type="pct"/>
                  <w:shd w:val="clear" w:color="auto" w:fill="auto"/>
                  <w:noWrap/>
                  <w:vAlign w:val="center"/>
                </w:tcPr>
                <w:p w14:paraId="1705857B">
                  <w:pPr>
                    <w:widowControl/>
                    <w:jc w:val="center"/>
                    <w:rPr>
                      <w:kern w:val="0"/>
                      <w:szCs w:val="21"/>
                    </w:rPr>
                  </w:pPr>
                  <w:r>
                    <w:rPr>
                      <w:kern w:val="0"/>
                      <w:szCs w:val="21"/>
                    </w:rPr>
                    <w:t>25</w:t>
                  </w:r>
                </w:p>
              </w:tc>
              <w:tc>
                <w:tcPr>
                  <w:tcW w:w="484" w:type="pct"/>
                  <w:shd w:val="clear" w:color="auto" w:fill="auto"/>
                  <w:noWrap/>
                  <w:vAlign w:val="center"/>
                </w:tcPr>
                <w:p w14:paraId="49DE6AC4">
                  <w:pPr>
                    <w:widowControl/>
                    <w:jc w:val="center"/>
                    <w:rPr>
                      <w:kern w:val="0"/>
                      <w:szCs w:val="21"/>
                    </w:rPr>
                  </w:pPr>
                  <w:r>
                    <w:rPr>
                      <w:kern w:val="0"/>
                      <w:szCs w:val="21"/>
                    </w:rPr>
                    <w:t>DA014</w:t>
                  </w:r>
                </w:p>
              </w:tc>
              <w:tc>
                <w:tcPr>
                  <w:tcW w:w="399" w:type="pct"/>
                  <w:shd w:val="clear" w:color="auto" w:fill="auto"/>
                  <w:noWrap/>
                  <w:vAlign w:val="center"/>
                </w:tcPr>
                <w:p w14:paraId="74B2CC0C">
                  <w:pPr>
                    <w:widowControl/>
                    <w:jc w:val="center"/>
                    <w:rPr>
                      <w:kern w:val="0"/>
                      <w:szCs w:val="21"/>
                    </w:rPr>
                  </w:pPr>
                  <w:r>
                    <w:rPr>
                      <w:kern w:val="0"/>
                      <w:szCs w:val="21"/>
                    </w:rPr>
                    <w:t>3-4</w:t>
                  </w:r>
                </w:p>
              </w:tc>
              <w:tc>
                <w:tcPr>
                  <w:tcW w:w="307" w:type="pct"/>
                  <w:shd w:val="clear" w:color="auto" w:fill="auto"/>
                  <w:noWrap/>
                  <w:vAlign w:val="center"/>
                </w:tcPr>
                <w:p w14:paraId="0A4AE951">
                  <w:pPr>
                    <w:widowControl/>
                    <w:jc w:val="center"/>
                    <w:rPr>
                      <w:kern w:val="0"/>
                      <w:szCs w:val="21"/>
                    </w:rPr>
                  </w:pPr>
                  <w:r>
                    <w:rPr>
                      <w:kern w:val="0"/>
                      <w:szCs w:val="21"/>
                    </w:rPr>
                    <w:t>24</w:t>
                  </w:r>
                </w:p>
              </w:tc>
            </w:tr>
          </w:tbl>
          <w:p w14:paraId="5A8A78B6">
            <w:pPr>
              <w:pStyle w:val="56"/>
              <w:spacing w:line="500" w:lineRule="exact"/>
              <w:ind w:firstLine="482" w:firstLineChars="200"/>
              <w:rPr>
                <w:rFonts w:ascii="Times New Roman" w:cs="Times New Roman"/>
                <w:b/>
                <w:bCs/>
                <w:color w:val="auto"/>
              </w:rPr>
            </w:pPr>
            <w:r>
              <w:rPr>
                <w:rFonts w:ascii="Times New Roman" w:cs="Times New Roman"/>
                <w:b/>
                <w:bCs/>
                <w:color w:val="auto"/>
              </w:rPr>
              <w:t>（4）防治措施分析</w:t>
            </w:r>
          </w:p>
          <w:p w14:paraId="0D45D256">
            <w:pPr>
              <w:pStyle w:val="56"/>
              <w:spacing w:line="500" w:lineRule="exact"/>
              <w:ind w:firstLine="480" w:firstLineChars="200"/>
              <w:jc w:val="both"/>
              <w:rPr>
                <w:rFonts w:ascii="Times New Roman" w:cs="Times New Roman"/>
                <w:color w:val="auto"/>
              </w:rPr>
            </w:pPr>
            <w:r>
              <w:rPr>
                <w:rFonts w:ascii="Times New Roman" w:cs="Times New Roman"/>
                <w:color w:val="auto"/>
              </w:rPr>
              <w:t>本项目纺丝油气采用静电除油的废气处理工艺，处理达标后经各自排气筒排放。静电式油气分离装置工作原理为：有机废气通过风机引致冷却装置内，经过自然冷却到60℃左右使烘干的有机废气变成雾状甚至液体，再进入竖立的净化管，雾状的废气碰到净化管会变成液体顺管而下，从而达到初步净化的效果。经过初级净化的废气进入静电净化装置，通过电极释放高达200mA~300mA的强大电流，使气体电离放出电子，同时在电场力的作用下向两极移动。终吸附在极板上形成液体，靠自重力流入底部的收集槽内回收。该装置具有处理风量大，体积小，释放电流高（高可达300mA），净化效果更佳等特点。</w:t>
            </w:r>
          </w:p>
          <w:p w14:paraId="4AA2D627">
            <w:pPr>
              <w:pStyle w:val="56"/>
              <w:spacing w:line="500" w:lineRule="exact"/>
              <w:ind w:firstLine="480" w:firstLineChars="200"/>
              <w:jc w:val="both"/>
              <w:rPr>
                <w:rFonts w:ascii="Times New Roman" w:cs="Times New Roman"/>
                <w:color w:val="auto"/>
              </w:rPr>
            </w:pPr>
            <w:r>
              <w:rPr>
                <w:rFonts w:ascii="Times New Roman" w:cs="Times New Roman"/>
                <w:color w:val="auto"/>
              </w:rPr>
              <w:t>根据《关于印发江苏省重点行业挥发性有机物污染控制指南的通知》（苏环办</w:t>
            </w:r>
            <w:bookmarkStart w:id="45" w:name="OLE_LINK31"/>
            <w:r>
              <w:rPr>
                <w:rFonts w:ascii="Times New Roman" w:cs="Times New Roman"/>
                <w:color w:val="auto"/>
              </w:rPr>
              <w:t>[2014]128号</w:t>
            </w:r>
            <w:bookmarkEnd w:id="45"/>
            <w:r>
              <w:rPr>
                <w:rFonts w:ascii="Times New Roman" w:cs="Times New Roman"/>
                <w:color w:val="auto"/>
              </w:rPr>
              <w:t>）的要求，</w:t>
            </w:r>
            <w:r>
              <w:rPr>
                <w:rFonts w:hint="eastAsia" w:ascii="Times New Roman" w:cs="Times New Roman"/>
                <w:color w:val="auto"/>
              </w:rPr>
              <w:t>鼓励对排放的 VOCs 进行回收利用，并优先在生产系统内回用。对浓度、性状差异较大的废气应分类收集，并采用适宜的方式进行有效处理，确保 VOCs 总去除率满足管理要求，</w:t>
            </w:r>
            <w:r>
              <w:rPr>
                <w:rFonts w:hint="eastAsia" w:ascii="Times New Roman" w:cs="Times New Roman"/>
                <w:b/>
                <w:bCs/>
                <w:color w:val="auto"/>
              </w:rPr>
              <w:t>其中有机化工、医药化工、橡胶和塑料制品(有溶剂浸胶工艺)、溶剂型涂料表面涂装、包装印刷业的 VOCs 总收集、净化处理率均不低于 90%，其他行业原则上不低于 75%。</w:t>
            </w:r>
            <w:r>
              <w:rPr>
                <w:rFonts w:ascii="Times New Roman" w:cs="Times New Roman"/>
                <w:b/>
                <w:bCs/>
                <w:color w:val="auto"/>
              </w:rPr>
              <w:t>FDY纺丝上油、加热、牵引拉伸等环节的油剂废气宜采用机械净化与吸收技术或高压静电除尘等组合工艺净化后达标排放，处理设施净化效率不低于80%</w:t>
            </w:r>
            <w:r>
              <w:rPr>
                <w:rFonts w:hint="eastAsia" w:ascii="Times New Roman" w:cs="Times New Roman"/>
                <w:b/>
                <w:bCs/>
                <w:color w:val="auto"/>
              </w:rPr>
              <w:t>。</w:t>
            </w:r>
            <w:r>
              <w:rPr>
                <w:rFonts w:ascii="Times New Roman" w:cs="Times New Roman"/>
                <w:color w:val="auto"/>
              </w:rPr>
              <w:t>本项目油剂废气选取的处理工艺符合文件要求。目前，盛虹集团江苏港虹纤维有限公司现有项目均采用静电式油气分离装置处理纺丝油剂废气，根据江苏港虹纤维有限公司现有“年产差别化化学纤维20万吨项目”竣工环保验收报告中的监测结果，纺丝车间油剂废气（VOCs）出口浓度范围在0.572~1.14mg/m</w:t>
            </w:r>
            <w:r>
              <w:rPr>
                <w:rFonts w:ascii="Times New Roman" w:cs="Times New Roman"/>
                <w:color w:val="auto"/>
                <w:vertAlign w:val="superscript"/>
              </w:rPr>
              <w:t>3</w:t>
            </w:r>
            <w:r>
              <w:rPr>
                <w:rFonts w:ascii="Times New Roman" w:cs="Times New Roman"/>
                <w:color w:val="auto"/>
              </w:rPr>
              <w:t>之间，远低于标准限值60 mg/m</w:t>
            </w:r>
            <w:r>
              <w:rPr>
                <w:rFonts w:ascii="Times New Roman" w:cs="Times New Roman"/>
                <w:color w:val="auto"/>
                <w:vertAlign w:val="superscript"/>
              </w:rPr>
              <w:t>3</w:t>
            </w:r>
            <w:r>
              <w:rPr>
                <w:rFonts w:ascii="Times New Roman" w:cs="Times New Roman"/>
                <w:color w:val="auto"/>
              </w:rPr>
              <w:t>，能够稳定达标排放。</w:t>
            </w:r>
          </w:p>
          <w:p w14:paraId="63FE76C0">
            <w:pPr>
              <w:pStyle w:val="56"/>
              <w:spacing w:line="500" w:lineRule="exact"/>
              <w:ind w:firstLine="480" w:firstLineChars="200"/>
              <w:jc w:val="both"/>
              <w:rPr>
                <w:rFonts w:ascii="Times New Roman" w:cs="Times New Roman"/>
                <w:color w:val="auto"/>
              </w:rPr>
            </w:pPr>
            <w:r>
              <w:rPr>
                <w:rFonts w:ascii="Times New Roman" w:cs="Times New Roman"/>
                <w:color w:val="auto"/>
              </w:rPr>
              <w:t>本项目切片结晶干燥废气采用“旋风除尘+袋式除尘”处理方式。拟在结晶干燥系统出气口设置管道进行收集，设备自带旋风分离器，使得大颗粒经过分离后自动掉落入干燥系统，少量小粒径粉尘随气流进入布袋除尘器，尾气经布袋除尘处理后高空排放，去除率能够达到99%。类比同类工程（江苏桐昆恒阳化纤有限公司年产30万吨循环再生纤维绿色制造工程项目），项目采用的工艺能够实现稳定达标排放。</w:t>
            </w:r>
          </w:p>
          <w:p w14:paraId="341E82C3">
            <w:pPr>
              <w:pStyle w:val="56"/>
              <w:spacing w:line="500" w:lineRule="exact"/>
              <w:ind w:firstLine="480" w:firstLineChars="200"/>
              <w:jc w:val="both"/>
              <w:rPr>
                <w:rFonts w:ascii="Times New Roman" w:cs="Times New Roman"/>
                <w:color w:val="auto"/>
              </w:rPr>
            </w:pPr>
            <w:r>
              <w:rPr>
                <w:rFonts w:ascii="Times New Roman" w:cs="Times New Roman"/>
                <w:color w:val="auto"/>
              </w:rPr>
              <w:t>本项目废丝回收废气采用“油烟净化”（湿式除尘+高压静电除油）工艺，类比同类工程案例（张家港市明宏化纤机械厂涤纶废丝回收加工 3000 吨扩建项目），项目采用的工艺能够实现达标排放。</w:t>
            </w:r>
          </w:p>
          <w:p w14:paraId="0620A015">
            <w:pPr>
              <w:pStyle w:val="56"/>
              <w:spacing w:line="500" w:lineRule="exact"/>
              <w:ind w:firstLine="480" w:firstLineChars="200"/>
              <w:jc w:val="both"/>
              <w:rPr>
                <w:rFonts w:ascii="Times New Roman" w:cs="Times New Roman"/>
                <w:color w:val="auto"/>
              </w:rPr>
            </w:pPr>
          </w:p>
          <w:p w14:paraId="118B329B">
            <w:pPr>
              <w:pStyle w:val="56"/>
              <w:spacing w:line="500" w:lineRule="exact"/>
              <w:ind w:firstLine="480" w:firstLineChars="200"/>
              <w:jc w:val="both"/>
              <w:rPr>
                <w:rFonts w:ascii="Times New Roman" w:cs="Times New Roman"/>
                <w:color w:val="auto"/>
              </w:rPr>
            </w:pPr>
            <w:r>
              <w:rPr>
                <w:rFonts w:ascii="Times New Roman" w:cs="Times New Roman"/>
                <w:color w:val="auto"/>
              </w:rPr>
              <w:t>综上所述，项目废气处理具有可行性。</w:t>
            </w:r>
          </w:p>
          <w:p w14:paraId="24212DE4">
            <w:pPr>
              <w:pStyle w:val="56"/>
              <w:spacing w:line="500" w:lineRule="exact"/>
              <w:ind w:firstLine="482" w:firstLineChars="200"/>
              <w:rPr>
                <w:rFonts w:ascii="Times New Roman" w:cs="Times New Roman"/>
                <w:b/>
                <w:bCs/>
                <w:color w:val="auto"/>
              </w:rPr>
            </w:pPr>
            <w:r>
              <w:rPr>
                <w:rFonts w:ascii="Times New Roman" w:cs="Times New Roman"/>
                <w:b/>
                <w:bCs/>
                <w:color w:val="auto"/>
              </w:rPr>
              <w:t>（5）大气环境影响分析</w:t>
            </w:r>
          </w:p>
          <w:p w14:paraId="27EA458B">
            <w:pPr>
              <w:spacing w:line="500" w:lineRule="exact"/>
              <w:ind w:firstLine="480" w:firstLineChars="200"/>
              <w:rPr>
                <w:sz w:val="24"/>
              </w:rPr>
            </w:pPr>
            <w:r>
              <w:rPr>
                <w:sz w:val="24"/>
              </w:rPr>
              <w:t>本项目各排气筒废气排放均能达到相应标准要求，且废气处理具有可行性。因此，建设项目各废气污染物达标排放，对周围大气环境影响较小。</w:t>
            </w:r>
          </w:p>
          <w:p w14:paraId="617AA46F">
            <w:pPr>
              <w:spacing w:line="500" w:lineRule="exact"/>
              <w:ind w:firstLine="482" w:firstLineChars="200"/>
              <w:contextualSpacing/>
              <w:jc w:val="left"/>
              <w:rPr>
                <w:b/>
                <w:bCs/>
                <w:sz w:val="24"/>
              </w:rPr>
            </w:pPr>
            <w:r>
              <w:rPr>
                <w:b/>
                <w:bCs/>
                <w:sz w:val="24"/>
              </w:rPr>
              <w:t>2、废水</w:t>
            </w:r>
          </w:p>
          <w:p w14:paraId="39032658">
            <w:pPr>
              <w:pStyle w:val="56"/>
              <w:spacing w:line="500" w:lineRule="exact"/>
              <w:ind w:firstLine="480" w:firstLineChars="200"/>
              <w:jc w:val="both"/>
              <w:rPr>
                <w:rFonts w:ascii="Times New Roman" w:cs="Times New Roman"/>
                <w:color w:val="auto"/>
              </w:rPr>
            </w:pPr>
            <w:r>
              <w:rPr>
                <w:rFonts w:ascii="Times New Roman" w:cs="Times New Roman"/>
                <w:color w:val="auto"/>
              </w:rPr>
              <w:t>本项目在厂区内扩建，不涉及工艺废水新增。新增的纺丝组件清洗（含锑）废水W1、纺丝组件清洗废水W2、油烟净化装置冲洗废水W3，</w:t>
            </w:r>
            <w:r>
              <w:rPr>
                <w:rFonts w:ascii="Times New Roman" w:cs="Times New Roman"/>
                <w:b/>
                <w:bCs/>
                <w:color w:val="auto"/>
              </w:rPr>
              <w:t>并且在原《国望高科纤维（宿迁）有限公司年产300万吨智能化、超仿真功能性纤维项目》中评价，本次仅计算产生排放情况，本次虽然纺丝类型及产能有变化，但仍在纺丝组件运行的弹性负荷内，纺丝组件数量及清洗频次不变，因此纺丝部分废水不变</w:t>
            </w:r>
            <w:r>
              <w:rPr>
                <w:rFonts w:ascii="Times New Roman" w:cs="Times New Roman"/>
                <w:color w:val="auto"/>
              </w:rPr>
              <w:t>。此外，本项目在现有厂区内扩建，初期雨水不重复计算。本项目员工定员在现有一期项目内，故不重复计算生活污水及食堂废水。</w:t>
            </w:r>
          </w:p>
          <w:p w14:paraId="48E2C6A6">
            <w:pPr>
              <w:pStyle w:val="56"/>
              <w:spacing w:line="500" w:lineRule="exact"/>
              <w:ind w:firstLine="480" w:firstLineChars="200"/>
              <w:jc w:val="both"/>
              <w:rPr>
                <w:rFonts w:ascii="Times New Roman" w:cs="Times New Roman"/>
                <w:color w:val="auto"/>
              </w:rPr>
            </w:pPr>
            <w:r>
              <w:rPr>
                <w:rFonts w:ascii="Times New Roman" w:cs="Times New Roman"/>
                <w:color w:val="auto"/>
              </w:rPr>
              <w:t>对照已批且本次替代的50万吨纺丝废水产生情况，本次扩建55万吨纺丝废水无变化，具体变化情况如下表。</w:t>
            </w:r>
          </w:p>
          <w:p w14:paraId="3EEBAF7D">
            <w:pPr>
              <w:pStyle w:val="56"/>
              <w:spacing w:line="500" w:lineRule="exact"/>
              <w:jc w:val="center"/>
              <w:rPr>
                <w:rFonts w:ascii="Times New Roman" w:cs="Times New Roman"/>
                <w:b/>
                <w:bCs/>
                <w:color w:val="auto"/>
              </w:rPr>
            </w:pPr>
            <w:r>
              <w:rPr>
                <w:rFonts w:ascii="Times New Roman" w:cs="Times New Roman"/>
                <w:b/>
                <w:bCs/>
                <w:color w:val="auto"/>
              </w:rPr>
              <w:t>表4-6 废水变化情况</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2125"/>
              <w:gridCol w:w="2031"/>
              <w:gridCol w:w="1567"/>
              <w:gridCol w:w="1886"/>
            </w:tblGrid>
            <w:tr w14:paraId="41EB63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586" w:type="pct"/>
                  <w:shd w:val="clear" w:color="auto" w:fill="auto"/>
                  <w:noWrap/>
                  <w:vAlign w:val="center"/>
                </w:tcPr>
                <w:p w14:paraId="72B81870">
                  <w:pPr>
                    <w:widowControl/>
                    <w:jc w:val="center"/>
                    <w:rPr>
                      <w:b/>
                      <w:bCs/>
                      <w:kern w:val="0"/>
                      <w:szCs w:val="21"/>
                    </w:rPr>
                  </w:pPr>
                  <w:r>
                    <w:rPr>
                      <w:b/>
                      <w:bCs/>
                      <w:kern w:val="0"/>
                      <w:szCs w:val="21"/>
                    </w:rPr>
                    <w:t>序号</w:t>
                  </w:r>
                </w:p>
              </w:tc>
              <w:tc>
                <w:tcPr>
                  <w:tcW w:w="1233" w:type="pct"/>
                  <w:shd w:val="clear" w:color="auto" w:fill="auto"/>
                  <w:noWrap/>
                  <w:vAlign w:val="center"/>
                </w:tcPr>
                <w:p w14:paraId="1B8E6C36">
                  <w:pPr>
                    <w:widowControl/>
                    <w:jc w:val="center"/>
                    <w:rPr>
                      <w:b/>
                      <w:bCs/>
                      <w:kern w:val="0"/>
                      <w:szCs w:val="21"/>
                    </w:rPr>
                  </w:pPr>
                  <w:r>
                    <w:rPr>
                      <w:b/>
                      <w:bCs/>
                      <w:kern w:val="0"/>
                      <w:szCs w:val="21"/>
                    </w:rPr>
                    <w:t>废水类别</w:t>
                  </w:r>
                </w:p>
              </w:tc>
              <w:tc>
                <w:tcPr>
                  <w:tcW w:w="1178" w:type="pct"/>
                  <w:shd w:val="clear" w:color="auto" w:fill="auto"/>
                  <w:vAlign w:val="center"/>
                </w:tcPr>
                <w:p w14:paraId="41DA2045">
                  <w:pPr>
                    <w:widowControl/>
                    <w:jc w:val="center"/>
                    <w:rPr>
                      <w:b/>
                      <w:bCs/>
                      <w:kern w:val="0"/>
                      <w:szCs w:val="21"/>
                    </w:rPr>
                  </w:pPr>
                  <w:r>
                    <w:rPr>
                      <w:b/>
                      <w:bCs/>
                      <w:kern w:val="0"/>
                      <w:szCs w:val="21"/>
                    </w:rPr>
                    <w:t>扩建前一期项目50万吨熔体直纺废水量（t/a)</w:t>
                  </w:r>
                </w:p>
              </w:tc>
              <w:tc>
                <w:tcPr>
                  <w:tcW w:w="909" w:type="pct"/>
                  <w:shd w:val="clear" w:color="auto" w:fill="auto"/>
                  <w:vAlign w:val="center"/>
                </w:tcPr>
                <w:p w14:paraId="6814C9EF">
                  <w:pPr>
                    <w:widowControl/>
                    <w:jc w:val="center"/>
                    <w:rPr>
                      <w:b/>
                      <w:bCs/>
                      <w:kern w:val="0"/>
                      <w:szCs w:val="21"/>
                    </w:rPr>
                  </w:pPr>
                  <w:r>
                    <w:rPr>
                      <w:b/>
                      <w:bCs/>
                      <w:kern w:val="0"/>
                      <w:szCs w:val="21"/>
                    </w:rPr>
                    <w:t>本项目(t/a)</w:t>
                  </w:r>
                </w:p>
              </w:tc>
              <w:tc>
                <w:tcPr>
                  <w:tcW w:w="1094" w:type="pct"/>
                  <w:shd w:val="clear" w:color="auto" w:fill="auto"/>
                  <w:noWrap/>
                  <w:vAlign w:val="center"/>
                </w:tcPr>
                <w:p w14:paraId="0093D1FC">
                  <w:pPr>
                    <w:widowControl/>
                    <w:jc w:val="center"/>
                    <w:rPr>
                      <w:b/>
                      <w:bCs/>
                      <w:kern w:val="0"/>
                      <w:szCs w:val="21"/>
                    </w:rPr>
                  </w:pPr>
                  <w:r>
                    <w:rPr>
                      <w:b/>
                      <w:bCs/>
                      <w:kern w:val="0"/>
                      <w:szCs w:val="21"/>
                    </w:rPr>
                    <w:t>变化情况</w:t>
                  </w:r>
                </w:p>
              </w:tc>
            </w:tr>
            <w:tr w14:paraId="4BBB72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86" w:type="pct"/>
                  <w:shd w:val="clear" w:color="auto" w:fill="auto"/>
                  <w:noWrap/>
                  <w:vAlign w:val="center"/>
                </w:tcPr>
                <w:p w14:paraId="7E496D46">
                  <w:pPr>
                    <w:widowControl/>
                    <w:jc w:val="center"/>
                    <w:rPr>
                      <w:kern w:val="0"/>
                      <w:szCs w:val="21"/>
                    </w:rPr>
                  </w:pPr>
                  <w:r>
                    <w:rPr>
                      <w:kern w:val="0"/>
                      <w:szCs w:val="21"/>
                    </w:rPr>
                    <w:t>1</w:t>
                  </w:r>
                </w:p>
              </w:tc>
              <w:tc>
                <w:tcPr>
                  <w:tcW w:w="1233" w:type="pct"/>
                  <w:shd w:val="clear" w:color="auto" w:fill="auto"/>
                  <w:vAlign w:val="center"/>
                </w:tcPr>
                <w:p w14:paraId="61F20240">
                  <w:pPr>
                    <w:widowControl/>
                    <w:jc w:val="center"/>
                    <w:rPr>
                      <w:kern w:val="0"/>
                      <w:szCs w:val="21"/>
                    </w:rPr>
                  </w:pPr>
                  <w:r>
                    <w:rPr>
                      <w:kern w:val="0"/>
                      <w:szCs w:val="21"/>
                    </w:rPr>
                    <w:t>纺丝组件清洗含锑）废水（W1</w:t>
                  </w:r>
                </w:p>
              </w:tc>
              <w:tc>
                <w:tcPr>
                  <w:tcW w:w="1178" w:type="pct"/>
                  <w:shd w:val="clear" w:color="auto" w:fill="auto"/>
                  <w:vAlign w:val="center"/>
                </w:tcPr>
                <w:p w14:paraId="1C4D39C7">
                  <w:pPr>
                    <w:widowControl/>
                    <w:jc w:val="center"/>
                    <w:rPr>
                      <w:kern w:val="0"/>
                      <w:szCs w:val="21"/>
                    </w:rPr>
                  </w:pPr>
                  <w:r>
                    <w:rPr>
                      <w:kern w:val="0"/>
                      <w:szCs w:val="21"/>
                    </w:rPr>
                    <w:t>5475</w:t>
                  </w:r>
                </w:p>
              </w:tc>
              <w:tc>
                <w:tcPr>
                  <w:tcW w:w="909" w:type="pct"/>
                  <w:shd w:val="clear" w:color="auto" w:fill="auto"/>
                  <w:noWrap/>
                  <w:vAlign w:val="center"/>
                </w:tcPr>
                <w:p w14:paraId="59AE49AE">
                  <w:pPr>
                    <w:widowControl/>
                    <w:jc w:val="center"/>
                    <w:rPr>
                      <w:kern w:val="0"/>
                      <w:szCs w:val="21"/>
                    </w:rPr>
                  </w:pPr>
                  <w:r>
                    <w:rPr>
                      <w:kern w:val="0"/>
                      <w:szCs w:val="21"/>
                    </w:rPr>
                    <w:t>5475</w:t>
                  </w:r>
                </w:p>
              </w:tc>
              <w:tc>
                <w:tcPr>
                  <w:tcW w:w="1094" w:type="pct"/>
                  <w:vMerge w:val="restart"/>
                  <w:shd w:val="clear" w:color="auto" w:fill="auto"/>
                  <w:vAlign w:val="center"/>
                </w:tcPr>
                <w:p w14:paraId="0E4D6F81">
                  <w:pPr>
                    <w:widowControl/>
                    <w:jc w:val="center"/>
                    <w:rPr>
                      <w:kern w:val="0"/>
                      <w:szCs w:val="21"/>
                    </w:rPr>
                  </w:pPr>
                  <w:r>
                    <w:rPr>
                      <w:kern w:val="0"/>
                      <w:szCs w:val="21"/>
                    </w:rPr>
                    <w:t>不变，纺丝组件数量不变，清洗频次不变</w:t>
                  </w:r>
                </w:p>
              </w:tc>
            </w:tr>
            <w:tr w14:paraId="168034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86" w:type="pct"/>
                  <w:shd w:val="clear" w:color="auto" w:fill="auto"/>
                  <w:noWrap/>
                  <w:vAlign w:val="center"/>
                </w:tcPr>
                <w:p w14:paraId="712FA1CC">
                  <w:pPr>
                    <w:widowControl/>
                    <w:jc w:val="center"/>
                    <w:rPr>
                      <w:kern w:val="0"/>
                      <w:szCs w:val="21"/>
                    </w:rPr>
                  </w:pPr>
                  <w:r>
                    <w:rPr>
                      <w:kern w:val="0"/>
                      <w:szCs w:val="21"/>
                    </w:rPr>
                    <w:t>2</w:t>
                  </w:r>
                </w:p>
              </w:tc>
              <w:tc>
                <w:tcPr>
                  <w:tcW w:w="1233" w:type="pct"/>
                  <w:shd w:val="clear" w:color="auto" w:fill="auto"/>
                  <w:vAlign w:val="center"/>
                </w:tcPr>
                <w:p w14:paraId="4B5EF6F6">
                  <w:pPr>
                    <w:widowControl/>
                    <w:jc w:val="center"/>
                    <w:rPr>
                      <w:kern w:val="0"/>
                      <w:szCs w:val="21"/>
                    </w:rPr>
                  </w:pPr>
                  <w:r>
                    <w:rPr>
                      <w:kern w:val="0"/>
                      <w:szCs w:val="21"/>
                    </w:rPr>
                    <w:t>纺丝组件清洗废水W2</w:t>
                  </w:r>
                </w:p>
              </w:tc>
              <w:tc>
                <w:tcPr>
                  <w:tcW w:w="1178" w:type="pct"/>
                  <w:shd w:val="clear" w:color="auto" w:fill="auto"/>
                  <w:noWrap/>
                  <w:vAlign w:val="center"/>
                </w:tcPr>
                <w:p w14:paraId="15350BEB">
                  <w:pPr>
                    <w:widowControl/>
                    <w:jc w:val="center"/>
                    <w:rPr>
                      <w:kern w:val="0"/>
                      <w:szCs w:val="21"/>
                    </w:rPr>
                  </w:pPr>
                  <w:r>
                    <w:rPr>
                      <w:kern w:val="0"/>
                      <w:szCs w:val="21"/>
                    </w:rPr>
                    <w:t>12600</w:t>
                  </w:r>
                </w:p>
              </w:tc>
              <w:tc>
                <w:tcPr>
                  <w:tcW w:w="909" w:type="pct"/>
                  <w:shd w:val="clear" w:color="auto" w:fill="auto"/>
                  <w:noWrap/>
                  <w:vAlign w:val="center"/>
                </w:tcPr>
                <w:p w14:paraId="2F16F3F7">
                  <w:pPr>
                    <w:widowControl/>
                    <w:jc w:val="center"/>
                    <w:rPr>
                      <w:kern w:val="0"/>
                      <w:szCs w:val="21"/>
                    </w:rPr>
                  </w:pPr>
                  <w:r>
                    <w:rPr>
                      <w:kern w:val="0"/>
                      <w:szCs w:val="21"/>
                    </w:rPr>
                    <w:t>12600</w:t>
                  </w:r>
                </w:p>
              </w:tc>
              <w:tc>
                <w:tcPr>
                  <w:tcW w:w="1094" w:type="pct"/>
                  <w:vMerge w:val="continue"/>
                  <w:vAlign w:val="center"/>
                </w:tcPr>
                <w:p w14:paraId="1E9A0A0C">
                  <w:pPr>
                    <w:widowControl/>
                    <w:jc w:val="left"/>
                    <w:rPr>
                      <w:kern w:val="0"/>
                      <w:szCs w:val="21"/>
                    </w:rPr>
                  </w:pPr>
                </w:p>
              </w:tc>
            </w:tr>
            <w:tr w14:paraId="4D3133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86" w:type="pct"/>
                  <w:shd w:val="clear" w:color="auto" w:fill="auto"/>
                  <w:noWrap/>
                  <w:vAlign w:val="center"/>
                </w:tcPr>
                <w:p w14:paraId="4F6AA036">
                  <w:pPr>
                    <w:widowControl/>
                    <w:jc w:val="center"/>
                    <w:rPr>
                      <w:kern w:val="0"/>
                      <w:szCs w:val="21"/>
                    </w:rPr>
                  </w:pPr>
                  <w:r>
                    <w:rPr>
                      <w:kern w:val="0"/>
                      <w:szCs w:val="21"/>
                    </w:rPr>
                    <w:t>3</w:t>
                  </w:r>
                </w:p>
              </w:tc>
              <w:tc>
                <w:tcPr>
                  <w:tcW w:w="1233" w:type="pct"/>
                  <w:shd w:val="clear" w:color="auto" w:fill="auto"/>
                  <w:vAlign w:val="center"/>
                </w:tcPr>
                <w:p w14:paraId="48911AAC">
                  <w:pPr>
                    <w:widowControl/>
                    <w:jc w:val="center"/>
                    <w:rPr>
                      <w:kern w:val="0"/>
                      <w:szCs w:val="21"/>
                    </w:rPr>
                  </w:pPr>
                  <w:r>
                    <w:rPr>
                      <w:kern w:val="0"/>
                      <w:szCs w:val="21"/>
                    </w:rPr>
                    <w:t>纺丝油烟净化装置冲洗废水W3</w:t>
                  </w:r>
                </w:p>
              </w:tc>
              <w:tc>
                <w:tcPr>
                  <w:tcW w:w="1178" w:type="pct"/>
                  <w:shd w:val="clear" w:color="auto" w:fill="auto"/>
                  <w:noWrap/>
                  <w:vAlign w:val="center"/>
                </w:tcPr>
                <w:p w14:paraId="01B91746">
                  <w:pPr>
                    <w:widowControl/>
                    <w:jc w:val="center"/>
                    <w:rPr>
                      <w:kern w:val="0"/>
                      <w:szCs w:val="21"/>
                    </w:rPr>
                  </w:pPr>
                  <w:r>
                    <w:rPr>
                      <w:kern w:val="0"/>
                      <w:szCs w:val="21"/>
                    </w:rPr>
                    <w:t>240</w:t>
                  </w:r>
                </w:p>
              </w:tc>
              <w:tc>
                <w:tcPr>
                  <w:tcW w:w="909" w:type="pct"/>
                  <w:shd w:val="clear" w:color="auto" w:fill="auto"/>
                  <w:noWrap/>
                  <w:vAlign w:val="center"/>
                </w:tcPr>
                <w:p w14:paraId="34BE834A">
                  <w:pPr>
                    <w:widowControl/>
                    <w:jc w:val="center"/>
                    <w:rPr>
                      <w:kern w:val="0"/>
                      <w:szCs w:val="21"/>
                    </w:rPr>
                  </w:pPr>
                  <w:r>
                    <w:rPr>
                      <w:kern w:val="0"/>
                      <w:szCs w:val="21"/>
                    </w:rPr>
                    <w:t>240</w:t>
                  </w:r>
                </w:p>
              </w:tc>
              <w:tc>
                <w:tcPr>
                  <w:tcW w:w="1094" w:type="pct"/>
                  <w:shd w:val="clear" w:color="auto" w:fill="auto"/>
                  <w:vAlign w:val="center"/>
                </w:tcPr>
                <w:p w14:paraId="0BBF83D5">
                  <w:pPr>
                    <w:widowControl/>
                    <w:jc w:val="center"/>
                    <w:rPr>
                      <w:kern w:val="0"/>
                      <w:szCs w:val="21"/>
                    </w:rPr>
                  </w:pPr>
                  <w:r>
                    <w:rPr>
                      <w:kern w:val="0"/>
                      <w:szCs w:val="21"/>
                    </w:rPr>
                    <w:t>纺丝油烟净化器数量不变</w:t>
                  </w:r>
                </w:p>
              </w:tc>
            </w:tr>
          </w:tbl>
          <w:p w14:paraId="063A47EE">
            <w:pPr>
              <w:pStyle w:val="56"/>
              <w:spacing w:line="500" w:lineRule="exact"/>
              <w:ind w:firstLine="480" w:firstLineChars="200"/>
              <w:jc w:val="both"/>
              <w:rPr>
                <w:rFonts w:ascii="Times New Roman" w:cs="Times New Roman"/>
                <w:color w:val="auto"/>
              </w:rPr>
            </w:pPr>
            <w:r>
              <w:rPr>
                <w:rFonts w:hint="eastAsia" w:ascii="Cambria Math" w:hAnsi="Cambria Math" w:cs="Cambria Math"/>
                <w:color w:val="auto"/>
              </w:rPr>
              <w:t>①</w:t>
            </w:r>
            <w:r>
              <w:rPr>
                <w:rFonts w:ascii="Times New Roman" w:cs="Times New Roman"/>
                <w:color w:val="auto"/>
              </w:rPr>
              <w:t>纺丝组件清洗（含锑）废水W1：本项目中的纺丝组件需定期清洗，为达到清洗效果，纺丝组件将通过真空炉将其残留在组件内部的熔体，进行高温裂解氧化使其产生熔体分子（含锑），由水环式真空泵将其抽走并对其进行水喷淋处理，最后统一收集。根据建设单位提供的设计资料，本次纺丝组件清洗（含锑）废水W1，纺丝组件循环水池中的水每天更换一次，本项目纺丝组件废水总排放量为5475t/a。主要污染物为COD、SS、总锑，浓度分别为1500mg/L、400mg/L、7.6mg/L。</w:t>
            </w:r>
          </w:p>
          <w:p w14:paraId="04E62BCA">
            <w:pPr>
              <w:pStyle w:val="56"/>
              <w:spacing w:line="500" w:lineRule="exact"/>
              <w:ind w:firstLine="480" w:firstLineChars="200"/>
              <w:jc w:val="both"/>
              <w:rPr>
                <w:rFonts w:ascii="Times New Roman" w:cs="Times New Roman"/>
                <w:color w:val="auto"/>
              </w:rPr>
            </w:pPr>
            <w:r>
              <w:rPr>
                <w:rFonts w:hint="eastAsia" w:ascii="Cambria Math" w:hAnsi="Cambria Math" w:cs="Cambria Math"/>
                <w:color w:val="auto"/>
              </w:rPr>
              <w:t>②</w:t>
            </w:r>
            <w:r>
              <w:rPr>
                <w:rFonts w:ascii="Times New Roman" w:cs="Times New Roman"/>
                <w:color w:val="auto"/>
              </w:rPr>
              <w:t>纺丝组件清洗废水W2</w:t>
            </w:r>
          </w:p>
          <w:p w14:paraId="0D2A8BF3">
            <w:pPr>
              <w:pStyle w:val="56"/>
              <w:spacing w:line="500" w:lineRule="exact"/>
              <w:ind w:firstLine="480" w:firstLineChars="200"/>
              <w:jc w:val="both"/>
              <w:rPr>
                <w:rFonts w:ascii="Times New Roman" w:cs="Times New Roman"/>
                <w:color w:val="auto"/>
              </w:rPr>
            </w:pPr>
            <w:r>
              <w:rPr>
                <w:rFonts w:ascii="Times New Roman" w:cs="Times New Roman"/>
                <w:color w:val="auto"/>
              </w:rPr>
              <w:t>经过上述清洗后的纺丝组件需要用除盐水超声波清洗，清洗废水W2送现有项目建设的污水站处理。根据设计资料， 项目纺丝组件清洗除盐水用量为40m</w:t>
            </w:r>
            <w:r>
              <w:rPr>
                <w:rFonts w:ascii="Times New Roman" w:cs="Times New Roman"/>
                <w:color w:val="auto"/>
                <w:vertAlign w:val="superscript"/>
              </w:rPr>
              <w:t>3</w:t>
            </w:r>
            <w:r>
              <w:rPr>
                <w:rFonts w:ascii="Times New Roman" w:cs="Times New Roman"/>
                <w:color w:val="auto"/>
              </w:rPr>
              <w:t>/d，用水量约14000 m</w:t>
            </w:r>
            <w:r>
              <w:rPr>
                <w:rFonts w:ascii="Times New Roman" w:cs="Times New Roman"/>
                <w:color w:val="auto"/>
                <w:vertAlign w:val="superscript"/>
              </w:rPr>
              <w:t>3</w:t>
            </w:r>
            <w:r>
              <w:rPr>
                <w:rFonts w:ascii="Times New Roman" w:cs="Times New Roman"/>
                <w:color w:val="auto"/>
              </w:rPr>
              <w:t>/a，损耗率约10%，排放量预计12600m</w:t>
            </w:r>
            <w:r>
              <w:rPr>
                <w:rFonts w:ascii="Times New Roman" w:cs="Times New Roman"/>
                <w:color w:val="auto"/>
                <w:vertAlign w:val="superscript"/>
              </w:rPr>
              <w:t>3</w:t>
            </w:r>
            <w:r>
              <w:rPr>
                <w:rFonts w:ascii="Times New Roman" w:cs="Times New Roman"/>
                <w:color w:val="auto"/>
              </w:rPr>
              <w:t>/a。主要污染物为COD、SS和石油类，浓度分别为1500mg/L、400 mg/L、100 mg/L。</w:t>
            </w:r>
          </w:p>
          <w:p w14:paraId="34479928">
            <w:pPr>
              <w:pStyle w:val="56"/>
              <w:spacing w:line="500" w:lineRule="exact"/>
              <w:ind w:firstLine="480" w:firstLineChars="200"/>
              <w:jc w:val="both"/>
              <w:rPr>
                <w:rFonts w:ascii="Times New Roman" w:cs="Times New Roman"/>
                <w:color w:val="auto"/>
              </w:rPr>
            </w:pPr>
            <w:r>
              <w:rPr>
                <w:rFonts w:ascii="Cambria Math" w:hAnsi="Cambria Math" w:cs="Cambria Math"/>
                <w:color w:val="auto"/>
              </w:rPr>
              <w:t>③</w:t>
            </w:r>
            <w:r>
              <w:rPr>
                <w:rFonts w:ascii="Times New Roman" w:cs="Times New Roman"/>
                <w:color w:val="auto"/>
              </w:rPr>
              <w:t>油烟净化装置冲洗废水W3</w:t>
            </w:r>
          </w:p>
          <w:p w14:paraId="70D8545D">
            <w:pPr>
              <w:pStyle w:val="56"/>
              <w:spacing w:line="500" w:lineRule="exact"/>
              <w:ind w:firstLine="480" w:firstLineChars="200"/>
              <w:jc w:val="both"/>
              <w:rPr>
                <w:rFonts w:ascii="Times New Roman" w:cs="Times New Roman"/>
                <w:color w:val="auto"/>
              </w:rPr>
            </w:pPr>
            <w:r>
              <w:rPr>
                <w:rFonts w:ascii="Times New Roman" w:cs="Times New Roman"/>
                <w:color w:val="auto"/>
              </w:rPr>
              <w:t>纺丝共设有8台油烟净化装置，每月冲洗1次，每次冲洗水量约2.5m</w:t>
            </w:r>
            <w:r>
              <w:rPr>
                <w:rFonts w:ascii="Times New Roman" w:cs="Times New Roman"/>
                <w:color w:val="auto"/>
                <w:vertAlign w:val="superscript"/>
              </w:rPr>
              <w:t>3</w:t>
            </w:r>
            <w:r>
              <w:rPr>
                <w:rFonts w:ascii="Times New Roman" w:cs="Times New Roman"/>
                <w:color w:val="auto"/>
              </w:rPr>
              <w:t>/台，则纺丝油烟净化装置冲洗废水产生量约240m</w:t>
            </w:r>
            <w:r>
              <w:rPr>
                <w:rFonts w:ascii="Times New Roman" w:cs="Times New Roman"/>
                <w:color w:val="auto"/>
                <w:vertAlign w:val="superscript"/>
              </w:rPr>
              <w:t>3</w:t>
            </w:r>
            <w:r>
              <w:rPr>
                <w:rFonts w:ascii="Times New Roman" w:cs="Times New Roman"/>
                <w:color w:val="auto"/>
              </w:rPr>
              <w:t>/a，主要污染物为COD、SS和石油类，浓度分别为20000mg/L、200 mg/L和100 mg/L。</w:t>
            </w:r>
          </w:p>
          <w:p w14:paraId="1E91FFA1">
            <w:pPr>
              <w:pStyle w:val="56"/>
              <w:spacing w:line="500" w:lineRule="exact"/>
              <w:ind w:firstLine="480" w:firstLineChars="200"/>
              <w:jc w:val="both"/>
              <w:rPr>
                <w:rFonts w:ascii="Times New Roman" w:cs="Times New Roman"/>
                <w:color w:val="auto"/>
                <w:szCs w:val="21"/>
              </w:rPr>
            </w:pPr>
          </w:p>
        </w:tc>
      </w:tr>
    </w:tbl>
    <w:p w14:paraId="7997D599">
      <w:pPr>
        <w:rPr>
          <w:szCs w:val="21"/>
        </w:rPr>
      </w:pPr>
    </w:p>
    <w:p w14:paraId="50EA47AA">
      <w:pPr>
        <w:rPr>
          <w:szCs w:val="21"/>
        </w:rPr>
      </w:pPr>
    </w:p>
    <w:p w14:paraId="46CC32FA">
      <w:pPr>
        <w:rPr>
          <w:szCs w:val="21"/>
        </w:rPr>
        <w:sectPr>
          <w:pgSz w:w="11907" w:h="16840"/>
          <w:pgMar w:top="1701" w:right="1531" w:bottom="2269" w:left="1531" w:header="851" w:footer="851" w:gutter="0"/>
          <w:cols w:space="720" w:num="1"/>
          <w:docGrid w:linePitch="312" w:charSpace="0"/>
        </w:sectPr>
      </w:pPr>
    </w:p>
    <w:tbl>
      <w:tblPr>
        <w:tblStyle w:val="4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78"/>
        <w:gridCol w:w="12729"/>
      </w:tblGrid>
      <w:tr w14:paraId="14C2C6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52" w:hRule="atLeast"/>
          <w:jc w:val="center"/>
        </w:trPr>
        <w:tc>
          <w:tcPr>
            <w:tcW w:w="107" w:type="pct"/>
            <w:tcMar>
              <w:left w:w="28" w:type="dxa"/>
              <w:right w:w="28" w:type="dxa"/>
            </w:tcMar>
            <w:vAlign w:val="center"/>
          </w:tcPr>
          <w:p w14:paraId="22CC8214">
            <w:pPr>
              <w:adjustRightInd w:val="0"/>
              <w:snapToGrid w:val="0"/>
              <w:jc w:val="center"/>
              <w:rPr>
                <w:bCs/>
                <w:szCs w:val="21"/>
              </w:rPr>
            </w:pPr>
            <w:r>
              <w:rPr>
                <w:bCs/>
                <w:szCs w:val="21"/>
              </w:rPr>
              <w:t>运营期环境影响和保护措施</w:t>
            </w:r>
          </w:p>
        </w:tc>
        <w:tc>
          <w:tcPr>
            <w:tcW w:w="4893" w:type="pct"/>
            <w:vAlign w:val="center"/>
          </w:tcPr>
          <w:p w14:paraId="1AA70A44">
            <w:pPr>
              <w:ind w:firstLine="482" w:firstLineChars="200"/>
              <w:jc w:val="center"/>
              <w:rPr>
                <w:rFonts w:eastAsiaTheme="minorEastAsia"/>
                <w:b/>
                <w:sz w:val="24"/>
              </w:rPr>
            </w:pPr>
            <w:r>
              <w:rPr>
                <w:rFonts w:eastAsiaTheme="minorEastAsia"/>
                <w:b/>
                <w:sz w:val="24"/>
              </w:rPr>
              <w:t>表4-7本项目水污染物产生与分质预处理排放状况</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8"/>
              <w:gridCol w:w="1088"/>
              <w:gridCol w:w="1411"/>
              <w:gridCol w:w="1089"/>
              <w:gridCol w:w="1309"/>
              <w:gridCol w:w="1189"/>
              <w:gridCol w:w="1712"/>
              <w:gridCol w:w="1089"/>
              <w:gridCol w:w="1452"/>
              <w:gridCol w:w="1086"/>
            </w:tblGrid>
            <w:tr w14:paraId="2761DE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5" w:type="pct"/>
                  <w:vMerge w:val="restart"/>
                  <w:shd w:val="clear" w:color="auto" w:fill="auto"/>
                  <w:vAlign w:val="center"/>
                </w:tcPr>
                <w:p w14:paraId="0A614929">
                  <w:pPr>
                    <w:widowControl/>
                    <w:jc w:val="center"/>
                    <w:rPr>
                      <w:rFonts w:eastAsiaTheme="majorEastAsia"/>
                      <w:b/>
                      <w:bCs/>
                      <w:kern w:val="0"/>
                      <w:szCs w:val="21"/>
                    </w:rPr>
                  </w:pPr>
                  <w:r>
                    <w:rPr>
                      <w:rFonts w:eastAsiaTheme="majorEastAsia"/>
                      <w:b/>
                      <w:bCs/>
                      <w:kern w:val="0"/>
                      <w:szCs w:val="21"/>
                    </w:rPr>
                    <w:t>来源</w:t>
                  </w:r>
                </w:p>
              </w:tc>
              <w:tc>
                <w:tcPr>
                  <w:tcW w:w="435" w:type="pct"/>
                  <w:vMerge w:val="restart"/>
                  <w:shd w:val="clear" w:color="auto" w:fill="auto"/>
                  <w:vAlign w:val="center"/>
                </w:tcPr>
                <w:p w14:paraId="5140611E">
                  <w:pPr>
                    <w:widowControl/>
                    <w:jc w:val="center"/>
                    <w:rPr>
                      <w:rFonts w:eastAsiaTheme="majorEastAsia"/>
                      <w:b/>
                      <w:bCs/>
                      <w:kern w:val="0"/>
                      <w:szCs w:val="21"/>
                    </w:rPr>
                  </w:pPr>
                  <w:r>
                    <w:rPr>
                      <w:rFonts w:eastAsiaTheme="majorEastAsia"/>
                      <w:b/>
                      <w:bCs/>
                      <w:kern w:val="0"/>
                      <w:szCs w:val="21"/>
                    </w:rPr>
                    <w:t>编号</w:t>
                  </w:r>
                </w:p>
              </w:tc>
              <w:tc>
                <w:tcPr>
                  <w:tcW w:w="564" w:type="pct"/>
                  <w:shd w:val="clear" w:color="auto" w:fill="auto"/>
                  <w:vAlign w:val="center"/>
                </w:tcPr>
                <w:p w14:paraId="2DDA90B8">
                  <w:pPr>
                    <w:widowControl/>
                    <w:jc w:val="center"/>
                    <w:rPr>
                      <w:rFonts w:eastAsiaTheme="majorEastAsia"/>
                      <w:b/>
                      <w:bCs/>
                      <w:kern w:val="0"/>
                      <w:szCs w:val="21"/>
                    </w:rPr>
                  </w:pPr>
                  <w:r>
                    <w:rPr>
                      <w:rFonts w:eastAsiaTheme="majorEastAsia"/>
                      <w:b/>
                      <w:bCs/>
                      <w:kern w:val="0"/>
                      <w:szCs w:val="21"/>
                    </w:rPr>
                    <w:t>废水量</w:t>
                  </w:r>
                </w:p>
              </w:tc>
              <w:tc>
                <w:tcPr>
                  <w:tcW w:w="435" w:type="pct"/>
                  <w:vMerge w:val="restart"/>
                  <w:shd w:val="clear" w:color="auto" w:fill="auto"/>
                  <w:vAlign w:val="center"/>
                </w:tcPr>
                <w:p w14:paraId="34EEADFF">
                  <w:pPr>
                    <w:widowControl/>
                    <w:jc w:val="center"/>
                    <w:rPr>
                      <w:rFonts w:eastAsiaTheme="majorEastAsia"/>
                      <w:b/>
                      <w:bCs/>
                      <w:kern w:val="0"/>
                      <w:szCs w:val="21"/>
                    </w:rPr>
                  </w:pPr>
                  <w:r>
                    <w:rPr>
                      <w:rFonts w:eastAsiaTheme="majorEastAsia"/>
                      <w:b/>
                      <w:bCs/>
                      <w:kern w:val="0"/>
                      <w:szCs w:val="21"/>
                    </w:rPr>
                    <w:t>污染物名称</w:t>
                  </w:r>
                </w:p>
              </w:tc>
              <w:tc>
                <w:tcPr>
                  <w:tcW w:w="998" w:type="pct"/>
                  <w:gridSpan w:val="2"/>
                  <w:shd w:val="clear" w:color="auto" w:fill="auto"/>
                  <w:vAlign w:val="center"/>
                </w:tcPr>
                <w:p w14:paraId="4395F098">
                  <w:pPr>
                    <w:widowControl/>
                    <w:jc w:val="center"/>
                    <w:rPr>
                      <w:rFonts w:eastAsiaTheme="majorEastAsia"/>
                      <w:b/>
                      <w:bCs/>
                      <w:kern w:val="0"/>
                      <w:szCs w:val="21"/>
                    </w:rPr>
                  </w:pPr>
                  <w:r>
                    <w:rPr>
                      <w:rFonts w:eastAsiaTheme="majorEastAsia"/>
                      <w:b/>
                      <w:bCs/>
                      <w:kern w:val="0"/>
                      <w:szCs w:val="21"/>
                    </w:rPr>
                    <w:t>污染物产生量</w:t>
                  </w:r>
                </w:p>
              </w:tc>
              <w:tc>
                <w:tcPr>
                  <w:tcW w:w="684" w:type="pct"/>
                  <w:vMerge w:val="restart"/>
                  <w:shd w:val="clear" w:color="auto" w:fill="auto"/>
                  <w:vAlign w:val="center"/>
                </w:tcPr>
                <w:p w14:paraId="6A3BD2B4">
                  <w:pPr>
                    <w:widowControl/>
                    <w:jc w:val="center"/>
                    <w:rPr>
                      <w:rFonts w:eastAsiaTheme="majorEastAsia"/>
                      <w:b/>
                      <w:bCs/>
                      <w:kern w:val="0"/>
                      <w:szCs w:val="21"/>
                    </w:rPr>
                  </w:pPr>
                  <w:r>
                    <w:rPr>
                      <w:rFonts w:eastAsiaTheme="majorEastAsia"/>
                      <w:b/>
                      <w:bCs/>
                      <w:kern w:val="0"/>
                      <w:szCs w:val="21"/>
                    </w:rPr>
                    <w:t>预处理措施</w:t>
                  </w:r>
                </w:p>
              </w:tc>
              <w:tc>
                <w:tcPr>
                  <w:tcW w:w="1449" w:type="pct"/>
                  <w:gridSpan w:val="3"/>
                  <w:shd w:val="clear" w:color="auto" w:fill="auto"/>
                  <w:vAlign w:val="center"/>
                </w:tcPr>
                <w:p w14:paraId="140F3B47">
                  <w:pPr>
                    <w:widowControl/>
                    <w:jc w:val="center"/>
                    <w:rPr>
                      <w:rFonts w:eastAsiaTheme="majorEastAsia"/>
                      <w:b/>
                      <w:bCs/>
                      <w:kern w:val="0"/>
                      <w:szCs w:val="21"/>
                    </w:rPr>
                  </w:pPr>
                  <w:r>
                    <w:rPr>
                      <w:rFonts w:eastAsiaTheme="majorEastAsia"/>
                      <w:b/>
                      <w:bCs/>
                      <w:kern w:val="0"/>
                      <w:szCs w:val="21"/>
                    </w:rPr>
                    <w:t>污染物预处理后排放量</w:t>
                  </w:r>
                </w:p>
              </w:tc>
            </w:tr>
            <w:tr w14:paraId="5D3BD5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5" w:type="pct"/>
                  <w:vMerge w:val="continue"/>
                  <w:vAlign w:val="center"/>
                </w:tcPr>
                <w:p w14:paraId="7097ED5A">
                  <w:pPr>
                    <w:widowControl/>
                    <w:jc w:val="left"/>
                    <w:rPr>
                      <w:rFonts w:eastAsiaTheme="majorEastAsia"/>
                      <w:b/>
                      <w:bCs/>
                      <w:kern w:val="0"/>
                      <w:szCs w:val="21"/>
                    </w:rPr>
                  </w:pPr>
                </w:p>
              </w:tc>
              <w:tc>
                <w:tcPr>
                  <w:tcW w:w="435" w:type="pct"/>
                  <w:vMerge w:val="continue"/>
                  <w:vAlign w:val="center"/>
                </w:tcPr>
                <w:p w14:paraId="0F798711">
                  <w:pPr>
                    <w:widowControl/>
                    <w:jc w:val="left"/>
                    <w:rPr>
                      <w:rFonts w:eastAsiaTheme="majorEastAsia"/>
                      <w:b/>
                      <w:bCs/>
                      <w:kern w:val="0"/>
                      <w:szCs w:val="21"/>
                    </w:rPr>
                  </w:pPr>
                </w:p>
              </w:tc>
              <w:tc>
                <w:tcPr>
                  <w:tcW w:w="564" w:type="pct"/>
                  <w:vMerge w:val="restart"/>
                  <w:shd w:val="clear" w:color="auto" w:fill="auto"/>
                  <w:vAlign w:val="center"/>
                </w:tcPr>
                <w:p w14:paraId="443F43E8">
                  <w:pPr>
                    <w:widowControl/>
                    <w:jc w:val="center"/>
                    <w:rPr>
                      <w:rFonts w:eastAsiaTheme="majorEastAsia"/>
                      <w:b/>
                      <w:bCs/>
                      <w:kern w:val="0"/>
                      <w:szCs w:val="21"/>
                    </w:rPr>
                  </w:pPr>
                  <w:r>
                    <w:rPr>
                      <w:rFonts w:eastAsiaTheme="majorEastAsia"/>
                      <w:b/>
                      <w:bCs/>
                      <w:kern w:val="0"/>
                      <w:szCs w:val="21"/>
                    </w:rPr>
                    <w:t>（m</w:t>
                  </w:r>
                  <w:r>
                    <w:rPr>
                      <w:rFonts w:eastAsiaTheme="majorEastAsia"/>
                      <w:b/>
                      <w:bCs/>
                      <w:kern w:val="0"/>
                      <w:szCs w:val="21"/>
                      <w:vertAlign w:val="superscript"/>
                    </w:rPr>
                    <w:t>3</w:t>
                  </w:r>
                  <w:r>
                    <w:rPr>
                      <w:rFonts w:eastAsiaTheme="majorEastAsia"/>
                      <w:b/>
                      <w:bCs/>
                      <w:kern w:val="0"/>
                      <w:szCs w:val="21"/>
                    </w:rPr>
                    <w:t>/a）</w:t>
                  </w:r>
                </w:p>
              </w:tc>
              <w:tc>
                <w:tcPr>
                  <w:tcW w:w="435" w:type="pct"/>
                  <w:vMerge w:val="continue"/>
                  <w:vAlign w:val="center"/>
                </w:tcPr>
                <w:p w14:paraId="4A1D05FB">
                  <w:pPr>
                    <w:widowControl/>
                    <w:jc w:val="left"/>
                    <w:rPr>
                      <w:rFonts w:eastAsiaTheme="majorEastAsia"/>
                      <w:b/>
                      <w:bCs/>
                      <w:kern w:val="0"/>
                      <w:szCs w:val="21"/>
                    </w:rPr>
                  </w:pPr>
                </w:p>
              </w:tc>
              <w:tc>
                <w:tcPr>
                  <w:tcW w:w="523" w:type="pct"/>
                  <w:shd w:val="clear" w:color="auto" w:fill="auto"/>
                  <w:vAlign w:val="center"/>
                </w:tcPr>
                <w:p w14:paraId="567B3AD6">
                  <w:pPr>
                    <w:widowControl/>
                    <w:jc w:val="center"/>
                    <w:rPr>
                      <w:rFonts w:eastAsiaTheme="majorEastAsia"/>
                      <w:b/>
                      <w:bCs/>
                      <w:kern w:val="0"/>
                      <w:szCs w:val="21"/>
                    </w:rPr>
                  </w:pPr>
                  <w:r>
                    <w:rPr>
                      <w:rFonts w:eastAsiaTheme="majorEastAsia"/>
                      <w:b/>
                      <w:bCs/>
                      <w:kern w:val="0"/>
                      <w:szCs w:val="21"/>
                    </w:rPr>
                    <w:t>浓度</w:t>
                  </w:r>
                </w:p>
              </w:tc>
              <w:tc>
                <w:tcPr>
                  <w:tcW w:w="475" w:type="pct"/>
                  <w:shd w:val="clear" w:color="auto" w:fill="auto"/>
                  <w:vAlign w:val="center"/>
                </w:tcPr>
                <w:p w14:paraId="508CF69D">
                  <w:pPr>
                    <w:widowControl/>
                    <w:jc w:val="center"/>
                    <w:rPr>
                      <w:rFonts w:eastAsiaTheme="majorEastAsia"/>
                      <w:b/>
                      <w:bCs/>
                      <w:kern w:val="0"/>
                      <w:szCs w:val="21"/>
                    </w:rPr>
                  </w:pPr>
                  <w:r>
                    <w:rPr>
                      <w:rFonts w:eastAsiaTheme="majorEastAsia"/>
                      <w:b/>
                      <w:bCs/>
                      <w:kern w:val="0"/>
                      <w:szCs w:val="21"/>
                    </w:rPr>
                    <w:t>产生量</w:t>
                  </w:r>
                </w:p>
              </w:tc>
              <w:tc>
                <w:tcPr>
                  <w:tcW w:w="684" w:type="pct"/>
                  <w:vMerge w:val="continue"/>
                  <w:vAlign w:val="center"/>
                </w:tcPr>
                <w:p w14:paraId="4ADDBAD4">
                  <w:pPr>
                    <w:widowControl/>
                    <w:jc w:val="left"/>
                    <w:rPr>
                      <w:rFonts w:eastAsiaTheme="majorEastAsia"/>
                      <w:b/>
                      <w:bCs/>
                      <w:kern w:val="0"/>
                      <w:szCs w:val="21"/>
                    </w:rPr>
                  </w:pPr>
                </w:p>
              </w:tc>
              <w:tc>
                <w:tcPr>
                  <w:tcW w:w="435" w:type="pct"/>
                  <w:vMerge w:val="restart"/>
                  <w:shd w:val="clear" w:color="auto" w:fill="auto"/>
                  <w:vAlign w:val="center"/>
                </w:tcPr>
                <w:p w14:paraId="37553008">
                  <w:pPr>
                    <w:widowControl/>
                    <w:jc w:val="center"/>
                    <w:rPr>
                      <w:rFonts w:eastAsiaTheme="majorEastAsia"/>
                      <w:b/>
                      <w:bCs/>
                      <w:kern w:val="0"/>
                      <w:szCs w:val="21"/>
                    </w:rPr>
                  </w:pPr>
                  <w:r>
                    <w:rPr>
                      <w:rFonts w:eastAsiaTheme="majorEastAsia"/>
                      <w:b/>
                      <w:bCs/>
                      <w:kern w:val="0"/>
                      <w:szCs w:val="21"/>
                    </w:rPr>
                    <w:t>污染物</w:t>
                  </w:r>
                </w:p>
              </w:tc>
              <w:tc>
                <w:tcPr>
                  <w:tcW w:w="580" w:type="pct"/>
                  <w:shd w:val="clear" w:color="auto" w:fill="auto"/>
                  <w:vAlign w:val="center"/>
                </w:tcPr>
                <w:p w14:paraId="5A2074A7">
                  <w:pPr>
                    <w:widowControl/>
                    <w:jc w:val="center"/>
                    <w:rPr>
                      <w:rFonts w:eastAsiaTheme="majorEastAsia"/>
                      <w:b/>
                      <w:bCs/>
                      <w:kern w:val="0"/>
                      <w:szCs w:val="21"/>
                    </w:rPr>
                  </w:pPr>
                  <w:r>
                    <w:rPr>
                      <w:rFonts w:eastAsiaTheme="majorEastAsia"/>
                      <w:b/>
                      <w:bCs/>
                      <w:kern w:val="0"/>
                      <w:szCs w:val="21"/>
                    </w:rPr>
                    <w:t>浓度</w:t>
                  </w:r>
                </w:p>
              </w:tc>
              <w:tc>
                <w:tcPr>
                  <w:tcW w:w="435" w:type="pct"/>
                  <w:shd w:val="clear" w:color="auto" w:fill="auto"/>
                  <w:vAlign w:val="center"/>
                </w:tcPr>
                <w:p w14:paraId="2A280B07">
                  <w:pPr>
                    <w:widowControl/>
                    <w:jc w:val="center"/>
                    <w:rPr>
                      <w:rFonts w:eastAsiaTheme="majorEastAsia"/>
                      <w:b/>
                      <w:bCs/>
                      <w:kern w:val="0"/>
                      <w:szCs w:val="21"/>
                    </w:rPr>
                  </w:pPr>
                  <w:r>
                    <w:rPr>
                      <w:rFonts w:eastAsiaTheme="majorEastAsia"/>
                      <w:b/>
                      <w:bCs/>
                      <w:kern w:val="0"/>
                      <w:szCs w:val="21"/>
                    </w:rPr>
                    <w:t>排放量</w:t>
                  </w:r>
                </w:p>
              </w:tc>
            </w:tr>
            <w:tr w14:paraId="0935EB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5" w:type="pct"/>
                  <w:vMerge w:val="continue"/>
                  <w:vAlign w:val="center"/>
                </w:tcPr>
                <w:p w14:paraId="5B800D6E">
                  <w:pPr>
                    <w:widowControl/>
                    <w:jc w:val="left"/>
                    <w:rPr>
                      <w:rFonts w:eastAsiaTheme="majorEastAsia"/>
                      <w:b/>
                      <w:bCs/>
                      <w:kern w:val="0"/>
                      <w:szCs w:val="21"/>
                    </w:rPr>
                  </w:pPr>
                </w:p>
              </w:tc>
              <w:tc>
                <w:tcPr>
                  <w:tcW w:w="435" w:type="pct"/>
                  <w:vMerge w:val="continue"/>
                  <w:vAlign w:val="center"/>
                </w:tcPr>
                <w:p w14:paraId="5A9023C7">
                  <w:pPr>
                    <w:widowControl/>
                    <w:jc w:val="left"/>
                    <w:rPr>
                      <w:rFonts w:eastAsiaTheme="majorEastAsia"/>
                      <w:b/>
                      <w:bCs/>
                      <w:kern w:val="0"/>
                      <w:szCs w:val="21"/>
                    </w:rPr>
                  </w:pPr>
                </w:p>
              </w:tc>
              <w:tc>
                <w:tcPr>
                  <w:tcW w:w="564" w:type="pct"/>
                  <w:vMerge w:val="continue"/>
                  <w:vAlign w:val="center"/>
                </w:tcPr>
                <w:p w14:paraId="66B97BEE">
                  <w:pPr>
                    <w:widowControl/>
                    <w:jc w:val="left"/>
                    <w:rPr>
                      <w:rFonts w:eastAsiaTheme="majorEastAsia"/>
                      <w:b/>
                      <w:bCs/>
                      <w:kern w:val="0"/>
                      <w:szCs w:val="21"/>
                    </w:rPr>
                  </w:pPr>
                </w:p>
              </w:tc>
              <w:tc>
                <w:tcPr>
                  <w:tcW w:w="435" w:type="pct"/>
                  <w:vMerge w:val="continue"/>
                  <w:vAlign w:val="center"/>
                </w:tcPr>
                <w:p w14:paraId="74D45637">
                  <w:pPr>
                    <w:widowControl/>
                    <w:jc w:val="left"/>
                    <w:rPr>
                      <w:rFonts w:eastAsiaTheme="majorEastAsia"/>
                      <w:b/>
                      <w:bCs/>
                      <w:kern w:val="0"/>
                      <w:szCs w:val="21"/>
                    </w:rPr>
                  </w:pPr>
                </w:p>
              </w:tc>
              <w:tc>
                <w:tcPr>
                  <w:tcW w:w="523" w:type="pct"/>
                  <w:shd w:val="clear" w:color="auto" w:fill="auto"/>
                  <w:vAlign w:val="center"/>
                </w:tcPr>
                <w:p w14:paraId="10FC6662">
                  <w:pPr>
                    <w:widowControl/>
                    <w:jc w:val="center"/>
                    <w:rPr>
                      <w:rFonts w:eastAsiaTheme="majorEastAsia"/>
                      <w:b/>
                      <w:bCs/>
                      <w:kern w:val="0"/>
                      <w:szCs w:val="21"/>
                    </w:rPr>
                  </w:pPr>
                  <w:r>
                    <w:rPr>
                      <w:rFonts w:eastAsiaTheme="majorEastAsia"/>
                      <w:b/>
                      <w:bCs/>
                      <w:kern w:val="0"/>
                      <w:szCs w:val="21"/>
                    </w:rPr>
                    <w:t>(mg/L)</w:t>
                  </w:r>
                </w:p>
              </w:tc>
              <w:tc>
                <w:tcPr>
                  <w:tcW w:w="475" w:type="pct"/>
                  <w:shd w:val="clear" w:color="auto" w:fill="auto"/>
                  <w:vAlign w:val="center"/>
                </w:tcPr>
                <w:p w14:paraId="3DF06E61">
                  <w:pPr>
                    <w:widowControl/>
                    <w:jc w:val="center"/>
                    <w:rPr>
                      <w:rFonts w:eastAsiaTheme="majorEastAsia"/>
                      <w:b/>
                      <w:bCs/>
                      <w:kern w:val="0"/>
                      <w:szCs w:val="21"/>
                    </w:rPr>
                  </w:pPr>
                  <w:r>
                    <w:rPr>
                      <w:rFonts w:eastAsiaTheme="majorEastAsia"/>
                      <w:b/>
                      <w:bCs/>
                      <w:kern w:val="0"/>
                      <w:szCs w:val="21"/>
                    </w:rPr>
                    <w:t>(t/a)</w:t>
                  </w:r>
                </w:p>
              </w:tc>
              <w:tc>
                <w:tcPr>
                  <w:tcW w:w="684" w:type="pct"/>
                  <w:vMerge w:val="continue"/>
                  <w:vAlign w:val="center"/>
                </w:tcPr>
                <w:p w14:paraId="4BC76298">
                  <w:pPr>
                    <w:widowControl/>
                    <w:jc w:val="left"/>
                    <w:rPr>
                      <w:rFonts w:eastAsiaTheme="majorEastAsia"/>
                      <w:b/>
                      <w:bCs/>
                      <w:kern w:val="0"/>
                      <w:szCs w:val="21"/>
                    </w:rPr>
                  </w:pPr>
                </w:p>
              </w:tc>
              <w:tc>
                <w:tcPr>
                  <w:tcW w:w="435" w:type="pct"/>
                  <w:vMerge w:val="continue"/>
                  <w:vAlign w:val="center"/>
                </w:tcPr>
                <w:p w14:paraId="3B1E3584">
                  <w:pPr>
                    <w:widowControl/>
                    <w:jc w:val="left"/>
                    <w:rPr>
                      <w:rFonts w:eastAsiaTheme="majorEastAsia"/>
                      <w:b/>
                      <w:bCs/>
                      <w:kern w:val="0"/>
                      <w:szCs w:val="21"/>
                    </w:rPr>
                  </w:pPr>
                </w:p>
              </w:tc>
              <w:tc>
                <w:tcPr>
                  <w:tcW w:w="580" w:type="pct"/>
                  <w:shd w:val="clear" w:color="auto" w:fill="auto"/>
                  <w:vAlign w:val="center"/>
                </w:tcPr>
                <w:p w14:paraId="10F7C9B2">
                  <w:pPr>
                    <w:widowControl/>
                    <w:jc w:val="center"/>
                    <w:rPr>
                      <w:rFonts w:eastAsiaTheme="majorEastAsia"/>
                      <w:b/>
                      <w:bCs/>
                      <w:kern w:val="0"/>
                      <w:szCs w:val="21"/>
                    </w:rPr>
                  </w:pPr>
                  <w:r>
                    <w:rPr>
                      <w:rFonts w:eastAsiaTheme="majorEastAsia"/>
                      <w:b/>
                      <w:bCs/>
                      <w:kern w:val="0"/>
                      <w:szCs w:val="21"/>
                    </w:rPr>
                    <w:t>(mg/L)</w:t>
                  </w:r>
                </w:p>
              </w:tc>
              <w:tc>
                <w:tcPr>
                  <w:tcW w:w="435" w:type="pct"/>
                  <w:shd w:val="clear" w:color="auto" w:fill="auto"/>
                  <w:vAlign w:val="center"/>
                </w:tcPr>
                <w:p w14:paraId="0D0162BF">
                  <w:pPr>
                    <w:widowControl/>
                    <w:jc w:val="center"/>
                    <w:rPr>
                      <w:rFonts w:eastAsiaTheme="majorEastAsia"/>
                      <w:b/>
                      <w:bCs/>
                      <w:kern w:val="0"/>
                      <w:szCs w:val="21"/>
                    </w:rPr>
                  </w:pPr>
                  <w:r>
                    <w:rPr>
                      <w:rFonts w:eastAsiaTheme="majorEastAsia"/>
                      <w:b/>
                      <w:bCs/>
                      <w:kern w:val="0"/>
                      <w:szCs w:val="21"/>
                    </w:rPr>
                    <w:t>(t/a)</w:t>
                  </w:r>
                </w:p>
              </w:tc>
            </w:tr>
            <w:tr w14:paraId="7E7645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35" w:type="pct"/>
                  <w:vMerge w:val="restart"/>
                  <w:shd w:val="clear" w:color="auto" w:fill="auto"/>
                  <w:vAlign w:val="center"/>
                </w:tcPr>
                <w:p w14:paraId="74A74DA3">
                  <w:pPr>
                    <w:widowControl/>
                    <w:jc w:val="center"/>
                    <w:rPr>
                      <w:rFonts w:eastAsiaTheme="majorEastAsia"/>
                      <w:kern w:val="0"/>
                      <w:szCs w:val="21"/>
                    </w:rPr>
                  </w:pPr>
                  <w:r>
                    <w:rPr>
                      <w:rFonts w:eastAsiaTheme="majorEastAsia"/>
                      <w:kern w:val="0"/>
                      <w:szCs w:val="21"/>
                    </w:rPr>
                    <w:t>纺丝组件清洗水（含锑）</w:t>
                  </w:r>
                </w:p>
              </w:tc>
              <w:tc>
                <w:tcPr>
                  <w:tcW w:w="435" w:type="pct"/>
                  <w:vMerge w:val="restart"/>
                  <w:shd w:val="clear" w:color="auto" w:fill="auto"/>
                  <w:vAlign w:val="center"/>
                </w:tcPr>
                <w:p w14:paraId="515A4ED0">
                  <w:pPr>
                    <w:widowControl/>
                    <w:jc w:val="center"/>
                    <w:rPr>
                      <w:rFonts w:eastAsiaTheme="majorEastAsia"/>
                      <w:kern w:val="0"/>
                      <w:szCs w:val="21"/>
                    </w:rPr>
                  </w:pPr>
                  <w:r>
                    <w:rPr>
                      <w:rFonts w:eastAsiaTheme="majorEastAsia"/>
                      <w:kern w:val="0"/>
                      <w:szCs w:val="21"/>
                    </w:rPr>
                    <w:t>W1</w:t>
                  </w:r>
                </w:p>
              </w:tc>
              <w:tc>
                <w:tcPr>
                  <w:tcW w:w="564" w:type="pct"/>
                  <w:vMerge w:val="restart"/>
                  <w:shd w:val="clear" w:color="auto" w:fill="auto"/>
                  <w:vAlign w:val="center"/>
                </w:tcPr>
                <w:p w14:paraId="108E7149">
                  <w:pPr>
                    <w:widowControl/>
                    <w:jc w:val="center"/>
                    <w:rPr>
                      <w:rFonts w:eastAsiaTheme="majorEastAsia"/>
                      <w:kern w:val="0"/>
                      <w:szCs w:val="21"/>
                    </w:rPr>
                  </w:pPr>
                  <w:r>
                    <w:rPr>
                      <w:rFonts w:eastAsiaTheme="majorEastAsia"/>
                      <w:kern w:val="0"/>
                      <w:szCs w:val="21"/>
                    </w:rPr>
                    <w:t>5475</w:t>
                  </w:r>
                </w:p>
              </w:tc>
              <w:tc>
                <w:tcPr>
                  <w:tcW w:w="435" w:type="pct"/>
                  <w:shd w:val="clear" w:color="auto" w:fill="auto"/>
                  <w:vAlign w:val="center"/>
                </w:tcPr>
                <w:p w14:paraId="439CAA54">
                  <w:pPr>
                    <w:widowControl/>
                    <w:jc w:val="center"/>
                    <w:rPr>
                      <w:rFonts w:eastAsiaTheme="majorEastAsia"/>
                      <w:kern w:val="0"/>
                      <w:szCs w:val="21"/>
                    </w:rPr>
                  </w:pPr>
                  <w:r>
                    <w:rPr>
                      <w:rFonts w:eastAsiaTheme="majorEastAsia"/>
                      <w:kern w:val="0"/>
                      <w:szCs w:val="21"/>
                    </w:rPr>
                    <w:t>COD</w:t>
                  </w:r>
                </w:p>
              </w:tc>
              <w:tc>
                <w:tcPr>
                  <w:tcW w:w="523" w:type="pct"/>
                  <w:shd w:val="clear" w:color="auto" w:fill="auto"/>
                  <w:vAlign w:val="center"/>
                </w:tcPr>
                <w:p w14:paraId="6C3F23D1">
                  <w:pPr>
                    <w:widowControl/>
                    <w:jc w:val="center"/>
                    <w:rPr>
                      <w:rFonts w:eastAsiaTheme="majorEastAsia"/>
                      <w:kern w:val="0"/>
                      <w:szCs w:val="21"/>
                    </w:rPr>
                  </w:pPr>
                  <w:r>
                    <w:rPr>
                      <w:rFonts w:eastAsiaTheme="majorEastAsia"/>
                      <w:kern w:val="0"/>
                      <w:szCs w:val="21"/>
                    </w:rPr>
                    <w:t>1500</w:t>
                  </w:r>
                </w:p>
              </w:tc>
              <w:tc>
                <w:tcPr>
                  <w:tcW w:w="475" w:type="pct"/>
                  <w:shd w:val="clear" w:color="auto" w:fill="auto"/>
                  <w:vAlign w:val="center"/>
                </w:tcPr>
                <w:p w14:paraId="4D4DF7D2">
                  <w:pPr>
                    <w:widowControl/>
                    <w:jc w:val="center"/>
                    <w:rPr>
                      <w:rFonts w:eastAsiaTheme="majorEastAsia"/>
                      <w:kern w:val="0"/>
                      <w:szCs w:val="21"/>
                    </w:rPr>
                  </w:pPr>
                  <w:r>
                    <w:rPr>
                      <w:rFonts w:eastAsiaTheme="majorEastAsia"/>
                      <w:kern w:val="0"/>
                      <w:szCs w:val="21"/>
                    </w:rPr>
                    <w:t>8.21</w:t>
                  </w:r>
                </w:p>
              </w:tc>
              <w:tc>
                <w:tcPr>
                  <w:tcW w:w="684" w:type="pct"/>
                  <w:vMerge w:val="restart"/>
                  <w:shd w:val="clear" w:color="auto" w:fill="auto"/>
                  <w:vAlign w:val="center"/>
                </w:tcPr>
                <w:p w14:paraId="43290689">
                  <w:pPr>
                    <w:widowControl/>
                    <w:jc w:val="center"/>
                    <w:rPr>
                      <w:rFonts w:eastAsiaTheme="majorEastAsia"/>
                      <w:kern w:val="0"/>
                      <w:szCs w:val="21"/>
                    </w:rPr>
                  </w:pPr>
                  <w:r>
                    <w:rPr>
                      <w:rFonts w:eastAsiaTheme="majorEastAsia"/>
                      <w:kern w:val="0"/>
                      <w:szCs w:val="21"/>
                    </w:rPr>
                    <w:t>经水解酸化与处理后接入综合废水调节池</w:t>
                  </w:r>
                </w:p>
              </w:tc>
              <w:tc>
                <w:tcPr>
                  <w:tcW w:w="435" w:type="pct"/>
                  <w:shd w:val="clear" w:color="auto" w:fill="auto"/>
                  <w:vAlign w:val="center"/>
                </w:tcPr>
                <w:p w14:paraId="17EC880B">
                  <w:pPr>
                    <w:widowControl/>
                    <w:jc w:val="center"/>
                    <w:rPr>
                      <w:rFonts w:eastAsiaTheme="majorEastAsia"/>
                      <w:kern w:val="0"/>
                      <w:szCs w:val="21"/>
                    </w:rPr>
                  </w:pPr>
                  <w:r>
                    <w:rPr>
                      <w:rFonts w:eastAsiaTheme="majorEastAsia"/>
                      <w:kern w:val="0"/>
                      <w:szCs w:val="21"/>
                    </w:rPr>
                    <w:t>废水量</w:t>
                  </w:r>
                </w:p>
              </w:tc>
              <w:tc>
                <w:tcPr>
                  <w:tcW w:w="580" w:type="pct"/>
                  <w:shd w:val="clear" w:color="auto" w:fill="auto"/>
                  <w:vAlign w:val="center"/>
                </w:tcPr>
                <w:p w14:paraId="682BD267">
                  <w:pPr>
                    <w:widowControl/>
                    <w:jc w:val="center"/>
                    <w:rPr>
                      <w:rFonts w:eastAsiaTheme="majorEastAsia"/>
                      <w:kern w:val="0"/>
                      <w:szCs w:val="21"/>
                    </w:rPr>
                  </w:pPr>
                  <w:r>
                    <w:rPr>
                      <w:rFonts w:eastAsiaTheme="majorEastAsia"/>
                      <w:kern w:val="0"/>
                      <w:szCs w:val="21"/>
                    </w:rPr>
                    <w:t>/</w:t>
                  </w:r>
                </w:p>
              </w:tc>
              <w:tc>
                <w:tcPr>
                  <w:tcW w:w="435" w:type="pct"/>
                  <w:shd w:val="clear" w:color="auto" w:fill="auto"/>
                  <w:vAlign w:val="center"/>
                </w:tcPr>
                <w:p w14:paraId="7433B366">
                  <w:pPr>
                    <w:widowControl/>
                    <w:jc w:val="center"/>
                    <w:rPr>
                      <w:rFonts w:eastAsiaTheme="majorEastAsia"/>
                      <w:kern w:val="0"/>
                      <w:szCs w:val="21"/>
                    </w:rPr>
                  </w:pPr>
                  <w:r>
                    <w:rPr>
                      <w:rFonts w:eastAsiaTheme="majorEastAsia"/>
                      <w:kern w:val="0"/>
                      <w:szCs w:val="21"/>
                    </w:rPr>
                    <w:t>5475</w:t>
                  </w:r>
                </w:p>
              </w:tc>
            </w:tr>
            <w:tr w14:paraId="7968D4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5" w:type="pct"/>
                  <w:vMerge w:val="continue"/>
                  <w:vAlign w:val="center"/>
                </w:tcPr>
                <w:p w14:paraId="1A4858DE">
                  <w:pPr>
                    <w:widowControl/>
                    <w:jc w:val="left"/>
                    <w:rPr>
                      <w:rFonts w:eastAsiaTheme="majorEastAsia"/>
                      <w:kern w:val="0"/>
                      <w:szCs w:val="21"/>
                    </w:rPr>
                  </w:pPr>
                </w:p>
              </w:tc>
              <w:tc>
                <w:tcPr>
                  <w:tcW w:w="435" w:type="pct"/>
                  <w:vMerge w:val="continue"/>
                  <w:vAlign w:val="center"/>
                </w:tcPr>
                <w:p w14:paraId="6485F2D2">
                  <w:pPr>
                    <w:widowControl/>
                    <w:jc w:val="left"/>
                    <w:rPr>
                      <w:rFonts w:eastAsiaTheme="majorEastAsia"/>
                      <w:kern w:val="0"/>
                      <w:szCs w:val="21"/>
                    </w:rPr>
                  </w:pPr>
                </w:p>
              </w:tc>
              <w:tc>
                <w:tcPr>
                  <w:tcW w:w="564" w:type="pct"/>
                  <w:vMerge w:val="continue"/>
                  <w:vAlign w:val="center"/>
                </w:tcPr>
                <w:p w14:paraId="01C148A5">
                  <w:pPr>
                    <w:widowControl/>
                    <w:jc w:val="left"/>
                    <w:rPr>
                      <w:rFonts w:eastAsiaTheme="majorEastAsia"/>
                      <w:kern w:val="0"/>
                      <w:szCs w:val="21"/>
                    </w:rPr>
                  </w:pPr>
                </w:p>
              </w:tc>
              <w:tc>
                <w:tcPr>
                  <w:tcW w:w="435" w:type="pct"/>
                  <w:shd w:val="clear" w:color="auto" w:fill="auto"/>
                  <w:vAlign w:val="center"/>
                </w:tcPr>
                <w:p w14:paraId="6F0C9A0F">
                  <w:pPr>
                    <w:widowControl/>
                    <w:jc w:val="center"/>
                    <w:rPr>
                      <w:rFonts w:eastAsiaTheme="majorEastAsia"/>
                      <w:kern w:val="0"/>
                      <w:szCs w:val="21"/>
                    </w:rPr>
                  </w:pPr>
                  <w:r>
                    <w:rPr>
                      <w:rFonts w:eastAsiaTheme="majorEastAsia"/>
                      <w:kern w:val="0"/>
                      <w:szCs w:val="21"/>
                    </w:rPr>
                    <w:t>SS</w:t>
                  </w:r>
                </w:p>
              </w:tc>
              <w:tc>
                <w:tcPr>
                  <w:tcW w:w="523" w:type="pct"/>
                  <w:shd w:val="clear" w:color="auto" w:fill="auto"/>
                  <w:vAlign w:val="center"/>
                </w:tcPr>
                <w:p w14:paraId="517F3387">
                  <w:pPr>
                    <w:widowControl/>
                    <w:jc w:val="center"/>
                    <w:rPr>
                      <w:rFonts w:eastAsiaTheme="majorEastAsia"/>
                      <w:kern w:val="0"/>
                      <w:szCs w:val="21"/>
                    </w:rPr>
                  </w:pPr>
                  <w:r>
                    <w:rPr>
                      <w:rFonts w:eastAsiaTheme="majorEastAsia"/>
                      <w:kern w:val="0"/>
                      <w:szCs w:val="21"/>
                    </w:rPr>
                    <w:t>400</w:t>
                  </w:r>
                </w:p>
              </w:tc>
              <w:tc>
                <w:tcPr>
                  <w:tcW w:w="475" w:type="pct"/>
                  <w:shd w:val="clear" w:color="auto" w:fill="auto"/>
                  <w:vAlign w:val="center"/>
                </w:tcPr>
                <w:p w14:paraId="17E89930">
                  <w:pPr>
                    <w:widowControl/>
                    <w:jc w:val="center"/>
                    <w:rPr>
                      <w:rFonts w:eastAsiaTheme="majorEastAsia"/>
                      <w:kern w:val="0"/>
                      <w:szCs w:val="21"/>
                    </w:rPr>
                  </w:pPr>
                  <w:r>
                    <w:rPr>
                      <w:rFonts w:eastAsiaTheme="majorEastAsia"/>
                      <w:kern w:val="0"/>
                      <w:szCs w:val="21"/>
                    </w:rPr>
                    <w:t>2.19</w:t>
                  </w:r>
                </w:p>
              </w:tc>
              <w:tc>
                <w:tcPr>
                  <w:tcW w:w="684" w:type="pct"/>
                  <w:vMerge w:val="continue"/>
                  <w:vAlign w:val="center"/>
                </w:tcPr>
                <w:p w14:paraId="5149836E">
                  <w:pPr>
                    <w:widowControl/>
                    <w:jc w:val="left"/>
                    <w:rPr>
                      <w:rFonts w:eastAsiaTheme="majorEastAsia"/>
                      <w:kern w:val="0"/>
                      <w:szCs w:val="21"/>
                    </w:rPr>
                  </w:pPr>
                </w:p>
              </w:tc>
              <w:tc>
                <w:tcPr>
                  <w:tcW w:w="435" w:type="pct"/>
                  <w:shd w:val="clear" w:color="auto" w:fill="auto"/>
                  <w:vAlign w:val="center"/>
                </w:tcPr>
                <w:p w14:paraId="0C43E742">
                  <w:pPr>
                    <w:widowControl/>
                    <w:jc w:val="center"/>
                    <w:rPr>
                      <w:rFonts w:eastAsiaTheme="majorEastAsia"/>
                      <w:kern w:val="0"/>
                      <w:szCs w:val="21"/>
                    </w:rPr>
                  </w:pPr>
                  <w:r>
                    <w:rPr>
                      <w:rFonts w:eastAsiaTheme="majorEastAsia"/>
                      <w:kern w:val="0"/>
                      <w:szCs w:val="21"/>
                    </w:rPr>
                    <w:t>COD</w:t>
                  </w:r>
                </w:p>
              </w:tc>
              <w:tc>
                <w:tcPr>
                  <w:tcW w:w="580" w:type="pct"/>
                  <w:shd w:val="clear" w:color="auto" w:fill="auto"/>
                  <w:vAlign w:val="center"/>
                </w:tcPr>
                <w:p w14:paraId="240B8FB7">
                  <w:pPr>
                    <w:widowControl/>
                    <w:jc w:val="center"/>
                    <w:rPr>
                      <w:rFonts w:eastAsiaTheme="majorEastAsia"/>
                      <w:kern w:val="0"/>
                      <w:szCs w:val="21"/>
                    </w:rPr>
                  </w:pPr>
                  <w:r>
                    <w:rPr>
                      <w:rFonts w:eastAsiaTheme="majorEastAsia"/>
                      <w:kern w:val="0"/>
                      <w:szCs w:val="21"/>
                    </w:rPr>
                    <w:t>1125</w:t>
                  </w:r>
                </w:p>
              </w:tc>
              <w:tc>
                <w:tcPr>
                  <w:tcW w:w="435" w:type="pct"/>
                  <w:shd w:val="clear" w:color="auto" w:fill="auto"/>
                  <w:vAlign w:val="center"/>
                </w:tcPr>
                <w:p w14:paraId="6A9536EB">
                  <w:pPr>
                    <w:widowControl/>
                    <w:jc w:val="center"/>
                    <w:rPr>
                      <w:rFonts w:eastAsiaTheme="majorEastAsia"/>
                      <w:kern w:val="0"/>
                      <w:szCs w:val="21"/>
                    </w:rPr>
                  </w:pPr>
                  <w:r>
                    <w:rPr>
                      <w:rFonts w:eastAsiaTheme="majorEastAsia"/>
                      <w:kern w:val="0"/>
                      <w:szCs w:val="21"/>
                    </w:rPr>
                    <w:t>6.16</w:t>
                  </w:r>
                </w:p>
              </w:tc>
            </w:tr>
            <w:tr w14:paraId="333A3F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5" w:type="pct"/>
                  <w:vMerge w:val="continue"/>
                  <w:vAlign w:val="center"/>
                </w:tcPr>
                <w:p w14:paraId="45B0DBC1">
                  <w:pPr>
                    <w:widowControl/>
                    <w:jc w:val="left"/>
                    <w:rPr>
                      <w:rFonts w:eastAsiaTheme="majorEastAsia"/>
                      <w:kern w:val="0"/>
                      <w:szCs w:val="21"/>
                    </w:rPr>
                  </w:pPr>
                </w:p>
              </w:tc>
              <w:tc>
                <w:tcPr>
                  <w:tcW w:w="435" w:type="pct"/>
                  <w:vMerge w:val="continue"/>
                  <w:vAlign w:val="center"/>
                </w:tcPr>
                <w:p w14:paraId="2CEB63CA">
                  <w:pPr>
                    <w:widowControl/>
                    <w:jc w:val="left"/>
                    <w:rPr>
                      <w:rFonts w:eastAsiaTheme="majorEastAsia"/>
                      <w:kern w:val="0"/>
                      <w:szCs w:val="21"/>
                    </w:rPr>
                  </w:pPr>
                </w:p>
              </w:tc>
              <w:tc>
                <w:tcPr>
                  <w:tcW w:w="564" w:type="pct"/>
                  <w:vMerge w:val="continue"/>
                  <w:vAlign w:val="center"/>
                </w:tcPr>
                <w:p w14:paraId="5D600CB4">
                  <w:pPr>
                    <w:widowControl/>
                    <w:jc w:val="left"/>
                    <w:rPr>
                      <w:rFonts w:eastAsiaTheme="majorEastAsia"/>
                      <w:kern w:val="0"/>
                      <w:szCs w:val="21"/>
                    </w:rPr>
                  </w:pPr>
                </w:p>
              </w:tc>
              <w:tc>
                <w:tcPr>
                  <w:tcW w:w="435" w:type="pct"/>
                  <w:vMerge w:val="restart"/>
                  <w:shd w:val="clear" w:color="auto" w:fill="auto"/>
                  <w:vAlign w:val="center"/>
                </w:tcPr>
                <w:p w14:paraId="48D44ACE">
                  <w:pPr>
                    <w:widowControl/>
                    <w:jc w:val="center"/>
                    <w:rPr>
                      <w:rFonts w:eastAsiaTheme="majorEastAsia"/>
                      <w:kern w:val="0"/>
                      <w:szCs w:val="21"/>
                    </w:rPr>
                  </w:pPr>
                  <w:r>
                    <w:rPr>
                      <w:rFonts w:eastAsiaTheme="majorEastAsia"/>
                      <w:kern w:val="0"/>
                      <w:szCs w:val="21"/>
                    </w:rPr>
                    <w:t>总锑</w:t>
                  </w:r>
                </w:p>
              </w:tc>
              <w:tc>
                <w:tcPr>
                  <w:tcW w:w="523" w:type="pct"/>
                  <w:vMerge w:val="restart"/>
                  <w:shd w:val="clear" w:color="auto" w:fill="auto"/>
                  <w:vAlign w:val="center"/>
                </w:tcPr>
                <w:p w14:paraId="13468C84">
                  <w:pPr>
                    <w:widowControl/>
                    <w:jc w:val="center"/>
                    <w:rPr>
                      <w:rFonts w:eastAsiaTheme="majorEastAsia"/>
                      <w:kern w:val="0"/>
                      <w:szCs w:val="21"/>
                    </w:rPr>
                  </w:pPr>
                  <w:r>
                    <w:rPr>
                      <w:rFonts w:eastAsiaTheme="majorEastAsia"/>
                      <w:kern w:val="0"/>
                      <w:szCs w:val="21"/>
                    </w:rPr>
                    <w:t>7.6</w:t>
                  </w:r>
                </w:p>
              </w:tc>
              <w:tc>
                <w:tcPr>
                  <w:tcW w:w="475" w:type="pct"/>
                  <w:vMerge w:val="restart"/>
                  <w:shd w:val="clear" w:color="auto" w:fill="auto"/>
                  <w:vAlign w:val="center"/>
                </w:tcPr>
                <w:p w14:paraId="148968F7">
                  <w:pPr>
                    <w:widowControl/>
                    <w:jc w:val="center"/>
                    <w:rPr>
                      <w:rFonts w:eastAsiaTheme="majorEastAsia"/>
                      <w:kern w:val="0"/>
                      <w:szCs w:val="21"/>
                    </w:rPr>
                  </w:pPr>
                  <w:r>
                    <w:rPr>
                      <w:rFonts w:eastAsiaTheme="majorEastAsia"/>
                      <w:kern w:val="0"/>
                      <w:szCs w:val="21"/>
                    </w:rPr>
                    <w:t>0.04</w:t>
                  </w:r>
                </w:p>
              </w:tc>
              <w:tc>
                <w:tcPr>
                  <w:tcW w:w="684" w:type="pct"/>
                  <w:vMerge w:val="continue"/>
                  <w:vAlign w:val="center"/>
                </w:tcPr>
                <w:p w14:paraId="768C8A5E">
                  <w:pPr>
                    <w:widowControl/>
                    <w:jc w:val="left"/>
                    <w:rPr>
                      <w:rFonts w:eastAsiaTheme="majorEastAsia"/>
                      <w:kern w:val="0"/>
                      <w:szCs w:val="21"/>
                    </w:rPr>
                  </w:pPr>
                </w:p>
              </w:tc>
              <w:tc>
                <w:tcPr>
                  <w:tcW w:w="435" w:type="pct"/>
                  <w:shd w:val="clear" w:color="auto" w:fill="auto"/>
                  <w:vAlign w:val="center"/>
                </w:tcPr>
                <w:p w14:paraId="08A532A9">
                  <w:pPr>
                    <w:widowControl/>
                    <w:jc w:val="center"/>
                    <w:rPr>
                      <w:rFonts w:eastAsiaTheme="majorEastAsia"/>
                      <w:kern w:val="0"/>
                      <w:szCs w:val="21"/>
                    </w:rPr>
                  </w:pPr>
                  <w:r>
                    <w:rPr>
                      <w:rFonts w:eastAsiaTheme="majorEastAsia"/>
                      <w:kern w:val="0"/>
                      <w:szCs w:val="21"/>
                    </w:rPr>
                    <w:t>SS</w:t>
                  </w:r>
                </w:p>
              </w:tc>
              <w:tc>
                <w:tcPr>
                  <w:tcW w:w="580" w:type="pct"/>
                  <w:shd w:val="clear" w:color="auto" w:fill="auto"/>
                  <w:vAlign w:val="center"/>
                </w:tcPr>
                <w:p w14:paraId="44953045">
                  <w:pPr>
                    <w:widowControl/>
                    <w:jc w:val="center"/>
                    <w:rPr>
                      <w:rFonts w:eastAsiaTheme="majorEastAsia"/>
                      <w:kern w:val="0"/>
                      <w:szCs w:val="21"/>
                    </w:rPr>
                  </w:pPr>
                  <w:r>
                    <w:rPr>
                      <w:rFonts w:eastAsiaTheme="majorEastAsia"/>
                      <w:kern w:val="0"/>
                      <w:szCs w:val="21"/>
                    </w:rPr>
                    <w:t>240</w:t>
                  </w:r>
                </w:p>
              </w:tc>
              <w:tc>
                <w:tcPr>
                  <w:tcW w:w="435" w:type="pct"/>
                  <w:shd w:val="clear" w:color="auto" w:fill="auto"/>
                  <w:vAlign w:val="center"/>
                </w:tcPr>
                <w:p w14:paraId="2A69ADB8">
                  <w:pPr>
                    <w:widowControl/>
                    <w:jc w:val="center"/>
                    <w:rPr>
                      <w:rFonts w:eastAsiaTheme="majorEastAsia"/>
                      <w:kern w:val="0"/>
                      <w:szCs w:val="21"/>
                    </w:rPr>
                  </w:pPr>
                  <w:r>
                    <w:rPr>
                      <w:rFonts w:eastAsiaTheme="majorEastAsia"/>
                      <w:kern w:val="0"/>
                      <w:szCs w:val="21"/>
                    </w:rPr>
                    <w:t>1.31</w:t>
                  </w:r>
                </w:p>
              </w:tc>
            </w:tr>
            <w:tr w14:paraId="4F853F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5" w:type="pct"/>
                  <w:vMerge w:val="continue"/>
                  <w:vAlign w:val="center"/>
                </w:tcPr>
                <w:p w14:paraId="5CAFE655">
                  <w:pPr>
                    <w:widowControl/>
                    <w:jc w:val="left"/>
                    <w:rPr>
                      <w:rFonts w:eastAsiaTheme="majorEastAsia"/>
                      <w:kern w:val="0"/>
                      <w:szCs w:val="21"/>
                    </w:rPr>
                  </w:pPr>
                </w:p>
              </w:tc>
              <w:tc>
                <w:tcPr>
                  <w:tcW w:w="435" w:type="pct"/>
                  <w:vMerge w:val="continue"/>
                  <w:vAlign w:val="center"/>
                </w:tcPr>
                <w:p w14:paraId="632432CD">
                  <w:pPr>
                    <w:widowControl/>
                    <w:jc w:val="left"/>
                    <w:rPr>
                      <w:rFonts w:eastAsiaTheme="majorEastAsia"/>
                      <w:kern w:val="0"/>
                      <w:szCs w:val="21"/>
                    </w:rPr>
                  </w:pPr>
                </w:p>
              </w:tc>
              <w:tc>
                <w:tcPr>
                  <w:tcW w:w="564" w:type="pct"/>
                  <w:vMerge w:val="continue"/>
                  <w:vAlign w:val="center"/>
                </w:tcPr>
                <w:p w14:paraId="7EBDE033">
                  <w:pPr>
                    <w:widowControl/>
                    <w:jc w:val="left"/>
                    <w:rPr>
                      <w:rFonts w:eastAsiaTheme="majorEastAsia"/>
                      <w:kern w:val="0"/>
                      <w:szCs w:val="21"/>
                    </w:rPr>
                  </w:pPr>
                </w:p>
              </w:tc>
              <w:tc>
                <w:tcPr>
                  <w:tcW w:w="435" w:type="pct"/>
                  <w:vMerge w:val="continue"/>
                  <w:vAlign w:val="center"/>
                </w:tcPr>
                <w:p w14:paraId="554EFCC9">
                  <w:pPr>
                    <w:widowControl/>
                    <w:jc w:val="left"/>
                    <w:rPr>
                      <w:rFonts w:eastAsiaTheme="majorEastAsia"/>
                      <w:kern w:val="0"/>
                      <w:szCs w:val="21"/>
                    </w:rPr>
                  </w:pPr>
                </w:p>
              </w:tc>
              <w:tc>
                <w:tcPr>
                  <w:tcW w:w="523" w:type="pct"/>
                  <w:vMerge w:val="continue"/>
                  <w:vAlign w:val="center"/>
                </w:tcPr>
                <w:p w14:paraId="52449963">
                  <w:pPr>
                    <w:widowControl/>
                    <w:jc w:val="left"/>
                    <w:rPr>
                      <w:rFonts w:eastAsiaTheme="majorEastAsia"/>
                      <w:kern w:val="0"/>
                      <w:szCs w:val="21"/>
                    </w:rPr>
                  </w:pPr>
                </w:p>
              </w:tc>
              <w:tc>
                <w:tcPr>
                  <w:tcW w:w="475" w:type="pct"/>
                  <w:vMerge w:val="continue"/>
                  <w:vAlign w:val="center"/>
                </w:tcPr>
                <w:p w14:paraId="2CBD5A29">
                  <w:pPr>
                    <w:widowControl/>
                    <w:jc w:val="left"/>
                    <w:rPr>
                      <w:rFonts w:eastAsiaTheme="majorEastAsia"/>
                      <w:kern w:val="0"/>
                      <w:szCs w:val="21"/>
                    </w:rPr>
                  </w:pPr>
                </w:p>
              </w:tc>
              <w:tc>
                <w:tcPr>
                  <w:tcW w:w="684" w:type="pct"/>
                  <w:vMerge w:val="continue"/>
                  <w:vAlign w:val="center"/>
                </w:tcPr>
                <w:p w14:paraId="77389FA6">
                  <w:pPr>
                    <w:widowControl/>
                    <w:jc w:val="left"/>
                    <w:rPr>
                      <w:rFonts w:eastAsiaTheme="majorEastAsia"/>
                      <w:kern w:val="0"/>
                      <w:szCs w:val="21"/>
                    </w:rPr>
                  </w:pPr>
                </w:p>
              </w:tc>
              <w:tc>
                <w:tcPr>
                  <w:tcW w:w="435" w:type="pct"/>
                  <w:shd w:val="clear" w:color="auto" w:fill="auto"/>
                  <w:vAlign w:val="center"/>
                </w:tcPr>
                <w:p w14:paraId="52518B74">
                  <w:pPr>
                    <w:widowControl/>
                    <w:jc w:val="center"/>
                    <w:rPr>
                      <w:rFonts w:eastAsiaTheme="majorEastAsia"/>
                      <w:kern w:val="0"/>
                      <w:szCs w:val="21"/>
                    </w:rPr>
                  </w:pPr>
                  <w:r>
                    <w:rPr>
                      <w:rFonts w:eastAsiaTheme="majorEastAsia"/>
                      <w:kern w:val="0"/>
                      <w:szCs w:val="21"/>
                    </w:rPr>
                    <w:t>总锑</w:t>
                  </w:r>
                </w:p>
              </w:tc>
              <w:tc>
                <w:tcPr>
                  <w:tcW w:w="580" w:type="pct"/>
                  <w:shd w:val="clear" w:color="auto" w:fill="auto"/>
                  <w:vAlign w:val="center"/>
                </w:tcPr>
                <w:p w14:paraId="1D5FCD90">
                  <w:pPr>
                    <w:widowControl/>
                    <w:jc w:val="center"/>
                    <w:rPr>
                      <w:rFonts w:eastAsiaTheme="majorEastAsia"/>
                      <w:kern w:val="0"/>
                      <w:szCs w:val="21"/>
                    </w:rPr>
                  </w:pPr>
                  <w:r>
                    <w:rPr>
                      <w:rFonts w:eastAsiaTheme="majorEastAsia"/>
                      <w:kern w:val="0"/>
                      <w:szCs w:val="21"/>
                    </w:rPr>
                    <w:t>7.6</w:t>
                  </w:r>
                </w:p>
              </w:tc>
              <w:tc>
                <w:tcPr>
                  <w:tcW w:w="435" w:type="pct"/>
                  <w:shd w:val="clear" w:color="auto" w:fill="auto"/>
                  <w:vAlign w:val="center"/>
                </w:tcPr>
                <w:p w14:paraId="7F5DE0C7">
                  <w:pPr>
                    <w:widowControl/>
                    <w:jc w:val="center"/>
                    <w:rPr>
                      <w:rFonts w:eastAsiaTheme="majorEastAsia"/>
                      <w:kern w:val="0"/>
                      <w:szCs w:val="21"/>
                    </w:rPr>
                  </w:pPr>
                  <w:r>
                    <w:rPr>
                      <w:rFonts w:eastAsiaTheme="majorEastAsia"/>
                      <w:kern w:val="0"/>
                      <w:szCs w:val="21"/>
                    </w:rPr>
                    <w:t>0.04</w:t>
                  </w:r>
                </w:p>
              </w:tc>
            </w:tr>
            <w:tr w14:paraId="47F2AD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435" w:type="pct"/>
                  <w:vMerge w:val="restart"/>
                  <w:shd w:val="clear" w:color="auto" w:fill="auto"/>
                  <w:vAlign w:val="center"/>
                </w:tcPr>
                <w:p w14:paraId="45EEACDD">
                  <w:pPr>
                    <w:widowControl/>
                    <w:jc w:val="center"/>
                    <w:rPr>
                      <w:rFonts w:eastAsiaTheme="majorEastAsia"/>
                      <w:kern w:val="0"/>
                      <w:szCs w:val="21"/>
                    </w:rPr>
                  </w:pPr>
                  <w:r>
                    <w:rPr>
                      <w:rFonts w:eastAsiaTheme="majorEastAsia"/>
                      <w:kern w:val="0"/>
                      <w:szCs w:val="21"/>
                    </w:rPr>
                    <w:t>纺丝组件清洗废水</w:t>
                  </w:r>
                </w:p>
              </w:tc>
              <w:tc>
                <w:tcPr>
                  <w:tcW w:w="435" w:type="pct"/>
                  <w:vMerge w:val="restart"/>
                  <w:shd w:val="clear" w:color="auto" w:fill="auto"/>
                  <w:vAlign w:val="center"/>
                </w:tcPr>
                <w:p w14:paraId="706A75FF">
                  <w:pPr>
                    <w:widowControl/>
                    <w:jc w:val="center"/>
                    <w:rPr>
                      <w:rFonts w:eastAsiaTheme="majorEastAsia"/>
                      <w:kern w:val="0"/>
                      <w:szCs w:val="21"/>
                    </w:rPr>
                  </w:pPr>
                  <w:r>
                    <w:rPr>
                      <w:rFonts w:eastAsiaTheme="majorEastAsia"/>
                      <w:kern w:val="0"/>
                      <w:szCs w:val="21"/>
                    </w:rPr>
                    <w:t>W2</w:t>
                  </w:r>
                </w:p>
              </w:tc>
              <w:tc>
                <w:tcPr>
                  <w:tcW w:w="564" w:type="pct"/>
                  <w:vMerge w:val="restart"/>
                  <w:shd w:val="clear" w:color="auto" w:fill="auto"/>
                  <w:vAlign w:val="center"/>
                </w:tcPr>
                <w:p w14:paraId="3F3D9E10">
                  <w:pPr>
                    <w:widowControl/>
                    <w:jc w:val="center"/>
                    <w:rPr>
                      <w:rFonts w:eastAsiaTheme="majorEastAsia"/>
                      <w:kern w:val="0"/>
                      <w:szCs w:val="21"/>
                    </w:rPr>
                  </w:pPr>
                  <w:r>
                    <w:rPr>
                      <w:rFonts w:eastAsiaTheme="majorEastAsia"/>
                      <w:kern w:val="0"/>
                      <w:szCs w:val="21"/>
                    </w:rPr>
                    <w:t>12600</w:t>
                  </w:r>
                </w:p>
              </w:tc>
              <w:tc>
                <w:tcPr>
                  <w:tcW w:w="435" w:type="pct"/>
                  <w:shd w:val="clear" w:color="auto" w:fill="auto"/>
                  <w:vAlign w:val="center"/>
                </w:tcPr>
                <w:p w14:paraId="39E5B157">
                  <w:pPr>
                    <w:widowControl/>
                    <w:jc w:val="center"/>
                    <w:rPr>
                      <w:rFonts w:eastAsiaTheme="majorEastAsia"/>
                      <w:kern w:val="0"/>
                      <w:szCs w:val="21"/>
                    </w:rPr>
                  </w:pPr>
                  <w:r>
                    <w:rPr>
                      <w:rFonts w:eastAsiaTheme="majorEastAsia"/>
                      <w:kern w:val="0"/>
                      <w:szCs w:val="21"/>
                    </w:rPr>
                    <w:t>COD</w:t>
                  </w:r>
                </w:p>
              </w:tc>
              <w:tc>
                <w:tcPr>
                  <w:tcW w:w="523" w:type="pct"/>
                  <w:shd w:val="clear" w:color="auto" w:fill="auto"/>
                  <w:vAlign w:val="center"/>
                </w:tcPr>
                <w:p w14:paraId="3BD1352A">
                  <w:pPr>
                    <w:widowControl/>
                    <w:jc w:val="center"/>
                    <w:rPr>
                      <w:rFonts w:eastAsiaTheme="majorEastAsia"/>
                      <w:kern w:val="0"/>
                      <w:szCs w:val="21"/>
                    </w:rPr>
                  </w:pPr>
                  <w:r>
                    <w:rPr>
                      <w:rFonts w:eastAsiaTheme="majorEastAsia"/>
                      <w:kern w:val="0"/>
                      <w:szCs w:val="21"/>
                    </w:rPr>
                    <w:t>1500</w:t>
                  </w:r>
                </w:p>
              </w:tc>
              <w:tc>
                <w:tcPr>
                  <w:tcW w:w="475" w:type="pct"/>
                  <w:shd w:val="clear" w:color="auto" w:fill="auto"/>
                  <w:vAlign w:val="center"/>
                </w:tcPr>
                <w:p w14:paraId="63F16EF0">
                  <w:pPr>
                    <w:widowControl/>
                    <w:jc w:val="center"/>
                    <w:rPr>
                      <w:rFonts w:eastAsiaTheme="majorEastAsia"/>
                      <w:kern w:val="0"/>
                      <w:szCs w:val="21"/>
                    </w:rPr>
                  </w:pPr>
                  <w:r>
                    <w:rPr>
                      <w:rFonts w:eastAsiaTheme="majorEastAsia"/>
                      <w:kern w:val="0"/>
                      <w:szCs w:val="21"/>
                    </w:rPr>
                    <w:t>18.90</w:t>
                  </w:r>
                </w:p>
              </w:tc>
              <w:tc>
                <w:tcPr>
                  <w:tcW w:w="684" w:type="pct"/>
                  <w:vMerge w:val="restart"/>
                  <w:shd w:val="clear" w:color="auto" w:fill="auto"/>
                  <w:vAlign w:val="center"/>
                </w:tcPr>
                <w:p w14:paraId="4039CF7E">
                  <w:pPr>
                    <w:widowControl/>
                    <w:jc w:val="center"/>
                    <w:rPr>
                      <w:rFonts w:eastAsiaTheme="majorEastAsia"/>
                      <w:kern w:val="0"/>
                      <w:szCs w:val="21"/>
                    </w:rPr>
                  </w:pPr>
                  <w:r>
                    <w:rPr>
                      <w:rFonts w:eastAsiaTheme="majorEastAsia"/>
                      <w:kern w:val="0"/>
                      <w:szCs w:val="21"/>
                    </w:rPr>
                    <w:t>直接进入混合调节池</w:t>
                  </w:r>
                </w:p>
              </w:tc>
              <w:tc>
                <w:tcPr>
                  <w:tcW w:w="435" w:type="pct"/>
                  <w:shd w:val="clear" w:color="auto" w:fill="auto"/>
                  <w:vAlign w:val="center"/>
                </w:tcPr>
                <w:p w14:paraId="04D9FA9B">
                  <w:pPr>
                    <w:widowControl/>
                    <w:jc w:val="center"/>
                    <w:rPr>
                      <w:rFonts w:eastAsiaTheme="majorEastAsia"/>
                      <w:kern w:val="0"/>
                      <w:szCs w:val="21"/>
                    </w:rPr>
                  </w:pPr>
                  <w:r>
                    <w:rPr>
                      <w:rFonts w:eastAsiaTheme="majorEastAsia"/>
                      <w:kern w:val="0"/>
                      <w:szCs w:val="21"/>
                    </w:rPr>
                    <w:t>COD</w:t>
                  </w:r>
                </w:p>
              </w:tc>
              <w:tc>
                <w:tcPr>
                  <w:tcW w:w="580" w:type="pct"/>
                  <w:shd w:val="clear" w:color="auto" w:fill="auto"/>
                  <w:vAlign w:val="center"/>
                </w:tcPr>
                <w:p w14:paraId="396FBA04">
                  <w:pPr>
                    <w:widowControl/>
                    <w:jc w:val="center"/>
                    <w:rPr>
                      <w:rFonts w:eastAsiaTheme="majorEastAsia"/>
                      <w:kern w:val="0"/>
                      <w:szCs w:val="21"/>
                    </w:rPr>
                  </w:pPr>
                  <w:r>
                    <w:rPr>
                      <w:rFonts w:eastAsiaTheme="majorEastAsia"/>
                      <w:kern w:val="0"/>
                      <w:szCs w:val="21"/>
                    </w:rPr>
                    <w:t>1500</w:t>
                  </w:r>
                </w:p>
              </w:tc>
              <w:tc>
                <w:tcPr>
                  <w:tcW w:w="435" w:type="pct"/>
                  <w:shd w:val="clear" w:color="auto" w:fill="auto"/>
                  <w:vAlign w:val="center"/>
                </w:tcPr>
                <w:p w14:paraId="0E3FFDA7">
                  <w:pPr>
                    <w:widowControl/>
                    <w:jc w:val="center"/>
                    <w:rPr>
                      <w:rFonts w:eastAsiaTheme="majorEastAsia"/>
                      <w:kern w:val="0"/>
                      <w:szCs w:val="21"/>
                    </w:rPr>
                  </w:pPr>
                  <w:r>
                    <w:rPr>
                      <w:rFonts w:eastAsiaTheme="majorEastAsia"/>
                      <w:kern w:val="0"/>
                      <w:szCs w:val="21"/>
                    </w:rPr>
                    <w:t>18.90</w:t>
                  </w:r>
                </w:p>
              </w:tc>
            </w:tr>
            <w:tr w14:paraId="2A4C55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5" w:type="pct"/>
                  <w:vMerge w:val="continue"/>
                  <w:vAlign w:val="center"/>
                </w:tcPr>
                <w:p w14:paraId="43E7E2EA">
                  <w:pPr>
                    <w:widowControl/>
                    <w:jc w:val="left"/>
                    <w:rPr>
                      <w:rFonts w:eastAsiaTheme="majorEastAsia"/>
                      <w:kern w:val="0"/>
                      <w:szCs w:val="21"/>
                    </w:rPr>
                  </w:pPr>
                </w:p>
              </w:tc>
              <w:tc>
                <w:tcPr>
                  <w:tcW w:w="435" w:type="pct"/>
                  <w:vMerge w:val="continue"/>
                  <w:vAlign w:val="center"/>
                </w:tcPr>
                <w:p w14:paraId="31F8F962">
                  <w:pPr>
                    <w:widowControl/>
                    <w:jc w:val="left"/>
                    <w:rPr>
                      <w:rFonts w:eastAsiaTheme="majorEastAsia"/>
                      <w:kern w:val="0"/>
                      <w:szCs w:val="21"/>
                    </w:rPr>
                  </w:pPr>
                </w:p>
              </w:tc>
              <w:tc>
                <w:tcPr>
                  <w:tcW w:w="564" w:type="pct"/>
                  <w:vMerge w:val="continue"/>
                  <w:vAlign w:val="center"/>
                </w:tcPr>
                <w:p w14:paraId="3783FE4B">
                  <w:pPr>
                    <w:widowControl/>
                    <w:jc w:val="left"/>
                    <w:rPr>
                      <w:rFonts w:eastAsiaTheme="majorEastAsia"/>
                      <w:kern w:val="0"/>
                      <w:szCs w:val="21"/>
                    </w:rPr>
                  </w:pPr>
                </w:p>
              </w:tc>
              <w:tc>
                <w:tcPr>
                  <w:tcW w:w="435" w:type="pct"/>
                  <w:shd w:val="clear" w:color="auto" w:fill="auto"/>
                  <w:vAlign w:val="center"/>
                </w:tcPr>
                <w:p w14:paraId="5DBF46FB">
                  <w:pPr>
                    <w:widowControl/>
                    <w:jc w:val="center"/>
                    <w:rPr>
                      <w:rFonts w:eastAsiaTheme="majorEastAsia"/>
                      <w:kern w:val="0"/>
                      <w:szCs w:val="21"/>
                    </w:rPr>
                  </w:pPr>
                  <w:r>
                    <w:rPr>
                      <w:rFonts w:eastAsiaTheme="majorEastAsia"/>
                      <w:kern w:val="0"/>
                      <w:szCs w:val="21"/>
                    </w:rPr>
                    <w:t>SS</w:t>
                  </w:r>
                </w:p>
              </w:tc>
              <w:tc>
                <w:tcPr>
                  <w:tcW w:w="523" w:type="pct"/>
                  <w:shd w:val="clear" w:color="auto" w:fill="auto"/>
                  <w:vAlign w:val="center"/>
                </w:tcPr>
                <w:p w14:paraId="0E12ECD2">
                  <w:pPr>
                    <w:widowControl/>
                    <w:jc w:val="center"/>
                    <w:rPr>
                      <w:rFonts w:eastAsiaTheme="majorEastAsia"/>
                      <w:kern w:val="0"/>
                      <w:szCs w:val="21"/>
                    </w:rPr>
                  </w:pPr>
                  <w:r>
                    <w:rPr>
                      <w:rFonts w:eastAsiaTheme="majorEastAsia"/>
                      <w:kern w:val="0"/>
                      <w:szCs w:val="21"/>
                    </w:rPr>
                    <w:t>400</w:t>
                  </w:r>
                </w:p>
              </w:tc>
              <w:tc>
                <w:tcPr>
                  <w:tcW w:w="475" w:type="pct"/>
                  <w:shd w:val="clear" w:color="auto" w:fill="auto"/>
                  <w:vAlign w:val="center"/>
                </w:tcPr>
                <w:p w14:paraId="0713DB68">
                  <w:pPr>
                    <w:widowControl/>
                    <w:jc w:val="center"/>
                    <w:rPr>
                      <w:rFonts w:eastAsiaTheme="majorEastAsia"/>
                      <w:kern w:val="0"/>
                      <w:szCs w:val="21"/>
                    </w:rPr>
                  </w:pPr>
                  <w:r>
                    <w:rPr>
                      <w:rFonts w:eastAsiaTheme="majorEastAsia"/>
                      <w:kern w:val="0"/>
                      <w:szCs w:val="21"/>
                    </w:rPr>
                    <w:t>5.04</w:t>
                  </w:r>
                </w:p>
              </w:tc>
              <w:tc>
                <w:tcPr>
                  <w:tcW w:w="684" w:type="pct"/>
                  <w:vMerge w:val="continue"/>
                  <w:vAlign w:val="center"/>
                </w:tcPr>
                <w:p w14:paraId="1FD4D137">
                  <w:pPr>
                    <w:widowControl/>
                    <w:jc w:val="left"/>
                    <w:rPr>
                      <w:rFonts w:eastAsiaTheme="majorEastAsia"/>
                      <w:kern w:val="0"/>
                      <w:szCs w:val="21"/>
                    </w:rPr>
                  </w:pPr>
                </w:p>
              </w:tc>
              <w:tc>
                <w:tcPr>
                  <w:tcW w:w="435" w:type="pct"/>
                  <w:shd w:val="clear" w:color="auto" w:fill="auto"/>
                  <w:vAlign w:val="center"/>
                </w:tcPr>
                <w:p w14:paraId="426AF9CE">
                  <w:pPr>
                    <w:widowControl/>
                    <w:jc w:val="center"/>
                    <w:rPr>
                      <w:rFonts w:eastAsiaTheme="majorEastAsia"/>
                      <w:kern w:val="0"/>
                      <w:szCs w:val="21"/>
                    </w:rPr>
                  </w:pPr>
                  <w:r>
                    <w:rPr>
                      <w:rFonts w:eastAsiaTheme="majorEastAsia"/>
                      <w:kern w:val="0"/>
                      <w:szCs w:val="21"/>
                    </w:rPr>
                    <w:t>SS</w:t>
                  </w:r>
                </w:p>
              </w:tc>
              <w:tc>
                <w:tcPr>
                  <w:tcW w:w="580" w:type="pct"/>
                  <w:shd w:val="clear" w:color="auto" w:fill="auto"/>
                  <w:vAlign w:val="center"/>
                </w:tcPr>
                <w:p w14:paraId="1CFE30F9">
                  <w:pPr>
                    <w:widowControl/>
                    <w:jc w:val="center"/>
                    <w:rPr>
                      <w:rFonts w:eastAsiaTheme="majorEastAsia"/>
                      <w:kern w:val="0"/>
                      <w:szCs w:val="21"/>
                    </w:rPr>
                  </w:pPr>
                  <w:r>
                    <w:rPr>
                      <w:rFonts w:eastAsiaTheme="majorEastAsia"/>
                      <w:kern w:val="0"/>
                      <w:szCs w:val="21"/>
                    </w:rPr>
                    <w:t>400</w:t>
                  </w:r>
                </w:p>
              </w:tc>
              <w:tc>
                <w:tcPr>
                  <w:tcW w:w="435" w:type="pct"/>
                  <w:shd w:val="clear" w:color="auto" w:fill="auto"/>
                  <w:vAlign w:val="center"/>
                </w:tcPr>
                <w:p w14:paraId="5EA991D4">
                  <w:pPr>
                    <w:widowControl/>
                    <w:jc w:val="center"/>
                    <w:rPr>
                      <w:rFonts w:eastAsiaTheme="majorEastAsia"/>
                      <w:kern w:val="0"/>
                      <w:szCs w:val="21"/>
                    </w:rPr>
                  </w:pPr>
                  <w:r>
                    <w:rPr>
                      <w:rFonts w:eastAsiaTheme="majorEastAsia"/>
                      <w:kern w:val="0"/>
                      <w:szCs w:val="21"/>
                    </w:rPr>
                    <w:t>5.04</w:t>
                  </w:r>
                </w:p>
              </w:tc>
            </w:tr>
            <w:tr w14:paraId="52FD43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5" w:type="pct"/>
                  <w:vMerge w:val="continue"/>
                  <w:vAlign w:val="center"/>
                </w:tcPr>
                <w:p w14:paraId="4D8810E6">
                  <w:pPr>
                    <w:widowControl/>
                    <w:jc w:val="left"/>
                    <w:rPr>
                      <w:rFonts w:eastAsiaTheme="majorEastAsia"/>
                      <w:kern w:val="0"/>
                      <w:szCs w:val="21"/>
                    </w:rPr>
                  </w:pPr>
                </w:p>
              </w:tc>
              <w:tc>
                <w:tcPr>
                  <w:tcW w:w="435" w:type="pct"/>
                  <w:vMerge w:val="continue"/>
                  <w:vAlign w:val="center"/>
                </w:tcPr>
                <w:p w14:paraId="77FD382B">
                  <w:pPr>
                    <w:widowControl/>
                    <w:jc w:val="left"/>
                    <w:rPr>
                      <w:rFonts w:eastAsiaTheme="majorEastAsia"/>
                      <w:kern w:val="0"/>
                      <w:szCs w:val="21"/>
                    </w:rPr>
                  </w:pPr>
                </w:p>
              </w:tc>
              <w:tc>
                <w:tcPr>
                  <w:tcW w:w="564" w:type="pct"/>
                  <w:vMerge w:val="continue"/>
                  <w:vAlign w:val="center"/>
                </w:tcPr>
                <w:p w14:paraId="4860CA0C">
                  <w:pPr>
                    <w:widowControl/>
                    <w:jc w:val="left"/>
                    <w:rPr>
                      <w:rFonts w:eastAsiaTheme="majorEastAsia"/>
                      <w:kern w:val="0"/>
                      <w:szCs w:val="21"/>
                    </w:rPr>
                  </w:pPr>
                </w:p>
              </w:tc>
              <w:tc>
                <w:tcPr>
                  <w:tcW w:w="435" w:type="pct"/>
                  <w:shd w:val="clear" w:color="auto" w:fill="auto"/>
                  <w:vAlign w:val="center"/>
                </w:tcPr>
                <w:p w14:paraId="44341516">
                  <w:pPr>
                    <w:widowControl/>
                    <w:jc w:val="center"/>
                    <w:rPr>
                      <w:rFonts w:eastAsiaTheme="majorEastAsia"/>
                      <w:kern w:val="0"/>
                      <w:szCs w:val="21"/>
                    </w:rPr>
                  </w:pPr>
                  <w:r>
                    <w:rPr>
                      <w:rFonts w:eastAsiaTheme="majorEastAsia"/>
                      <w:kern w:val="0"/>
                      <w:szCs w:val="21"/>
                    </w:rPr>
                    <w:t>石油类</w:t>
                  </w:r>
                </w:p>
              </w:tc>
              <w:tc>
                <w:tcPr>
                  <w:tcW w:w="523" w:type="pct"/>
                  <w:shd w:val="clear" w:color="auto" w:fill="auto"/>
                  <w:vAlign w:val="center"/>
                </w:tcPr>
                <w:p w14:paraId="1D19C7F5">
                  <w:pPr>
                    <w:widowControl/>
                    <w:jc w:val="center"/>
                    <w:rPr>
                      <w:rFonts w:eastAsiaTheme="majorEastAsia"/>
                      <w:kern w:val="0"/>
                      <w:szCs w:val="21"/>
                    </w:rPr>
                  </w:pPr>
                  <w:r>
                    <w:rPr>
                      <w:rFonts w:eastAsiaTheme="majorEastAsia"/>
                      <w:kern w:val="0"/>
                      <w:szCs w:val="21"/>
                    </w:rPr>
                    <w:t>100</w:t>
                  </w:r>
                </w:p>
              </w:tc>
              <w:tc>
                <w:tcPr>
                  <w:tcW w:w="475" w:type="pct"/>
                  <w:shd w:val="clear" w:color="auto" w:fill="auto"/>
                  <w:vAlign w:val="center"/>
                </w:tcPr>
                <w:p w14:paraId="0118C91D">
                  <w:pPr>
                    <w:widowControl/>
                    <w:jc w:val="center"/>
                    <w:rPr>
                      <w:rFonts w:eastAsiaTheme="majorEastAsia"/>
                      <w:kern w:val="0"/>
                      <w:szCs w:val="21"/>
                    </w:rPr>
                  </w:pPr>
                  <w:r>
                    <w:rPr>
                      <w:rFonts w:eastAsiaTheme="majorEastAsia"/>
                      <w:kern w:val="0"/>
                      <w:szCs w:val="21"/>
                    </w:rPr>
                    <w:t>1.26</w:t>
                  </w:r>
                </w:p>
              </w:tc>
              <w:tc>
                <w:tcPr>
                  <w:tcW w:w="684" w:type="pct"/>
                  <w:vMerge w:val="continue"/>
                  <w:vAlign w:val="center"/>
                </w:tcPr>
                <w:p w14:paraId="2EE81F79">
                  <w:pPr>
                    <w:widowControl/>
                    <w:jc w:val="left"/>
                    <w:rPr>
                      <w:rFonts w:eastAsiaTheme="majorEastAsia"/>
                      <w:kern w:val="0"/>
                      <w:szCs w:val="21"/>
                    </w:rPr>
                  </w:pPr>
                </w:p>
              </w:tc>
              <w:tc>
                <w:tcPr>
                  <w:tcW w:w="435" w:type="pct"/>
                  <w:shd w:val="clear" w:color="auto" w:fill="auto"/>
                  <w:vAlign w:val="center"/>
                </w:tcPr>
                <w:p w14:paraId="1A0C38CE">
                  <w:pPr>
                    <w:widowControl/>
                    <w:jc w:val="center"/>
                    <w:rPr>
                      <w:rFonts w:eastAsiaTheme="majorEastAsia"/>
                      <w:kern w:val="0"/>
                      <w:szCs w:val="21"/>
                    </w:rPr>
                  </w:pPr>
                  <w:r>
                    <w:rPr>
                      <w:rFonts w:eastAsiaTheme="majorEastAsia"/>
                      <w:kern w:val="0"/>
                      <w:szCs w:val="21"/>
                    </w:rPr>
                    <w:t>石油类</w:t>
                  </w:r>
                </w:p>
              </w:tc>
              <w:tc>
                <w:tcPr>
                  <w:tcW w:w="580" w:type="pct"/>
                  <w:shd w:val="clear" w:color="auto" w:fill="auto"/>
                  <w:vAlign w:val="center"/>
                </w:tcPr>
                <w:p w14:paraId="61EBFFA1">
                  <w:pPr>
                    <w:widowControl/>
                    <w:jc w:val="center"/>
                    <w:rPr>
                      <w:rFonts w:eastAsiaTheme="majorEastAsia"/>
                      <w:kern w:val="0"/>
                      <w:szCs w:val="21"/>
                    </w:rPr>
                  </w:pPr>
                  <w:r>
                    <w:rPr>
                      <w:rFonts w:eastAsiaTheme="majorEastAsia"/>
                      <w:kern w:val="0"/>
                      <w:szCs w:val="21"/>
                    </w:rPr>
                    <w:t>100</w:t>
                  </w:r>
                </w:p>
              </w:tc>
              <w:tc>
                <w:tcPr>
                  <w:tcW w:w="435" w:type="pct"/>
                  <w:shd w:val="clear" w:color="auto" w:fill="auto"/>
                  <w:vAlign w:val="center"/>
                </w:tcPr>
                <w:p w14:paraId="35BA9BF1">
                  <w:pPr>
                    <w:widowControl/>
                    <w:jc w:val="center"/>
                    <w:rPr>
                      <w:rFonts w:eastAsiaTheme="majorEastAsia"/>
                      <w:kern w:val="0"/>
                      <w:szCs w:val="21"/>
                    </w:rPr>
                  </w:pPr>
                  <w:r>
                    <w:rPr>
                      <w:rFonts w:eastAsiaTheme="majorEastAsia"/>
                      <w:kern w:val="0"/>
                      <w:szCs w:val="21"/>
                    </w:rPr>
                    <w:t>1.26</w:t>
                  </w:r>
                </w:p>
              </w:tc>
            </w:tr>
            <w:tr w14:paraId="536B2B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5" w:type="pct"/>
                  <w:vMerge w:val="restart"/>
                  <w:shd w:val="clear" w:color="auto" w:fill="auto"/>
                  <w:vAlign w:val="center"/>
                </w:tcPr>
                <w:p w14:paraId="5917E0C9">
                  <w:pPr>
                    <w:widowControl/>
                    <w:jc w:val="center"/>
                    <w:rPr>
                      <w:rFonts w:eastAsiaTheme="majorEastAsia"/>
                      <w:kern w:val="0"/>
                      <w:szCs w:val="21"/>
                    </w:rPr>
                  </w:pPr>
                  <w:r>
                    <w:rPr>
                      <w:rFonts w:eastAsiaTheme="majorEastAsia"/>
                      <w:kern w:val="0"/>
                      <w:szCs w:val="21"/>
                    </w:rPr>
                    <w:t>纺丝油烟净化装置冲洗废水</w:t>
                  </w:r>
                </w:p>
              </w:tc>
              <w:tc>
                <w:tcPr>
                  <w:tcW w:w="435" w:type="pct"/>
                  <w:vMerge w:val="restart"/>
                  <w:shd w:val="clear" w:color="auto" w:fill="auto"/>
                  <w:vAlign w:val="center"/>
                </w:tcPr>
                <w:p w14:paraId="04175770">
                  <w:pPr>
                    <w:widowControl/>
                    <w:jc w:val="center"/>
                    <w:rPr>
                      <w:rFonts w:eastAsiaTheme="majorEastAsia"/>
                      <w:kern w:val="0"/>
                      <w:szCs w:val="21"/>
                    </w:rPr>
                  </w:pPr>
                  <w:r>
                    <w:rPr>
                      <w:rFonts w:eastAsiaTheme="majorEastAsia"/>
                      <w:kern w:val="0"/>
                      <w:szCs w:val="21"/>
                    </w:rPr>
                    <w:t>W3</w:t>
                  </w:r>
                </w:p>
              </w:tc>
              <w:tc>
                <w:tcPr>
                  <w:tcW w:w="564" w:type="pct"/>
                  <w:vMerge w:val="restart"/>
                  <w:shd w:val="clear" w:color="auto" w:fill="auto"/>
                  <w:vAlign w:val="center"/>
                </w:tcPr>
                <w:p w14:paraId="0E82240E">
                  <w:pPr>
                    <w:widowControl/>
                    <w:jc w:val="center"/>
                    <w:rPr>
                      <w:rFonts w:eastAsiaTheme="majorEastAsia"/>
                      <w:kern w:val="0"/>
                      <w:szCs w:val="21"/>
                    </w:rPr>
                  </w:pPr>
                  <w:r>
                    <w:rPr>
                      <w:rFonts w:eastAsiaTheme="majorEastAsia"/>
                      <w:kern w:val="0"/>
                      <w:szCs w:val="21"/>
                    </w:rPr>
                    <w:t>240</w:t>
                  </w:r>
                </w:p>
              </w:tc>
              <w:tc>
                <w:tcPr>
                  <w:tcW w:w="435" w:type="pct"/>
                  <w:shd w:val="clear" w:color="auto" w:fill="auto"/>
                  <w:vAlign w:val="center"/>
                </w:tcPr>
                <w:p w14:paraId="31ADE1B0">
                  <w:pPr>
                    <w:widowControl/>
                    <w:jc w:val="center"/>
                    <w:rPr>
                      <w:rFonts w:eastAsiaTheme="majorEastAsia"/>
                      <w:kern w:val="0"/>
                      <w:szCs w:val="21"/>
                    </w:rPr>
                  </w:pPr>
                  <w:r>
                    <w:rPr>
                      <w:rFonts w:eastAsiaTheme="majorEastAsia"/>
                      <w:kern w:val="0"/>
                      <w:szCs w:val="21"/>
                    </w:rPr>
                    <w:t>COD</w:t>
                  </w:r>
                </w:p>
              </w:tc>
              <w:tc>
                <w:tcPr>
                  <w:tcW w:w="523" w:type="pct"/>
                  <w:shd w:val="clear" w:color="auto" w:fill="auto"/>
                  <w:vAlign w:val="center"/>
                </w:tcPr>
                <w:p w14:paraId="76B7E40B">
                  <w:pPr>
                    <w:widowControl/>
                    <w:jc w:val="center"/>
                    <w:rPr>
                      <w:rFonts w:eastAsiaTheme="majorEastAsia"/>
                      <w:kern w:val="0"/>
                      <w:szCs w:val="21"/>
                    </w:rPr>
                  </w:pPr>
                  <w:r>
                    <w:rPr>
                      <w:rFonts w:eastAsiaTheme="majorEastAsia"/>
                      <w:kern w:val="0"/>
                      <w:szCs w:val="21"/>
                    </w:rPr>
                    <w:t>20000</w:t>
                  </w:r>
                </w:p>
              </w:tc>
              <w:tc>
                <w:tcPr>
                  <w:tcW w:w="475" w:type="pct"/>
                  <w:shd w:val="clear" w:color="auto" w:fill="auto"/>
                  <w:vAlign w:val="center"/>
                </w:tcPr>
                <w:p w14:paraId="07B4624D">
                  <w:pPr>
                    <w:widowControl/>
                    <w:jc w:val="center"/>
                    <w:rPr>
                      <w:rFonts w:eastAsiaTheme="majorEastAsia"/>
                      <w:kern w:val="0"/>
                      <w:szCs w:val="21"/>
                    </w:rPr>
                  </w:pPr>
                  <w:r>
                    <w:rPr>
                      <w:rFonts w:eastAsiaTheme="majorEastAsia"/>
                      <w:kern w:val="0"/>
                      <w:szCs w:val="21"/>
                    </w:rPr>
                    <w:t>4.8</w:t>
                  </w:r>
                </w:p>
              </w:tc>
              <w:tc>
                <w:tcPr>
                  <w:tcW w:w="684" w:type="pct"/>
                  <w:vMerge w:val="restart"/>
                  <w:shd w:val="clear" w:color="auto" w:fill="auto"/>
                  <w:vAlign w:val="center"/>
                </w:tcPr>
                <w:p w14:paraId="2E2BD175">
                  <w:pPr>
                    <w:widowControl/>
                    <w:jc w:val="center"/>
                    <w:rPr>
                      <w:rFonts w:eastAsiaTheme="majorEastAsia"/>
                      <w:kern w:val="0"/>
                      <w:szCs w:val="21"/>
                    </w:rPr>
                  </w:pPr>
                  <w:r>
                    <w:rPr>
                      <w:rFonts w:eastAsiaTheme="majorEastAsia"/>
                      <w:kern w:val="0"/>
                      <w:szCs w:val="21"/>
                    </w:rPr>
                    <w:t>经气浮+均质酸化+厌氧预处理后接入综合废水调节池</w:t>
                  </w:r>
                </w:p>
              </w:tc>
              <w:tc>
                <w:tcPr>
                  <w:tcW w:w="435" w:type="pct"/>
                  <w:shd w:val="clear" w:color="auto" w:fill="auto"/>
                  <w:vAlign w:val="center"/>
                </w:tcPr>
                <w:p w14:paraId="620F32CB">
                  <w:pPr>
                    <w:widowControl/>
                    <w:jc w:val="center"/>
                    <w:rPr>
                      <w:rFonts w:eastAsiaTheme="majorEastAsia"/>
                      <w:kern w:val="0"/>
                      <w:szCs w:val="21"/>
                    </w:rPr>
                  </w:pPr>
                  <w:r>
                    <w:rPr>
                      <w:rFonts w:eastAsiaTheme="majorEastAsia"/>
                      <w:kern w:val="0"/>
                      <w:szCs w:val="21"/>
                    </w:rPr>
                    <w:t>废水量</w:t>
                  </w:r>
                </w:p>
              </w:tc>
              <w:tc>
                <w:tcPr>
                  <w:tcW w:w="580" w:type="pct"/>
                  <w:shd w:val="clear" w:color="auto" w:fill="auto"/>
                  <w:vAlign w:val="center"/>
                </w:tcPr>
                <w:p w14:paraId="7C1C85E9">
                  <w:pPr>
                    <w:widowControl/>
                    <w:jc w:val="center"/>
                    <w:rPr>
                      <w:rFonts w:eastAsiaTheme="majorEastAsia"/>
                      <w:kern w:val="0"/>
                      <w:szCs w:val="21"/>
                    </w:rPr>
                  </w:pPr>
                  <w:r>
                    <w:rPr>
                      <w:rFonts w:eastAsiaTheme="majorEastAsia"/>
                      <w:kern w:val="0"/>
                      <w:szCs w:val="21"/>
                    </w:rPr>
                    <w:t>/</w:t>
                  </w:r>
                </w:p>
              </w:tc>
              <w:tc>
                <w:tcPr>
                  <w:tcW w:w="435" w:type="pct"/>
                  <w:shd w:val="clear" w:color="auto" w:fill="auto"/>
                  <w:vAlign w:val="center"/>
                </w:tcPr>
                <w:p w14:paraId="6D4A389F">
                  <w:pPr>
                    <w:widowControl/>
                    <w:jc w:val="center"/>
                    <w:rPr>
                      <w:rFonts w:eastAsiaTheme="majorEastAsia"/>
                      <w:kern w:val="0"/>
                      <w:szCs w:val="21"/>
                    </w:rPr>
                  </w:pPr>
                  <w:r>
                    <w:rPr>
                      <w:rFonts w:eastAsiaTheme="majorEastAsia"/>
                      <w:kern w:val="0"/>
                      <w:szCs w:val="21"/>
                    </w:rPr>
                    <w:t>240</w:t>
                  </w:r>
                </w:p>
              </w:tc>
            </w:tr>
            <w:tr w14:paraId="180A9C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5" w:type="pct"/>
                  <w:vMerge w:val="continue"/>
                  <w:vAlign w:val="center"/>
                </w:tcPr>
                <w:p w14:paraId="515FF607">
                  <w:pPr>
                    <w:widowControl/>
                    <w:jc w:val="left"/>
                    <w:rPr>
                      <w:rFonts w:eastAsiaTheme="majorEastAsia"/>
                      <w:kern w:val="0"/>
                      <w:szCs w:val="21"/>
                    </w:rPr>
                  </w:pPr>
                </w:p>
              </w:tc>
              <w:tc>
                <w:tcPr>
                  <w:tcW w:w="435" w:type="pct"/>
                  <w:vMerge w:val="continue"/>
                  <w:vAlign w:val="center"/>
                </w:tcPr>
                <w:p w14:paraId="696E55FD">
                  <w:pPr>
                    <w:widowControl/>
                    <w:jc w:val="left"/>
                    <w:rPr>
                      <w:rFonts w:eastAsiaTheme="majorEastAsia"/>
                      <w:kern w:val="0"/>
                      <w:szCs w:val="21"/>
                    </w:rPr>
                  </w:pPr>
                </w:p>
              </w:tc>
              <w:tc>
                <w:tcPr>
                  <w:tcW w:w="564" w:type="pct"/>
                  <w:vMerge w:val="continue"/>
                  <w:vAlign w:val="center"/>
                </w:tcPr>
                <w:p w14:paraId="48E5B6E2">
                  <w:pPr>
                    <w:widowControl/>
                    <w:jc w:val="left"/>
                    <w:rPr>
                      <w:rFonts w:eastAsiaTheme="majorEastAsia"/>
                      <w:kern w:val="0"/>
                      <w:szCs w:val="21"/>
                    </w:rPr>
                  </w:pPr>
                </w:p>
              </w:tc>
              <w:tc>
                <w:tcPr>
                  <w:tcW w:w="435" w:type="pct"/>
                  <w:shd w:val="clear" w:color="auto" w:fill="auto"/>
                  <w:vAlign w:val="center"/>
                </w:tcPr>
                <w:p w14:paraId="2FA5CC20">
                  <w:pPr>
                    <w:widowControl/>
                    <w:jc w:val="center"/>
                    <w:rPr>
                      <w:rFonts w:eastAsiaTheme="majorEastAsia"/>
                      <w:kern w:val="0"/>
                      <w:szCs w:val="21"/>
                    </w:rPr>
                  </w:pPr>
                  <w:r>
                    <w:rPr>
                      <w:rFonts w:eastAsiaTheme="majorEastAsia"/>
                      <w:kern w:val="0"/>
                      <w:szCs w:val="21"/>
                    </w:rPr>
                    <w:t>SS</w:t>
                  </w:r>
                </w:p>
              </w:tc>
              <w:tc>
                <w:tcPr>
                  <w:tcW w:w="523" w:type="pct"/>
                  <w:shd w:val="clear" w:color="auto" w:fill="auto"/>
                  <w:vAlign w:val="center"/>
                </w:tcPr>
                <w:p w14:paraId="0694C12B">
                  <w:pPr>
                    <w:widowControl/>
                    <w:jc w:val="center"/>
                    <w:rPr>
                      <w:rFonts w:eastAsiaTheme="majorEastAsia"/>
                      <w:kern w:val="0"/>
                      <w:szCs w:val="21"/>
                    </w:rPr>
                  </w:pPr>
                  <w:r>
                    <w:rPr>
                      <w:rFonts w:eastAsiaTheme="majorEastAsia"/>
                      <w:kern w:val="0"/>
                      <w:szCs w:val="21"/>
                    </w:rPr>
                    <w:t>200</w:t>
                  </w:r>
                </w:p>
              </w:tc>
              <w:tc>
                <w:tcPr>
                  <w:tcW w:w="475" w:type="pct"/>
                  <w:shd w:val="clear" w:color="auto" w:fill="auto"/>
                  <w:vAlign w:val="center"/>
                </w:tcPr>
                <w:p w14:paraId="13C3446C">
                  <w:pPr>
                    <w:widowControl/>
                    <w:jc w:val="center"/>
                    <w:rPr>
                      <w:rFonts w:eastAsiaTheme="majorEastAsia"/>
                      <w:kern w:val="0"/>
                      <w:szCs w:val="21"/>
                    </w:rPr>
                  </w:pPr>
                  <w:r>
                    <w:rPr>
                      <w:rFonts w:eastAsiaTheme="majorEastAsia"/>
                      <w:kern w:val="0"/>
                      <w:szCs w:val="21"/>
                    </w:rPr>
                    <w:t>0.048</w:t>
                  </w:r>
                </w:p>
              </w:tc>
              <w:tc>
                <w:tcPr>
                  <w:tcW w:w="684" w:type="pct"/>
                  <w:vMerge w:val="continue"/>
                  <w:vAlign w:val="center"/>
                </w:tcPr>
                <w:p w14:paraId="4524A6BF">
                  <w:pPr>
                    <w:widowControl/>
                    <w:jc w:val="left"/>
                    <w:rPr>
                      <w:rFonts w:eastAsiaTheme="majorEastAsia"/>
                      <w:kern w:val="0"/>
                      <w:szCs w:val="21"/>
                    </w:rPr>
                  </w:pPr>
                </w:p>
              </w:tc>
              <w:tc>
                <w:tcPr>
                  <w:tcW w:w="435" w:type="pct"/>
                  <w:shd w:val="clear" w:color="auto" w:fill="auto"/>
                  <w:vAlign w:val="center"/>
                </w:tcPr>
                <w:p w14:paraId="2A1DBA1D">
                  <w:pPr>
                    <w:widowControl/>
                    <w:jc w:val="center"/>
                    <w:rPr>
                      <w:rFonts w:eastAsiaTheme="majorEastAsia"/>
                      <w:kern w:val="0"/>
                      <w:szCs w:val="21"/>
                    </w:rPr>
                  </w:pPr>
                  <w:r>
                    <w:rPr>
                      <w:rFonts w:eastAsiaTheme="majorEastAsia"/>
                      <w:kern w:val="0"/>
                      <w:szCs w:val="21"/>
                    </w:rPr>
                    <w:t>COD</w:t>
                  </w:r>
                </w:p>
              </w:tc>
              <w:tc>
                <w:tcPr>
                  <w:tcW w:w="580" w:type="pct"/>
                  <w:shd w:val="clear" w:color="auto" w:fill="auto"/>
                  <w:vAlign w:val="center"/>
                </w:tcPr>
                <w:p w14:paraId="5179C460">
                  <w:pPr>
                    <w:widowControl/>
                    <w:jc w:val="center"/>
                    <w:rPr>
                      <w:rFonts w:eastAsiaTheme="majorEastAsia"/>
                      <w:kern w:val="0"/>
                      <w:szCs w:val="21"/>
                    </w:rPr>
                  </w:pPr>
                  <w:r>
                    <w:rPr>
                      <w:rFonts w:eastAsiaTheme="majorEastAsia"/>
                      <w:kern w:val="0"/>
                      <w:szCs w:val="21"/>
                    </w:rPr>
                    <w:t>3200</w:t>
                  </w:r>
                </w:p>
              </w:tc>
              <w:tc>
                <w:tcPr>
                  <w:tcW w:w="435" w:type="pct"/>
                  <w:shd w:val="clear" w:color="auto" w:fill="auto"/>
                  <w:vAlign w:val="center"/>
                </w:tcPr>
                <w:p w14:paraId="476F688C">
                  <w:pPr>
                    <w:widowControl/>
                    <w:jc w:val="center"/>
                    <w:rPr>
                      <w:rFonts w:eastAsiaTheme="majorEastAsia"/>
                      <w:kern w:val="0"/>
                      <w:szCs w:val="21"/>
                    </w:rPr>
                  </w:pPr>
                  <w:r>
                    <w:rPr>
                      <w:rFonts w:eastAsiaTheme="majorEastAsia"/>
                      <w:kern w:val="0"/>
                      <w:szCs w:val="21"/>
                    </w:rPr>
                    <w:t>0.77</w:t>
                  </w:r>
                </w:p>
              </w:tc>
            </w:tr>
            <w:tr w14:paraId="321E2A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5" w:type="pct"/>
                  <w:vMerge w:val="continue"/>
                  <w:vAlign w:val="center"/>
                </w:tcPr>
                <w:p w14:paraId="6A191179">
                  <w:pPr>
                    <w:widowControl/>
                    <w:jc w:val="left"/>
                    <w:rPr>
                      <w:rFonts w:eastAsiaTheme="majorEastAsia"/>
                      <w:kern w:val="0"/>
                      <w:szCs w:val="21"/>
                    </w:rPr>
                  </w:pPr>
                </w:p>
              </w:tc>
              <w:tc>
                <w:tcPr>
                  <w:tcW w:w="435" w:type="pct"/>
                  <w:vMerge w:val="continue"/>
                  <w:vAlign w:val="center"/>
                </w:tcPr>
                <w:p w14:paraId="5EC04112">
                  <w:pPr>
                    <w:widowControl/>
                    <w:jc w:val="left"/>
                    <w:rPr>
                      <w:rFonts w:eastAsiaTheme="majorEastAsia"/>
                      <w:kern w:val="0"/>
                      <w:szCs w:val="21"/>
                    </w:rPr>
                  </w:pPr>
                </w:p>
              </w:tc>
              <w:tc>
                <w:tcPr>
                  <w:tcW w:w="564" w:type="pct"/>
                  <w:vMerge w:val="continue"/>
                  <w:vAlign w:val="center"/>
                </w:tcPr>
                <w:p w14:paraId="108D41E2">
                  <w:pPr>
                    <w:widowControl/>
                    <w:jc w:val="left"/>
                    <w:rPr>
                      <w:rFonts w:eastAsiaTheme="majorEastAsia"/>
                      <w:kern w:val="0"/>
                      <w:szCs w:val="21"/>
                    </w:rPr>
                  </w:pPr>
                </w:p>
              </w:tc>
              <w:tc>
                <w:tcPr>
                  <w:tcW w:w="435" w:type="pct"/>
                  <w:vMerge w:val="restart"/>
                  <w:shd w:val="clear" w:color="auto" w:fill="auto"/>
                  <w:vAlign w:val="center"/>
                </w:tcPr>
                <w:p w14:paraId="162535A0">
                  <w:pPr>
                    <w:widowControl/>
                    <w:jc w:val="center"/>
                    <w:rPr>
                      <w:rFonts w:eastAsiaTheme="majorEastAsia"/>
                      <w:kern w:val="0"/>
                      <w:szCs w:val="21"/>
                    </w:rPr>
                  </w:pPr>
                  <w:r>
                    <w:rPr>
                      <w:rFonts w:eastAsiaTheme="majorEastAsia"/>
                      <w:kern w:val="0"/>
                      <w:szCs w:val="21"/>
                    </w:rPr>
                    <w:t>石油类</w:t>
                  </w:r>
                </w:p>
              </w:tc>
              <w:tc>
                <w:tcPr>
                  <w:tcW w:w="523" w:type="pct"/>
                  <w:vMerge w:val="restart"/>
                  <w:shd w:val="clear" w:color="auto" w:fill="auto"/>
                  <w:vAlign w:val="center"/>
                </w:tcPr>
                <w:p w14:paraId="2C86E948">
                  <w:pPr>
                    <w:widowControl/>
                    <w:jc w:val="center"/>
                    <w:rPr>
                      <w:rFonts w:eastAsiaTheme="majorEastAsia"/>
                      <w:kern w:val="0"/>
                      <w:szCs w:val="21"/>
                    </w:rPr>
                  </w:pPr>
                  <w:r>
                    <w:rPr>
                      <w:rFonts w:eastAsiaTheme="majorEastAsia"/>
                      <w:kern w:val="0"/>
                      <w:szCs w:val="21"/>
                    </w:rPr>
                    <w:t>100</w:t>
                  </w:r>
                </w:p>
              </w:tc>
              <w:tc>
                <w:tcPr>
                  <w:tcW w:w="475" w:type="pct"/>
                  <w:vMerge w:val="restart"/>
                  <w:shd w:val="clear" w:color="auto" w:fill="auto"/>
                  <w:vAlign w:val="center"/>
                </w:tcPr>
                <w:p w14:paraId="4EB044CC">
                  <w:pPr>
                    <w:widowControl/>
                    <w:jc w:val="center"/>
                    <w:rPr>
                      <w:rFonts w:eastAsiaTheme="majorEastAsia"/>
                      <w:kern w:val="0"/>
                      <w:szCs w:val="21"/>
                    </w:rPr>
                  </w:pPr>
                  <w:r>
                    <w:rPr>
                      <w:rFonts w:eastAsiaTheme="majorEastAsia"/>
                      <w:kern w:val="0"/>
                      <w:szCs w:val="21"/>
                    </w:rPr>
                    <w:t>0.024</w:t>
                  </w:r>
                </w:p>
              </w:tc>
              <w:tc>
                <w:tcPr>
                  <w:tcW w:w="684" w:type="pct"/>
                  <w:vMerge w:val="continue"/>
                  <w:vAlign w:val="center"/>
                </w:tcPr>
                <w:p w14:paraId="5B4C378D">
                  <w:pPr>
                    <w:widowControl/>
                    <w:jc w:val="left"/>
                    <w:rPr>
                      <w:rFonts w:eastAsiaTheme="majorEastAsia"/>
                      <w:kern w:val="0"/>
                      <w:szCs w:val="21"/>
                    </w:rPr>
                  </w:pPr>
                </w:p>
              </w:tc>
              <w:tc>
                <w:tcPr>
                  <w:tcW w:w="435" w:type="pct"/>
                  <w:shd w:val="clear" w:color="auto" w:fill="auto"/>
                  <w:vAlign w:val="center"/>
                </w:tcPr>
                <w:p w14:paraId="15FBF637">
                  <w:pPr>
                    <w:widowControl/>
                    <w:jc w:val="center"/>
                    <w:rPr>
                      <w:rFonts w:eastAsiaTheme="majorEastAsia"/>
                      <w:kern w:val="0"/>
                      <w:szCs w:val="21"/>
                    </w:rPr>
                  </w:pPr>
                  <w:r>
                    <w:rPr>
                      <w:rFonts w:eastAsiaTheme="majorEastAsia"/>
                      <w:kern w:val="0"/>
                      <w:szCs w:val="21"/>
                    </w:rPr>
                    <w:t>SS</w:t>
                  </w:r>
                </w:p>
              </w:tc>
              <w:tc>
                <w:tcPr>
                  <w:tcW w:w="580" w:type="pct"/>
                  <w:shd w:val="clear" w:color="auto" w:fill="auto"/>
                  <w:vAlign w:val="center"/>
                </w:tcPr>
                <w:p w14:paraId="7E215539">
                  <w:pPr>
                    <w:widowControl/>
                    <w:jc w:val="center"/>
                    <w:rPr>
                      <w:rFonts w:eastAsiaTheme="majorEastAsia"/>
                      <w:kern w:val="0"/>
                      <w:szCs w:val="21"/>
                    </w:rPr>
                  </w:pPr>
                  <w:r>
                    <w:rPr>
                      <w:rFonts w:eastAsiaTheme="majorEastAsia"/>
                      <w:kern w:val="0"/>
                      <w:szCs w:val="21"/>
                    </w:rPr>
                    <w:t>140</w:t>
                  </w:r>
                </w:p>
              </w:tc>
              <w:tc>
                <w:tcPr>
                  <w:tcW w:w="435" w:type="pct"/>
                  <w:shd w:val="clear" w:color="auto" w:fill="auto"/>
                  <w:vAlign w:val="center"/>
                </w:tcPr>
                <w:p w14:paraId="5FCF6337">
                  <w:pPr>
                    <w:widowControl/>
                    <w:jc w:val="center"/>
                    <w:rPr>
                      <w:rFonts w:eastAsiaTheme="majorEastAsia"/>
                      <w:kern w:val="0"/>
                      <w:szCs w:val="21"/>
                    </w:rPr>
                  </w:pPr>
                  <w:r>
                    <w:rPr>
                      <w:rFonts w:eastAsiaTheme="majorEastAsia"/>
                      <w:kern w:val="0"/>
                      <w:szCs w:val="21"/>
                    </w:rPr>
                    <w:t>0.03</w:t>
                  </w:r>
                </w:p>
              </w:tc>
            </w:tr>
            <w:tr w14:paraId="10845276">
              <w:tblPrEx>
                <w:tblCellMar>
                  <w:top w:w="0" w:type="dxa"/>
                  <w:left w:w="108" w:type="dxa"/>
                  <w:bottom w:w="0" w:type="dxa"/>
                  <w:right w:w="108" w:type="dxa"/>
                </w:tblCellMar>
              </w:tblPrEx>
              <w:trPr>
                <w:trHeight w:val="270" w:hRule="atLeast"/>
              </w:trPr>
              <w:tc>
                <w:tcPr>
                  <w:tcW w:w="435" w:type="pct"/>
                  <w:vMerge w:val="continue"/>
                  <w:vAlign w:val="center"/>
                </w:tcPr>
                <w:p w14:paraId="4A4D305E">
                  <w:pPr>
                    <w:widowControl/>
                    <w:jc w:val="left"/>
                    <w:rPr>
                      <w:rFonts w:eastAsiaTheme="majorEastAsia"/>
                      <w:kern w:val="0"/>
                      <w:szCs w:val="21"/>
                    </w:rPr>
                  </w:pPr>
                </w:p>
              </w:tc>
              <w:tc>
                <w:tcPr>
                  <w:tcW w:w="435" w:type="pct"/>
                  <w:vMerge w:val="continue"/>
                  <w:vAlign w:val="center"/>
                </w:tcPr>
                <w:p w14:paraId="0E457186">
                  <w:pPr>
                    <w:widowControl/>
                    <w:jc w:val="left"/>
                    <w:rPr>
                      <w:rFonts w:eastAsiaTheme="majorEastAsia"/>
                      <w:kern w:val="0"/>
                      <w:szCs w:val="21"/>
                    </w:rPr>
                  </w:pPr>
                </w:p>
              </w:tc>
              <w:tc>
                <w:tcPr>
                  <w:tcW w:w="564" w:type="pct"/>
                  <w:vMerge w:val="continue"/>
                  <w:vAlign w:val="center"/>
                </w:tcPr>
                <w:p w14:paraId="1920E053">
                  <w:pPr>
                    <w:widowControl/>
                    <w:jc w:val="left"/>
                    <w:rPr>
                      <w:rFonts w:eastAsiaTheme="majorEastAsia"/>
                      <w:kern w:val="0"/>
                      <w:szCs w:val="21"/>
                    </w:rPr>
                  </w:pPr>
                </w:p>
              </w:tc>
              <w:tc>
                <w:tcPr>
                  <w:tcW w:w="435" w:type="pct"/>
                  <w:vMerge w:val="continue"/>
                  <w:vAlign w:val="center"/>
                </w:tcPr>
                <w:p w14:paraId="1D4A7DF0">
                  <w:pPr>
                    <w:widowControl/>
                    <w:jc w:val="left"/>
                    <w:rPr>
                      <w:rFonts w:eastAsiaTheme="majorEastAsia"/>
                      <w:kern w:val="0"/>
                      <w:szCs w:val="21"/>
                    </w:rPr>
                  </w:pPr>
                </w:p>
              </w:tc>
              <w:tc>
                <w:tcPr>
                  <w:tcW w:w="523" w:type="pct"/>
                  <w:vMerge w:val="continue"/>
                  <w:vAlign w:val="center"/>
                </w:tcPr>
                <w:p w14:paraId="4DCE12FD">
                  <w:pPr>
                    <w:widowControl/>
                    <w:jc w:val="left"/>
                    <w:rPr>
                      <w:rFonts w:eastAsiaTheme="majorEastAsia"/>
                      <w:kern w:val="0"/>
                      <w:szCs w:val="21"/>
                    </w:rPr>
                  </w:pPr>
                </w:p>
              </w:tc>
              <w:tc>
                <w:tcPr>
                  <w:tcW w:w="475" w:type="pct"/>
                  <w:vMerge w:val="continue"/>
                  <w:vAlign w:val="center"/>
                </w:tcPr>
                <w:p w14:paraId="75BB5397">
                  <w:pPr>
                    <w:widowControl/>
                    <w:jc w:val="left"/>
                    <w:rPr>
                      <w:rFonts w:eastAsiaTheme="majorEastAsia"/>
                      <w:kern w:val="0"/>
                      <w:szCs w:val="21"/>
                    </w:rPr>
                  </w:pPr>
                </w:p>
              </w:tc>
              <w:tc>
                <w:tcPr>
                  <w:tcW w:w="684" w:type="pct"/>
                  <w:vMerge w:val="continue"/>
                  <w:vAlign w:val="center"/>
                </w:tcPr>
                <w:p w14:paraId="2E82C656">
                  <w:pPr>
                    <w:widowControl/>
                    <w:jc w:val="left"/>
                    <w:rPr>
                      <w:rFonts w:eastAsiaTheme="majorEastAsia"/>
                      <w:kern w:val="0"/>
                      <w:szCs w:val="21"/>
                    </w:rPr>
                  </w:pPr>
                </w:p>
              </w:tc>
              <w:tc>
                <w:tcPr>
                  <w:tcW w:w="435" w:type="pct"/>
                  <w:shd w:val="clear" w:color="auto" w:fill="auto"/>
                  <w:vAlign w:val="center"/>
                </w:tcPr>
                <w:p w14:paraId="69FF9C18">
                  <w:pPr>
                    <w:widowControl/>
                    <w:jc w:val="center"/>
                    <w:rPr>
                      <w:rFonts w:eastAsiaTheme="majorEastAsia"/>
                      <w:kern w:val="0"/>
                      <w:szCs w:val="21"/>
                    </w:rPr>
                  </w:pPr>
                  <w:r>
                    <w:rPr>
                      <w:rFonts w:eastAsiaTheme="majorEastAsia"/>
                      <w:kern w:val="0"/>
                      <w:szCs w:val="21"/>
                    </w:rPr>
                    <w:t>石油类</w:t>
                  </w:r>
                </w:p>
              </w:tc>
              <w:tc>
                <w:tcPr>
                  <w:tcW w:w="580" w:type="pct"/>
                  <w:shd w:val="clear" w:color="auto" w:fill="auto"/>
                  <w:vAlign w:val="center"/>
                </w:tcPr>
                <w:p w14:paraId="0E14302B">
                  <w:pPr>
                    <w:widowControl/>
                    <w:jc w:val="center"/>
                    <w:rPr>
                      <w:rFonts w:eastAsiaTheme="majorEastAsia"/>
                      <w:kern w:val="0"/>
                      <w:szCs w:val="21"/>
                    </w:rPr>
                  </w:pPr>
                  <w:r>
                    <w:rPr>
                      <w:rFonts w:eastAsiaTheme="majorEastAsia"/>
                      <w:kern w:val="0"/>
                      <w:szCs w:val="21"/>
                    </w:rPr>
                    <w:t>100</w:t>
                  </w:r>
                </w:p>
              </w:tc>
              <w:tc>
                <w:tcPr>
                  <w:tcW w:w="435" w:type="pct"/>
                  <w:shd w:val="clear" w:color="auto" w:fill="auto"/>
                  <w:vAlign w:val="center"/>
                </w:tcPr>
                <w:p w14:paraId="3788A73B">
                  <w:pPr>
                    <w:widowControl/>
                    <w:jc w:val="center"/>
                    <w:rPr>
                      <w:rFonts w:eastAsiaTheme="majorEastAsia"/>
                      <w:kern w:val="0"/>
                      <w:szCs w:val="21"/>
                    </w:rPr>
                  </w:pPr>
                  <w:r>
                    <w:rPr>
                      <w:rFonts w:eastAsiaTheme="majorEastAsia"/>
                      <w:kern w:val="0"/>
                      <w:szCs w:val="21"/>
                    </w:rPr>
                    <w:t>0.02</w:t>
                  </w:r>
                </w:p>
              </w:tc>
            </w:tr>
            <w:tr w14:paraId="76FB9E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35" w:type="pct"/>
                  <w:vMerge w:val="restart"/>
                  <w:shd w:val="clear" w:color="auto" w:fill="auto"/>
                  <w:vAlign w:val="center"/>
                </w:tcPr>
                <w:p w14:paraId="3F5C2C0B">
                  <w:pPr>
                    <w:widowControl/>
                    <w:jc w:val="center"/>
                    <w:rPr>
                      <w:rFonts w:eastAsiaTheme="majorEastAsia"/>
                      <w:kern w:val="0"/>
                      <w:szCs w:val="21"/>
                    </w:rPr>
                  </w:pPr>
                  <w:r>
                    <w:rPr>
                      <w:rFonts w:eastAsiaTheme="majorEastAsia"/>
                      <w:kern w:val="0"/>
                      <w:szCs w:val="21"/>
                    </w:rPr>
                    <w:t>生产废水合计</w:t>
                  </w:r>
                </w:p>
              </w:tc>
              <w:tc>
                <w:tcPr>
                  <w:tcW w:w="435" w:type="pct"/>
                  <w:vMerge w:val="restart"/>
                  <w:shd w:val="clear" w:color="auto" w:fill="auto"/>
                  <w:vAlign w:val="center"/>
                </w:tcPr>
                <w:p w14:paraId="4E127E28">
                  <w:pPr>
                    <w:widowControl/>
                    <w:jc w:val="center"/>
                    <w:rPr>
                      <w:rFonts w:eastAsiaTheme="majorEastAsia"/>
                      <w:kern w:val="0"/>
                      <w:szCs w:val="21"/>
                    </w:rPr>
                  </w:pPr>
                  <w:r>
                    <w:rPr>
                      <w:rFonts w:eastAsiaTheme="majorEastAsia"/>
                      <w:kern w:val="0"/>
                      <w:szCs w:val="21"/>
                    </w:rPr>
                    <w:t>W1~W3</w:t>
                  </w:r>
                </w:p>
              </w:tc>
              <w:tc>
                <w:tcPr>
                  <w:tcW w:w="564" w:type="pct"/>
                  <w:vMerge w:val="restart"/>
                  <w:shd w:val="clear" w:color="auto" w:fill="auto"/>
                  <w:vAlign w:val="center"/>
                </w:tcPr>
                <w:p w14:paraId="367EAE68">
                  <w:pPr>
                    <w:widowControl/>
                    <w:jc w:val="center"/>
                    <w:rPr>
                      <w:rFonts w:eastAsiaTheme="majorEastAsia"/>
                      <w:kern w:val="0"/>
                      <w:szCs w:val="21"/>
                    </w:rPr>
                  </w:pPr>
                  <w:r>
                    <w:rPr>
                      <w:rFonts w:eastAsiaTheme="majorEastAsia"/>
                      <w:kern w:val="0"/>
                      <w:szCs w:val="21"/>
                    </w:rPr>
                    <w:t>18315</w:t>
                  </w:r>
                </w:p>
              </w:tc>
              <w:tc>
                <w:tcPr>
                  <w:tcW w:w="435" w:type="pct"/>
                  <w:shd w:val="clear" w:color="auto" w:fill="auto"/>
                  <w:vAlign w:val="center"/>
                </w:tcPr>
                <w:p w14:paraId="34F59882">
                  <w:pPr>
                    <w:widowControl/>
                    <w:jc w:val="center"/>
                    <w:rPr>
                      <w:rFonts w:eastAsiaTheme="majorEastAsia"/>
                      <w:kern w:val="0"/>
                      <w:szCs w:val="21"/>
                    </w:rPr>
                  </w:pPr>
                  <w:r>
                    <w:rPr>
                      <w:rFonts w:eastAsiaTheme="majorEastAsia"/>
                      <w:kern w:val="0"/>
                      <w:szCs w:val="21"/>
                    </w:rPr>
                    <w:t>COD</w:t>
                  </w:r>
                </w:p>
              </w:tc>
              <w:tc>
                <w:tcPr>
                  <w:tcW w:w="523" w:type="pct"/>
                  <w:shd w:val="clear" w:color="auto" w:fill="auto"/>
                  <w:vAlign w:val="center"/>
                </w:tcPr>
                <w:p w14:paraId="4CE88D11">
                  <w:pPr>
                    <w:widowControl/>
                    <w:jc w:val="center"/>
                    <w:rPr>
                      <w:rFonts w:eastAsiaTheme="majorEastAsia"/>
                      <w:kern w:val="0"/>
                      <w:szCs w:val="21"/>
                    </w:rPr>
                  </w:pPr>
                  <w:r>
                    <w:rPr>
                      <w:rFonts w:eastAsiaTheme="majorEastAsia"/>
                      <w:kern w:val="0"/>
                      <w:szCs w:val="21"/>
                    </w:rPr>
                    <w:t>1742.29</w:t>
                  </w:r>
                </w:p>
              </w:tc>
              <w:tc>
                <w:tcPr>
                  <w:tcW w:w="475" w:type="pct"/>
                  <w:shd w:val="clear" w:color="auto" w:fill="auto"/>
                  <w:vAlign w:val="center"/>
                </w:tcPr>
                <w:p w14:paraId="107896DA">
                  <w:pPr>
                    <w:widowControl/>
                    <w:jc w:val="center"/>
                    <w:rPr>
                      <w:rFonts w:eastAsiaTheme="majorEastAsia"/>
                      <w:kern w:val="0"/>
                      <w:szCs w:val="21"/>
                    </w:rPr>
                  </w:pPr>
                  <w:r>
                    <w:rPr>
                      <w:rFonts w:eastAsiaTheme="majorEastAsia"/>
                      <w:kern w:val="0"/>
                      <w:szCs w:val="21"/>
                    </w:rPr>
                    <w:t>31.91</w:t>
                  </w:r>
                </w:p>
              </w:tc>
              <w:tc>
                <w:tcPr>
                  <w:tcW w:w="684" w:type="pct"/>
                  <w:vMerge w:val="restart"/>
                  <w:shd w:val="clear" w:color="auto" w:fill="auto"/>
                  <w:vAlign w:val="center"/>
                </w:tcPr>
                <w:p w14:paraId="7D3FDC38">
                  <w:pPr>
                    <w:widowControl/>
                    <w:jc w:val="center"/>
                    <w:rPr>
                      <w:rFonts w:eastAsiaTheme="majorEastAsia"/>
                      <w:kern w:val="0"/>
                      <w:szCs w:val="21"/>
                    </w:rPr>
                  </w:pPr>
                  <w:r>
                    <w:rPr>
                      <w:rFonts w:eastAsiaTheme="majorEastAsia"/>
                      <w:kern w:val="0"/>
                      <w:szCs w:val="21"/>
                    </w:rPr>
                    <w:t>/</w:t>
                  </w:r>
                </w:p>
              </w:tc>
              <w:tc>
                <w:tcPr>
                  <w:tcW w:w="435" w:type="pct"/>
                  <w:vMerge w:val="restart"/>
                  <w:shd w:val="clear" w:color="auto" w:fill="auto"/>
                  <w:vAlign w:val="center"/>
                </w:tcPr>
                <w:p w14:paraId="15F044EF">
                  <w:pPr>
                    <w:widowControl/>
                    <w:jc w:val="center"/>
                    <w:rPr>
                      <w:rFonts w:eastAsiaTheme="majorEastAsia"/>
                      <w:kern w:val="0"/>
                      <w:szCs w:val="21"/>
                    </w:rPr>
                  </w:pPr>
                  <w:r>
                    <w:rPr>
                      <w:rFonts w:eastAsiaTheme="majorEastAsia"/>
                      <w:kern w:val="0"/>
                      <w:szCs w:val="21"/>
                    </w:rPr>
                    <w:t>/</w:t>
                  </w:r>
                </w:p>
              </w:tc>
              <w:tc>
                <w:tcPr>
                  <w:tcW w:w="580" w:type="pct"/>
                  <w:vMerge w:val="restart"/>
                  <w:shd w:val="clear" w:color="auto" w:fill="auto"/>
                  <w:vAlign w:val="center"/>
                </w:tcPr>
                <w:p w14:paraId="3D915094">
                  <w:pPr>
                    <w:widowControl/>
                    <w:jc w:val="center"/>
                    <w:rPr>
                      <w:rFonts w:eastAsiaTheme="majorEastAsia"/>
                      <w:kern w:val="0"/>
                      <w:szCs w:val="21"/>
                    </w:rPr>
                  </w:pPr>
                  <w:r>
                    <w:rPr>
                      <w:rFonts w:eastAsiaTheme="majorEastAsia"/>
                      <w:kern w:val="0"/>
                      <w:szCs w:val="21"/>
                    </w:rPr>
                    <w:t>/</w:t>
                  </w:r>
                </w:p>
              </w:tc>
              <w:tc>
                <w:tcPr>
                  <w:tcW w:w="435" w:type="pct"/>
                  <w:vMerge w:val="restart"/>
                  <w:shd w:val="clear" w:color="auto" w:fill="auto"/>
                  <w:vAlign w:val="center"/>
                </w:tcPr>
                <w:p w14:paraId="0ACD09BF">
                  <w:pPr>
                    <w:widowControl/>
                    <w:jc w:val="center"/>
                    <w:rPr>
                      <w:rFonts w:eastAsiaTheme="majorEastAsia"/>
                      <w:kern w:val="0"/>
                      <w:szCs w:val="21"/>
                    </w:rPr>
                  </w:pPr>
                  <w:r>
                    <w:rPr>
                      <w:rFonts w:eastAsiaTheme="majorEastAsia"/>
                      <w:kern w:val="0"/>
                      <w:szCs w:val="21"/>
                    </w:rPr>
                    <w:t>/</w:t>
                  </w:r>
                </w:p>
              </w:tc>
            </w:tr>
            <w:tr w14:paraId="5EB979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5" w:type="pct"/>
                  <w:vMerge w:val="continue"/>
                  <w:vAlign w:val="center"/>
                </w:tcPr>
                <w:p w14:paraId="2E0BFECD">
                  <w:pPr>
                    <w:widowControl/>
                    <w:jc w:val="left"/>
                    <w:rPr>
                      <w:rFonts w:eastAsiaTheme="majorEastAsia"/>
                      <w:kern w:val="0"/>
                      <w:szCs w:val="21"/>
                    </w:rPr>
                  </w:pPr>
                </w:p>
              </w:tc>
              <w:tc>
                <w:tcPr>
                  <w:tcW w:w="435" w:type="pct"/>
                  <w:vMerge w:val="continue"/>
                  <w:vAlign w:val="center"/>
                </w:tcPr>
                <w:p w14:paraId="1D3AD41E">
                  <w:pPr>
                    <w:widowControl/>
                    <w:jc w:val="left"/>
                    <w:rPr>
                      <w:rFonts w:eastAsiaTheme="majorEastAsia"/>
                      <w:kern w:val="0"/>
                      <w:szCs w:val="21"/>
                    </w:rPr>
                  </w:pPr>
                </w:p>
              </w:tc>
              <w:tc>
                <w:tcPr>
                  <w:tcW w:w="564" w:type="pct"/>
                  <w:vMerge w:val="continue"/>
                  <w:vAlign w:val="center"/>
                </w:tcPr>
                <w:p w14:paraId="74E84DF9">
                  <w:pPr>
                    <w:widowControl/>
                    <w:jc w:val="left"/>
                    <w:rPr>
                      <w:rFonts w:eastAsiaTheme="majorEastAsia"/>
                      <w:kern w:val="0"/>
                      <w:szCs w:val="21"/>
                    </w:rPr>
                  </w:pPr>
                </w:p>
              </w:tc>
              <w:tc>
                <w:tcPr>
                  <w:tcW w:w="435" w:type="pct"/>
                  <w:shd w:val="clear" w:color="auto" w:fill="auto"/>
                  <w:vAlign w:val="center"/>
                </w:tcPr>
                <w:p w14:paraId="0F0449D0">
                  <w:pPr>
                    <w:widowControl/>
                    <w:jc w:val="center"/>
                    <w:rPr>
                      <w:rFonts w:eastAsiaTheme="majorEastAsia"/>
                      <w:kern w:val="0"/>
                      <w:szCs w:val="21"/>
                    </w:rPr>
                  </w:pPr>
                  <w:r>
                    <w:rPr>
                      <w:rFonts w:eastAsiaTheme="majorEastAsia"/>
                      <w:kern w:val="0"/>
                      <w:szCs w:val="21"/>
                    </w:rPr>
                    <w:t>SS</w:t>
                  </w:r>
                </w:p>
              </w:tc>
              <w:tc>
                <w:tcPr>
                  <w:tcW w:w="523" w:type="pct"/>
                  <w:shd w:val="clear" w:color="auto" w:fill="auto"/>
                  <w:vAlign w:val="center"/>
                </w:tcPr>
                <w:p w14:paraId="329069E2">
                  <w:pPr>
                    <w:widowControl/>
                    <w:jc w:val="center"/>
                    <w:rPr>
                      <w:rFonts w:eastAsiaTheme="majorEastAsia"/>
                      <w:kern w:val="0"/>
                      <w:szCs w:val="21"/>
                    </w:rPr>
                  </w:pPr>
                  <w:r>
                    <w:rPr>
                      <w:rFonts w:eastAsiaTheme="majorEastAsia"/>
                      <w:kern w:val="0"/>
                      <w:szCs w:val="21"/>
                    </w:rPr>
                    <w:t>397.49</w:t>
                  </w:r>
                </w:p>
              </w:tc>
              <w:tc>
                <w:tcPr>
                  <w:tcW w:w="475" w:type="pct"/>
                  <w:shd w:val="clear" w:color="auto" w:fill="auto"/>
                  <w:vAlign w:val="center"/>
                </w:tcPr>
                <w:p w14:paraId="693ADB37">
                  <w:pPr>
                    <w:widowControl/>
                    <w:jc w:val="center"/>
                    <w:rPr>
                      <w:rFonts w:eastAsiaTheme="majorEastAsia"/>
                      <w:kern w:val="0"/>
                      <w:szCs w:val="21"/>
                    </w:rPr>
                  </w:pPr>
                  <w:r>
                    <w:rPr>
                      <w:rFonts w:eastAsiaTheme="majorEastAsia"/>
                      <w:kern w:val="0"/>
                      <w:szCs w:val="21"/>
                    </w:rPr>
                    <w:t>7.28</w:t>
                  </w:r>
                </w:p>
              </w:tc>
              <w:tc>
                <w:tcPr>
                  <w:tcW w:w="684" w:type="pct"/>
                  <w:vMerge w:val="continue"/>
                  <w:vAlign w:val="center"/>
                </w:tcPr>
                <w:p w14:paraId="11F8BE33">
                  <w:pPr>
                    <w:widowControl/>
                    <w:jc w:val="left"/>
                    <w:rPr>
                      <w:rFonts w:eastAsiaTheme="majorEastAsia"/>
                      <w:kern w:val="0"/>
                      <w:szCs w:val="21"/>
                    </w:rPr>
                  </w:pPr>
                </w:p>
              </w:tc>
              <w:tc>
                <w:tcPr>
                  <w:tcW w:w="435" w:type="pct"/>
                  <w:vMerge w:val="continue"/>
                  <w:vAlign w:val="center"/>
                </w:tcPr>
                <w:p w14:paraId="0EA56F9D">
                  <w:pPr>
                    <w:widowControl/>
                    <w:jc w:val="left"/>
                    <w:rPr>
                      <w:rFonts w:eastAsiaTheme="majorEastAsia"/>
                      <w:kern w:val="0"/>
                      <w:szCs w:val="21"/>
                    </w:rPr>
                  </w:pPr>
                </w:p>
              </w:tc>
              <w:tc>
                <w:tcPr>
                  <w:tcW w:w="580" w:type="pct"/>
                  <w:vMerge w:val="continue"/>
                  <w:vAlign w:val="center"/>
                </w:tcPr>
                <w:p w14:paraId="7BB79FA4">
                  <w:pPr>
                    <w:widowControl/>
                    <w:jc w:val="left"/>
                    <w:rPr>
                      <w:rFonts w:eastAsiaTheme="majorEastAsia"/>
                      <w:kern w:val="0"/>
                      <w:szCs w:val="21"/>
                    </w:rPr>
                  </w:pPr>
                </w:p>
              </w:tc>
              <w:tc>
                <w:tcPr>
                  <w:tcW w:w="435" w:type="pct"/>
                  <w:vMerge w:val="continue"/>
                  <w:vAlign w:val="center"/>
                </w:tcPr>
                <w:p w14:paraId="4E744CF7">
                  <w:pPr>
                    <w:widowControl/>
                    <w:jc w:val="left"/>
                    <w:rPr>
                      <w:rFonts w:eastAsiaTheme="majorEastAsia"/>
                      <w:kern w:val="0"/>
                      <w:szCs w:val="21"/>
                    </w:rPr>
                  </w:pPr>
                </w:p>
              </w:tc>
            </w:tr>
            <w:tr w14:paraId="1CC3D6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5" w:type="pct"/>
                  <w:vMerge w:val="continue"/>
                  <w:vAlign w:val="center"/>
                </w:tcPr>
                <w:p w14:paraId="0C6E283B">
                  <w:pPr>
                    <w:widowControl/>
                    <w:jc w:val="left"/>
                    <w:rPr>
                      <w:rFonts w:eastAsiaTheme="majorEastAsia"/>
                      <w:kern w:val="0"/>
                      <w:szCs w:val="21"/>
                    </w:rPr>
                  </w:pPr>
                </w:p>
              </w:tc>
              <w:tc>
                <w:tcPr>
                  <w:tcW w:w="435" w:type="pct"/>
                  <w:vMerge w:val="continue"/>
                  <w:vAlign w:val="center"/>
                </w:tcPr>
                <w:p w14:paraId="790A22F1">
                  <w:pPr>
                    <w:widowControl/>
                    <w:jc w:val="left"/>
                    <w:rPr>
                      <w:rFonts w:eastAsiaTheme="majorEastAsia"/>
                      <w:kern w:val="0"/>
                      <w:szCs w:val="21"/>
                    </w:rPr>
                  </w:pPr>
                </w:p>
              </w:tc>
              <w:tc>
                <w:tcPr>
                  <w:tcW w:w="564" w:type="pct"/>
                  <w:vMerge w:val="continue"/>
                  <w:vAlign w:val="center"/>
                </w:tcPr>
                <w:p w14:paraId="14EB6AA5">
                  <w:pPr>
                    <w:widowControl/>
                    <w:jc w:val="left"/>
                    <w:rPr>
                      <w:rFonts w:eastAsiaTheme="majorEastAsia"/>
                      <w:kern w:val="0"/>
                      <w:szCs w:val="21"/>
                    </w:rPr>
                  </w:pPr>
                </w:p>
              </w:tc>
              <w:tc>
                <w:tcPr>
                  <w:tcW w:w="435" w:type="pct"/>
                  <w:shd w:val="clear" w:color="auto" w:fill="auto"/>
                  <w:vAlign w:val="center"/>
                </w:tcPr>
                <w:p w14:paraId="2666EF6B">
                  <w:pPr>
                    <w:widowControl/>
                    <w:jc w:val="center"/>
                    <w:rPr>
                      <w:rFonts w:eastAsiaTheme="majorEastAsia"/>
                      <w:kern w:val="0"/>
                      <w:szCs w:val="21"/>
                    </w:rPr>
                  </w:pPr>
                  <w:r>
                    <w:rPr>
                      <w:rFonts w:eastAsiaTheme="majorEastAsia"/>
                      <w:kern w:val="0"/>
                      <w:szCs w:val="21"/>
                    </w:rPr>
                    <w:t>石油类</w:t>
                  </w:r>
                </w:p>
              </w:tc>
              <w:tc>
                <w:tcPr>
                  <w:tcW w:w="523" w:type="pct"/>
                  <w:shd w:val="clear" w:color="auto" w:fill="auto"/>
                  <w:vAlign w:val="center"/>
                </w:tcPr>
                <w:p w14:paraId="55FBAD8B">
                  <w:pPr>
                    <w:widowControl/>
                    <w:jc w:val="center"/>
                    <w:rPr>
                      <w:rFonts w:eastAsiaTheme="majorEastAsia"/>
                      <w:kern w:val="0"/>
                      <w:szCs w:val="21"/>
                    </w:rPr>
                  </w:pPr>
                  <w:r>
                    <w:rPr>
                      <w:rFonts w:eastAsiaTheme="majorEastAsia"/>
                      <w:kern w:val="0"/>
                      <w:szCs w:val="21"/>
                    </w:rPr>
                    <w:t>69.89</w:t>
                  </w:r>
                </w:p>
              </w:tc>
              <w:tc>
                <w:tcPr>
                  <w:tcW w:w="475" w:type="pct"/>
                  <w:shd w:val="clear" w:color="auto" w:fill="auto"/>
                  <w:vAlign w:val="center"/>
                </w:tcPr>
                <w:p w14:paraId="333D86E3">
                  <w:pPr>
                    <w:widowControl/>
                    <w:jc w:val="center"/>
                    <w:rPr>
                      <w:rFonts w:eastAsiaTheme="majorEastAsia"/>
                      <w:kern w:val="0"/>
                      <w:szCs w:val="21"/>
                    </w:rPr>
                  </w:pPr>
                  <w:r>
                    <w:rPr>
                      <w:rFonts w:eastAsiaTheme="majorEastAsia"/>
                      <w:kern w:val="0"/>
                      <w:szCs w:val="21"/>
                    </w:rPr>
                    <w:t>1.28</w:t>
                  </w:r>
                </w:p>
              </w:tc>
              <w:tc>
                <w:tcPr>
                  <w:tcW w:w="684" w:type="pct"/>
                  <w:vMerge w:val="continue"/>
                  <w:vAlign w:val="center"/>
                </w:tcPr>
                <w:p w14:paraId="5A6C80B0">
                  <w:pPr>
                    <w:widowControl/>
                    <w:jc w:val="left"/>
                    <w:rPr>
                      <w:rFonts w:eastAsiaTheme="majorEastAsia"/>
                      <w:kern w:val="0"/>
                      <w:szCs w:val="21"/>
                    </w:rPr>
                  </w:pPr>
                </w:p>
              </w:tc>
              <w:tc>
                <w:tcPr>
                  <w:tcW w:w="435" w:type="pct"/>
                  <w:vMerge w:val="continue"/>
                  <w:vAlign w:val="center"/>
                </w:tcPr>
                <w:p w14:paraId="0F91D20E">
                  <w:pPr>
                    <w:widowControl/>
                    <w:jc w:val="left"/>
                    <w:rPr>
                      <w:rFonts w:eastAsiaTheme="majorEastAsia"/>
                      <w:kern w:val="0"/>
                      <w:szCs w:val="21"/>
                    </w:rPr>
                  </w:pPr>
                </w:p>
              </w:tc>
              <w:tc>
                <w:tcPr>
                  <w:tcW w:w="580" w:type="pct"/>
                  <w:vMerge w:val="continue"/>
                  <w:vAlign w:val="center"/>
                </w:tcPr>
                <w:p w14:paraId="68342F10">
                  <w:pPr>
                    <w:widowControl/>
                    <w:jc w:val="left"/>
                    <w:rPr>
                      <w:rFonts w:eastAsiaTheme="majorEastAsia"/>
                      <w:kern w:val="0"/>
                      <w:szCs w:val="21"/>
                    </w:rPr>
                  </w:pPr>
                </w:p>
              </w:tc>
              <w:tc>
                <w:tcPr>
                  <w:tcW w:w="435" w:type="pct"/>
                  <w:vMerge w:val="continue"/>
                  <w:vAlign w:val="center"/>
                </w:tcPr>
                <w:p w14:paraId="34FE59B2">
                  <w:pPr>
                    <w:widowControl/>
                    <w:jc w:val="left"/>
                    <w:rPr>
                      <w:rFonts w:eastAsiaTheme="majorEastAsia"/>
                      <w:kern w:val="0"/>
                      <w:szCs w:val="21"/>
                    </w:rPr>
                  </w:pPr>
                </w:p>
              </w:tc>
            </w:tr>
            <w:tr w14:paraId="379DA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5" w:type="pct"/>
                  <w:vMerge w:val="continue"/>
                  <w:vAlign w:val="center"/>
                </w:tcPr>
                <w:p w14:paraId="1FFC9EB8">
                  <w:pPr>
                    <w:widowControl/>
                    <w:jc w:val="left"/>
                    <w:rPr>
                      <w:rFonts w:eastAsiaTheme="majorEastAsia"/>
                      <w:kern w:val="0"/>
                      <w:szCs w:val="21"/>
                    </w:rPr>
                  </w:pPr>
                </w:p>
              </w:tc>
              <w:tc>
                <w:tcPr>
                  <w:tcW w:w="435" w:type="pct"/>
                  <w:vMerge w:val="continue"/>
                  <w:vAlign w:val="center"/>
                </w:tcPr>
                <w:p w14:paraId="3961C3EC">
                  <w:pPr>
                    <w:widowControl/>
                    <w:jc w:val="left"/>
                    <w:rPr>
                      <w:rFonts w:eastAsiaTheme="majorEastAsia"/>
                      <w:kern w:val="0"/>
                      <w:szCs w:val="21"/>
                    </w:rPr>
                  </w:pPr>
                </w:p>
              </w:tc>
              <w:tc>
                <w:tcPr>
                  <w:tcW w:w="564" w:type="pct"/>
                  <w:vMerge w:val="continue"/>
                  <w:vAlign w:val="center"/>
                </w:tcPr>
                <w:p w14:paraId="76A60EB8">
                  <w:pPr>
                    <w:widowControl/>
                    <w:jc w:val="left"/>
                    <w:rPr>
                      <w:rFonts w:eastAsiaTheme="majorEastAsia"/>
                      <w:kern w:val="0"/>
                      <w:szCs w:val="21"/>
                    </w:rPr>
                  </w:pPr>
                </w:p>
              </w:tc>
              <w:tc>
                <w:tcPr>
                  <w:tcW w:w="435" w:type="pct"/>
                  <w:shd w:val="clear" w:color="auto" w:fill="auto"/>
                  <w:vAlign w:val="center"/>
                </w:tcPr>
                <w:p w14:paraId="5B8FAED0">
                  <w:pPr>
                    <w:widowControl/>
                    <w:jc w:val="center"/>
                    <w:rPr>
                      <w:rFonts w:eastAsiaTheme="majorEastAsia"/>
                      <w:kern w:val="0"/>
                      <w:szCs w:val="21"/>
                    </w:rPr>
                  </w:pPr>
                  <w:r>
                    <w:rPr>
                      <w:rFonts w:eastAsiaTheme="majorEastAsia"/>
                      <w:kern w:val="0"/>
                      <w:szCs w:val="21"/>
                    </w:rPr>
                    <w:t>总锑</w:t>
                  </w:r>
                </w:p>
              </w:tc>
              <w:tc>
                <w:tcPr>
                  <w:tcW w:w="523" w:type="pct"/>
                  <w:shd w:val="clear" w:color="auto" w:fill="auto"/>
                  <w:vAlign w:val="center"/>
                </w:tcPr>
                <w:p w14:paraId="32325913">
                  <w:pPr>
                    <w:widowControl/>
                    <w:jc w:val="center"/>
                    <w:rPr>
                      <w:rFonts w:eastAsiaTheme="majorEastAsia"/>
                      <w:kern w:val="0"/>
                      <w:szCs w:val="21"/>
                    </w:rPr>
                  </w:pPr>
                  <w:r>
                    <w:rPr>
                      <w:rFonts w:eastAsiaTheme="majorEastAsia"/>
                      <w:kern w:val="0"/>
                      <w:szCs w:val="21"/>
                    </w:rPr>
                    <w:t>2.18</w:t>
                  </w:r>
                </w:p>
              </w:tc>
              <w:tc>
                <w:tcPr>
                  <w:tcW w:w="475" w:type="pct"/>
                  <w:shd w:val="clear" w:color="auto" w:fill="auto"/>
                  <w:vAlign w:val="center"/>
                </w:tcPr>
                <w:p w14:paraId="508FFCE0">
                  <w:pPr>
                    <w:widowControl/>
                    <w:jc w:val="center"/>
                    <w:rPr>
                      <w:rFonts w:eastAsiaTheme="majorEastAsia"/>
                      <w:kern w:val="0"/>
                      <w:szCs w:val="21"/>
                    </w:rPr>
                  </w:pPr>
                  <w:r>
                    <w:rPr>
                      <w:rFonts w:eastAsiaTheme="majorEastAsia"/>
                      <w:kern w:val="0"/>
                      <w:szCs w:val="21"/>
                    </w:rPr>
                    <w:t>0.04</w:t>
                  </w:r>
                </w:p>
              </w:tc>
              <w:tc>
                <w:tcPr>
                  <w:tcW w:w="684" w:type="pct"/>
                  <w:vMerge w:val="continue"/>
                  <w:vAlign w:val="center"/>
                </w:tcPr>
                <w:p w14:paraId="3EE50873">
                  <w:pPr>
                    <w:widowControl/>
                    <w:jc w:val="left"/>
                    <w:rPr>
                      <w:rFonts w:eastAsiaTheme="majorEastAsia"/>
                      <w:kern w:val="0"/>
                      <w:szCs w:val="21"/>
                    </w:rPr>
                  </w:pPr>
                </w:p>
              </w:tc>
              <w:tc>
                <w:tcPr>
                  <w:tcW w:w="435" w:type="pct"/>
                  <w:vMerge w:val="continue"/>
                  <w:vAlign w:val="center"/>
                </w:tcPr>
                <w:p w14:paraId="7381ECE8">
                  <w:pPr>
                    <w:widowControl/>
                    <w:jc w:val="left"/>
                    <w:rPr>
                      <w:rFonts w:eastAsiaTheme="majorEastAsia"/>
                      <w:kern w:val="0"/>
                      <w:szCs w:val="21"/>
                    </w:rPr>
                  </w:pPr>
                </w:p>
              </w:tc>
              <w:tc>
                <w:tcPr>
                  <w:tcW w:w="580" w:type="pct"/>
                  <w:vMerge w:val="continue"/>
                  <w:vAlign w:val="center"/>
                </w:tcPr>
                <w:p w14:paraId="5A6A64E9">
                  <w:pPr>
                    <w:widowControl/>
                    <w:jc w:val="left"/>
                    <w:rPr>
                      <w:rFonts w:eastAsiaTheme="majorEastAsia"/>
                      <w:kern w:val="0"/>
                      <w:szCs w:val="21"/>
                    </w:rPr>
                  </w:pPr>
                </w:p>
              </w:tc>
              <w:tc>
                <w:tcPr>
                  <w:tcW w:w="435" w:type="pct"/>
                  <w:vMerge w:val="continue"/>
                  <w:vAlign w:val="center"/>
                </w:tcPr>
                <w:p w14:paraId="3EAE1663">
                  <w:pPr>
                    <w:widowControl/>
                    <w:jc w:val="left"/>
                    <w:rPr>
                      <w:rFonts w:eastAsiaTheme="majorEastAsia"/>
                      <w:kern w:val="0"/>
                      <w:szCs w:val="21"/>
                    </w:rPr>
                  </w:pPr>
                </w:p>
              </w:tc>
            </w:tr>
          </w:tbl>
          <w:p w14:paraId="096CE546">
            <w:pPr>
              <w:ind w:firstLine="482" w:firstLineChars="200"/>
              <w:jc w:val="center"/>
              <w:rPr>
                <w:rFonts w:eastAsiaTheme="minorEastAsia"/>
                <w:b/>
                <w:sz w:val="24"/>
              </w:rPr>
            </w:pPr>
            <w:r>
              <w:rPr>
                <w:rFonts w:eastAsiaTheme="minorEastAsia"/>
                <w:b/>
                <w:sz w:val="24"/>
              </w:rPr>
              <w:t>表4-8本项目污水站混合调节池内水污染物产生与最终接管排放状况</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902"/>
              <w:gridCol w:w="1021"/>
              <w:gridCol w:w="823"/>
              <w:gridCol w:w="1008"/>
              <w:gridCol w:w="918"/>
              <w:gridCol w:w="1339"/>
              <w:gridCol w:w="1016"/>
              <w:gridCol w:w="1139"/>
              <w:gridCol w:w="833"/>
              <w:gridCol w:w="833"/>
              <w:gridCol w:w="1861"/>
            </w:tblGrid>
            <w:tr w14:paraId="3F0E29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3" w:type="pct"/>
                  <w:vMerge w:val="restart"/>
                  <w:shd w:val="clear" w:color="auto" w:fill="auto"/>
                  <w:vAlign w:val="center"/>
                </w:tcPr>
                <w:p w14:paraId="007A3B9C">
                  <w:pPr>
                    <w:widowControl/>
                    <w:jc w:val="center"/>
                    <w:rPr>
                      <w:b/>
                      <w:bCs/>
                      <w:kern w:val="0"/>
                      <w:sz w:val="20"/>
                      <w:szCs w:val="20"/>
                    </w:rPr>
                  </w:pPr>
                  <w:r>
                    <w:rPr>
                      <w:b/>
                      <w:bCs/>
                      <w:kern w:val="0"/>
                      <w:sz w:val="20"/>
                      <w:szCs w:val="20"/>
                    </w:rPr>
                    <w:t>来源</w:t>
                  </w:r>
                </w:p>
              </w:tc>
              <w:tc>
                <w:tcPr>
                  <w:tcW w:w="366" w:type="pct"/>
                  <w:vMerge w:val="restart"/>
                  <w:shd w:val="clear" w:color="auto" w:fill="auto"/>
                  <w:vAlign w:val="center"/>
                </w:tcPr>
                <w:p w14:paraId="6C4D8445">
                  <w:pPr>
                    <w:widowControl/>
                    <w:jc w:val="center"/>
                    <w:rPr>
                      <w:b/>
                      <w:bCs/>
                      <w:kern w:val="0"/>
                      <w:sz w:val="20"/>
                      <w:szCs w:val="20"/>
                    </w:rPr>
                  </w:pPr>
                  <w:r>
                    <w:rPr>
                      <w:b/>
                      <w:bCs/>
                      <w:kern w:val="0"/>
                      <w:sz w:val="20"/>
                      <w:szCs w:val="20"/>
                    </w:rPr>
                    <w:t>编号</w:t>
                  </w:r>
                </w:p>
              </w:tc>
              <w:tc>
                <w:tcPr>
                  <w:tcW w:w="473" w:type="pct"/>
                  <w:shd w:val="clear" w:color="auto" w:fill="auto"/>
                  <w:vAlign w:val="center"/>
                </w:tcPr>
                <w:p w14:paraId="74D84408">
                  <w:pPr>
                    <w:widowControl/>
                    <w:jc w:val="center"/>
                    <w:rPr>
                      <w:b/>
                      <w:bCs/>
                      <w:kern w:val="0"/>
                      <w:sz w:val="20"/>
                      <w:szCs w:val="20"/>
                    </w:rPr>
                  </w:pPr>
                  <w:r>
                    <w:rPr>
                      <w:b/>
                      <w:bCs/>
                      <w:kern w:val="0"/>
                      <w:sz w:val="20"/>
                      <w:szCs w:val="20"/>
                    </w:rPr>
                    <w:t>废水量</w:t>
                  </w:r>
                </w:p>
              </w:tc>
              <w:tc>
                <w:tcPr>
                  <w:tcW w:w="364" w:type="pct"/>
                  <w:vMerge w:val="restart"/>
                  <w:shd w:val="clear" w:color="auto" w:fill="auto"/>
                  <w:vAlign w:val="center"/>
                </w:tcPr>
                <w:p w14:paraId="27B6ED41">
                  <w:pPr>
                    <w:widowControl/>
                    <w:jc w:val="center"/>
                    <w:rPr>
                      <w:b/>
                      <w:bCs/>
                      <w:kern w:val="0"/>
                      <w:sz w:val="20"/>
                      <w:szCs w:val="20"/>
                    </w:rPr>
                  </w:pPr>
                  <w:r>
                    <w:rPr>
                      <w:b/>
                      <w:bCs/>
                      <w:kern w:val="0"/>
                      <w:sz w:val="20"/>
                      <w:szCs w:val="20"/>
                    </w:rPr>
                    <w:t>污染物名称</w:t>
                  </w:r>
                </w:p>
              </w:tc>
              <w:tc>
                <w:tcPr>
                  <w:tcW w:w="840" w:type="pct"/>
                  <w:gridSpan w:val="2"/>
                  <w:shd w:val="clear" w:color="auto" w:fill="auto"/>
                  <w:vAlign w:val="center"/>
                </w:tcPr>
                <w:p w14:paraId="2FB8A451">
                  <w:pPr>
                    <w:widowControl/>
                    <w:jc w:val="center"/>
                    <w:rPr>
                      <w:b/>
                      <w:bCs/>
                      <w:kern w:val="0"/>
                      <w:sz w:val="20"/>
                      <w:szCs w:val="20"/>
                    </w:rPr>
                  </w:pPr>
                  <w:r>
                    <w:rPr>
                      <w:b/>
                      <w:bCs/>
                      <w:kern w:val="0"/>
                      <w:sz w:val="20"/>
                      <w:szCs w:val="20"/>
                    </w:rPr>
                    <w:t>污染物产生量</w:t>
                  </w:r>
                </w:p>
              </w:tc>
              <w:tc>
                <w:tcPr>
                  <w:tcW w:w="570" w:type="pct"/>
                  <w:vMerge w:val="restart"/>
                  <w:shd w:val="clear" w:color="auto" w:fill="auto"/>
                  <w:vAlign w:val="center"/>
                </w:tcPr>
                <w:p w14:paraId="598478C3">
                  <w:pPr>
                    <w:widowControl/>
                    <w:jc w:val="center"/>
                    <w:rPr>
                      <w:b/>
                      <w:bCs/>
                      <w:kern w:val="0"/>
                      <w:sz w:val="20"/>
                      <w:szCs w:val="20"/>
                    </w:rPr>
                  </w:pPr>
                  <w:r>
                    <w:rPr>
                      <w:b/>
                      <w:bCs/>
                      <w:kern w:val="0"/>
                      <w:sz w:val="20"/>
                      <w:szCs w:val="20"/>
                    </w:rPr>
                    <w:t>治理措施</w:t>
                  </w:r>
                </w:p>
              </w:tc>
              <w:tc>
                <w:tcPr>
                  <w:tcW w:w="1226" w:type="pct"/>
                  <w:gridSpan w:val="3"/>
                  <w:shd w:val="clear" w:color="auto" w:fill="auto"/>
                  <w:vAlign w:val="center"/>
                </w:tcPr>
                <w:p w14:paraId="4A19B9AA">
                  <w:pPr>
                    <w:widowControl/>
                    <w:jc w:val="center"/>
                    <w:rPr>
                      <w:b/>
                      <w:bCs/>
                      <w:kern w:val="0"/>
                      <w:sz w:val="20"/>
                      <w:szCs w:val="20"/>
                    </w:rPr>
                  </w:pPr>
                  <w:r>
                    <w:rPr>
                      <w:b/>
                      <w:bCs/>
                      <w:kern w:val="0"/>
                      <w:sz w:val="20"/>
                      <w:szCs w:val="20"/>
                    </w:rPr>
                    <w:t>污染物接管量</w:t>
                  </w:r>
                </w:p>
              </w:tc>
              <w:tc>
                <w:tcPr>
                  <w:tcW w:w="368" w:type="pct"/>
                  <w:shd w:val="clear" w:color="auto" w:fill="auto"/>
                  <w:vAlign w:val="center"/>
                </w:tcPr>
                <w:p w14:paraId="57F48D04">
                  <w:pPr>
                    <w:widowControl/>
                    <w:jc w:val="center"/>
                    <w:rPr>
                      <w:b/>
                      <w:bCs/>
                      <w:kern w:val="0"/>
                      <w:sz w:val="20"/>
                      <w:szCs w:val="20"/>
                    </w:rPr>
                  </w:pPr>
                  <w:r>
                    <w:rPr>
                      <w:b/>
                      <w:bCs/>
                      <w:kern w:val="0"/>
                      <w:sz w:val="20"/>
                      <w:szCs w:val="20"/>
                    </w:rPr>
                    <w:t>接管浓度</w:t>
                  </w:r>
                </w:p>
              </w:tc>
              <w:tc>
                <w:tcPr>
                  <w:tcW w:w="429" w:type="pct"/>
                  <w:vMerge w:val="restart"/>
                  <w:shd w:val="clear" w:color="auto" w:fill="auto"/>
                  <w:vAlign w:val="center"/>
                </w:tcPr>
                <w:p w14:paraId="5BD2BF9F">
                  <w:pPr>
                    <w:widowControl/>
                    <w:jc w:val="center"/>
                    <w:rPr>
                      <w:b/>
                      <w:bCs/>
                      <w:kern w:val="0"/>
                      <w:sz w:val="20"/>
                      <w:szCs w:val="20"/>
                    </w:rPr>
                  </w:pPr>
                  <w:r>
                    <w:rPr>
                      <w:b/>
                      <w:bCs/>
                      <w:kern w:val="0"/>
                      <w:sz w:val="20"/>
                      <w:szCs w:val="20"/>
                    </w:rPr>
                    <w:t>排放方式与去向</w:t>
                  </w:r>
                </w:p>
              </w:tc>
            </w:tr>
            <w:tr w14:paraId="392B8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3" w:type="pct"/>
                  <w:vMerge w:val="continue"/>
                  <w:vAlign w:val="center"/>
                </w:tcPr>
                <w:p w14:paraId="1D5CEA8E">
                  <w:pPr>
                    <w:widowControl/>
                    <w:jc w:val="left"/>
                    <w:rPr>
                      <w:b/>
                      <w:bCs/>
                      <w:kern w:val="0"/>
                      <w:sz w:val="20"/>
                      <w:szCs w:val="20"/>
                    </w:rPr>
                  </w:pPr>
                </w:p>
              </w:tc>
              <w:tc>
                <w:tcPr>
                  <w:tcW w:w="366" w:type="pct"/>
                  <w:vMerge w:val="continue"/>
                  <w:vAlign w:val="center"/>
                </w:tcPr>
                <w:p w14:paraId="109F0562">
                  <w:pPr>
                    <w:widowControl/>
                    <w:jc w:val="left"/>
                    <w:rPr>
                      <w:b/>
                      <w:bCs/>
                      <w:kern w:val="0"/>
                      <w:sz w:val="20"/>
                      <w:szCs w:val="20"/>
                    </w:rPr>
                  </w:pPr>
                </w:p>
              </w:tc>
              <w:tc>
                <w:tcPr>
                  <w:tcW w:w="473" w:type="pct"/>
                  <w:vMerge w:val="restart"/>
                  <w:shd w:val="clear" w:color="auto" w:fill="auto"/>
                  <w:vAlign w:val="center"/>
                </w:tcPr>
                <w:p w14:paraId="3F9E3221">
                  <w:pPr>
                    <w:widowControl/>
                    <w:jc w:val="center"/>
                    <w:rPr>
                      <w:b/>
                      <w:bCs/>
                      <w:kern w:val="0"/>
                      <w:sz w:val="20"/>
                      <w:szCs w:val="20"/>
                    </w:rPr>
                  </w:pPr>
                  <w:r>
                    <w:rPr>
                      <w:b/>
                      <w:bCs/>
                      <w:kern w:val="0"/>
                      <w:sz w:val="20"/>
                      <w:szCs w:val="20"/>
                    </w:rPr>
                    <w:t>（m</w:t>
                  </w:r>
                  <w:r>
                    <w:rPr>
                      <w:b/>
                      <w:bCs/>
                      <w:kern w:val="0"/>
                      <w:sz w:val="20"/>
                      <w:szCs w:val="20"/>
                      <w:vertAlign w:val="superscript"/>
                    </w:rPr>
                    <w:t>3</w:t>
                  </w:r>
                  <w:r>
                    <w:rPr>
                      <w:b/>
                      <w:bCs/>
                      <w:kern w:val="0"/>
                      <w:sz w:val="20"/>
                      <w:szCs w:val="20"/>
                    </w:rPr>
                    <w:t>/a）</w:t>
                  </w:r>
                </w:p>
              </w:tc>
              <w:tc>
                <w:tcPr>
                  <w:tcW w:w="364" w:type="pct"/>
                  <w:vMerge w:val="continue"/>
                  <w:vAlign w:val="center"/>
                </w:tcPr>
                <w:p w14:paraId="32F5F84D">
                  <w:pPr>
                    <w:widowControl/>
                    <w:jc w:val="left"/>
                    <w:rPr>
                      <w:b/>
                      <w:bCs/>
                      <w:kern w:val="0"/>
                      <w:sz w:val="20"/>
                      <w:szCs w:val="20"/>
                    </w:rPr>
                  </w:pPr>
                </w:p>
              </w:tc>
              <w:tc>
                <w:tcPr>
                  <w:tcW w:w="438" w:type="pct"/>
                  <w:shd w:val="clear" w:color="auto" w:fill="auto"/>
                  <w:vAlign w:val="center"/>
                </w:tcPr>
                <w:p w14:paraId="2143736C">
                  <w:pPr>
                    <w:widowControl/>
                    <w:jc w:val="center"/>
                    <w:rPr>
                      <w:b/>
                      <w:bCs/>
                      <w:kern w:val="0"/>
                      <w:sz w:val="20"/>
                      <w:szCs w:val="20"/>
                    </w:rPr>
                  </w:pPr>
                  <w:r>
                    <w:rPr>
                      <w:b/>
                      <w:bCs/>
                      <w:kern w:val="0"/>
                      <w:sz w:val="20"/>
                      <w:szCs w:val="20"/>
                    </w:rPr>
                    <w:t>浓度</w:t>
                  </w:r>
                </w:p>
              </w:tc>
              <w:tc>
                <w:tcPr>
                  <w:tcW w:w="402" w:type="pct"/>
                  <w:shd w:val="clear" w:color="auto" w:fill="auto"/>
                  <w:vAlign w:val="center"/>
                </w:tcPr>
                <w:p w14:paraId="33AFBAB8">
                  <w:pPr>
                    <w:widowControl/>
                    <w:jc w:val="center"/>
                    <w:rPr>
                      <w:b/>
                      <w:bCs/>
                      <w:kern w:val="0"/>
                      <w:sz w:val="20"/>
                      <w:szCs w:val="20"/>
                    </w:rPr>
                  </w:pPr>
                  <w:r>
                    <w:rPr>
                      <w:b/>
                      <w:bCs/>
                      <w:kern w:val="0"/>
                      <w:sz w:val="20"/>
                      <w:szCs w:val="20"/>
                    </w:rPr>
                    <w:t>产生量</w:t>
                  </w:r>
                </w:p>
              </w:tc>
              <w:tc>
                <w:tcPr>
                  <w:tcW w:w="570" w:type="pct"/>
                  <w:vMerge w:val="continue"/>
                  <w:vAlign w:val="center"/>
                </w:tcPr>
                <w:p w14:paraId="779AFF6E">
                  <w:pPr>
                    <w:widowControl/>
                    <w:jc w:val="left"/>
                    <w:rPr>
                      <w:b/>
                      <w:bCs/>
                      <w:kern w:val="0"/>
                      <w:sz w:val="20"/>
                      <w:szCs w:val="20"/>
                    </w:rPr>
                  </w:pPr>
                </w:p>
              </w:tc>
              <w:tc>
                <w:tcPr>
                  <w:tcW w:w="368" w:type="pct"/>
                  <w:vMerge w:val="restart"/>
                  <w:shd w:val="clear" w:color="auto" w:fill="auto"/>
                  <w:vAlign w:val="center"/>
                </w:tcPr>
                <w:p w14:paraId="10460FF5">
                  <w:pPr>
                    <w:widowControl/>
                    <w:jc w:val="center"/>
                    <w:rPr>
                      <w:b/>
                      <w:bCs/>
                      <w:kern w:val="0"/>
                      <w:sz w:val="20"/>
                      <w:szCs w:val="20"/>
                    </w:rPr>
                  </w:pPr>
                  <w:r>
                    <w:rPr>
                      <w:b/>
                      <w:bCs/>
                      <w:kern w:val="0"/>
                      <w:sz w:val="20"/>
                      <w:szCs w:val="20"/>
                    </w:rPr>
                    <w:t>污染物</w:t>
                  </w:r>
                </w:p>
              </w:tc>
              <w:tc>
                <w:tcPr>
                  <w:tcW w:w="490" w:type="pct"/>
                  <w:shd w:val="clear" w:color="auto" w:fill="auto"/>
                  <w:vAlign w:val="center"/>
                </w:tcPr>
                <w:p w14:paraId="6ADEDA2E">
                  <w:pPr>
                    <w:widowControl/>
                    <w:jc w:val="center"/>
                    <w:rPr>
                      <w:b/>
                      <w:bCs/>
                      <w:kern w:val="0"/>
                      <w:sz w:val="20"/>
                      <w:szCs w:val="20"/>
                    </w:rPr>
                  </w:pPr>
                  <w:r>
                    <w:rPr>
                      <w:b/>
                      <w:bCs/>
                      <w:kern w:val="0"/>
                      <w:sz w:val="20"/>
                      <w:szCs w:val="20"/>
                    </w:rPr>
                    <w:t>浓度</w:t>
                  </w:r>
                </w:p>
              </w:tc>
              <w:tc>
                <w:tcPr>
                  <w:tcW w:w="368" w:type="pct"/>
                  <w:shd w:val="clear" w:color="auto" w:fill="auto"/>
                  <w:vAlign w:val="center"/>
                </w:tcPr>
                <w:p w14:paraId="02650F0D">
                  <w:pPr>
                    <w:widowControl/>
                    <w:jc w:val="center"/>
                    <w:rPr>
                      <w:b/>
                      <w:bCs/>
                      <w:kern w:val="0"/>
                      <w:sz w:val="20"/>
                      <w:szCs w:val="20"/>
                    </w:rPr>
                  </w:pPr>
                  <w:r>
                    <w:rPr>
                      <w:b/>
                      <w:bCs/>
                      <w:kern w:val="0"/>
                      <w:sz w:val="20"/>
                      <w:szCs w:val="20"/>
                    </w:rPr>
                    <w:t>接管</w:t>
                  </w:r>
                </w:p>
              </w:tc>
              <w:tc>
                <w:tcPr>
                  <w:tcW w:w="368" w:type="pct"/>
                  <w:vMerge w:val="restart"/>
                  <w:shd w:val="clear" w:color="auto" w:fill="auto"/>
                  <w:vAlign w:val="center"/>
                </w:tcPr>
                <w:p w14:paraId="79FF0E68">
                  <w:pPr>
                    <w:widowControl/>
                    <w:jc w:val="center"/>
                    <w:rPr>
                      <w:b/>
                      <w:bCs/>
                      <w:kern w:val="0"/>
                      <w:sz w:val="20"/>
                      <w:szCs w:val="20"/>
                    </w:rPr>
                  </w:pPr>
                  <w:r>
                    <w:rPr>
                      <w:b/>
                      <w:bCs/>
                      <w:kern w:val="0"/>
                      <w:sz w:val="20"/>
                      <w:szCs w:val="20"/>
                    </w:rPr>
                    <w:t>限值(mg/L)</w:t>
                  </w:r>
                </w:p>
              </w:tc>
              <w:tc>
                <w:tcPr>
                  <w:tcW w:w="429" w:type="pct"/>
                  <w:vMerge w:val="continue"/>
                  <w:vAlign w:val="center"/>
                </w:tcPr>
                <w:p w14:paraId="48D89DD3">
                  <w:pPr>
                    <w:widowControl/>
                    <w:jc w:val="left"/>
                    <w:rPr>
                      <w:b/>
                      <w:bCs/>
                      <w:kern w:val="0"/>
                      <w:sz w:val="20"/>
                      <w:szCs w:val="20"/>
                    </w:rPr>
                  </w:pPr>
                </w:p>
              </w:tc>
            </w:tr>
            <w:tr w14:paraId="7E4E8A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0" w:hRule="atLeast"/>
              </w:trPr>
              <w:tc>
                <w:tcPr>
                  <w:tcW w:w="363" w:type="pct"/>
                  <w:vMerge w:val="continue"/>
                  <w:vAlign w:val="center"/>
                </w:tcPr>
                <w:p w14:paraId="5569CC91">
                  <w:pPr>
                    <w:widowControl/>
                    <w:jc w:val="left"/>
                    <w:rPr>
                      <w:b/>
                      <w:bCs/>
                      <w:kern w:val="0"/>
                      <w:sz w:val="20"/>
                      <w:szCs w:val="20"/>
                    </w:rPr>
                  </w:pPr>
                </w:p>
              </w:tc>
              <w:tc>
                <w:tcPr>
                  <w:tcW w:w="366" w:type="pct"/>
                  <w:vMerge w:val="continue"/>
                  <w:vAlign w:val="center"/>
                </w:tcPr>
                <w:p w14:paraId="56D9A786">
                  <w:pPr>
                    <w:widowControl/>
                    <w:jc w:val="left"/>
                    <w:rPr>
                      <w:b/>
                      <w:bCs/>
                      <w:kern w:val="0"/>
                      <w:sz w:val="20"/>
                      <w:szCs w:val="20"/>
                    </w:rPr>
                  </w:pPr>
                </w:p>
              </w:tc>
              <w:tc>
                <w:tcPr>
                  <w:tcW w:w="473" w:type="pct"/>
                  <w:vMerge w:val="continue"/>
                  <w:vAlign w:val="center"/>
                </w:tcPr>
                <w:p w14:paraId="76FC9924">
                  <w:pPr>
                    <w:widowControl/>
                    <w:jc w:val="left"/>
                    <w:rPr>
                      <w:b/>
                      <w:bCs/>
                      <w:kern w:val="0"/>
                      <w:sz w:val="20"/>
                      <w:szCs w:val="20"/>
                    </w:rPr>
                  </w:pPr>
                </w:p>
              </w:tc>
              <w:tc>
                <w:tcPr>
                  <w:tcW w:w="364" w:type="pct"/>
                  <w:vMerge w:val="continue"/>
                  <w:vAlign w:val="center"/>
                </w:tcPr>
                <w:p w14:paraId="538BF5A2">
                  <w:pPr>
                    <w:widowControl/>
                    <w:jc w:val="left"/>
                    <w:rPr>
                      <w:b/>
                      <w:bCs/>
                      <w:kern w:val="0"/>
                      <w:sz w:val="20"/>
                      <w:szCs w:val="20"/>
                    </w:rPr>
                  </w:pPr>
                </w:p>
              </w:tc>
              <w:tc>
                <w:tcPr>
                  <w:tcW w:w="438" w:type="pct"/>
                  <w:shd w:val="clear" w:color="auto" w:fill="auto"/>
                  <w:vAlign w:val="center"/>
                </w:tcPr>
                <w:p w14:paraId="3B5B35EC">
                  <w:pPr>
                    <w:widowControl/>
                    <w:jc w:val="center"/>
                    <w:rPr>
                      <w:b/>
                      <w:bCs/>
                      <w:kern w:val="0"/>
                      <w:sz w:val="20"/>
                      <w:szCs w:val="20"/>
                    </w:rPr>
                  </w:pPr>
                  <w:r>
                    <w:rPr>
                      <w:b/>
                      <w:bCs/>
                      <w:kern w:val="0"/>
                      <w:sz w:val="20"/>
                      <w:szCs w:val="20"/>
                    </w:rPr>
                    <w:t>(mg/L)</w:t>
                  </w:r>
                </w:p>
              </w:tc>
              <w:tc>
                <w:tcPr>
                  <w:tcW w:w="402" w:type="pct"/>
                  <w:shd w:val="clear" w:color="auto" w:fill="auto"/>
                  <w:vAlign w:val="center"/>
                </w:tcPr>
                <w:p w14:paraId="3530720E">
                  <w:pPr>
                    <w:widowControl/>
                    <w:jc w:val="center"/>
                    <w:rPr>
                      <w:b/>
                      <w:bCs/>
                      <w:kern w:val="0"/>
                      <w:sz w:val="20"/>
                      <w:szCs w:val="20"/>
                    </w:rPr>
                  </w:pPr>
                  <w:r>
                    <w:rPr>
                      <w:b/>
                      <w:bCs/>
                      <w:kern w:val="0"/>
                      <w:sz w:val="20"/>
                      <w:szCs w:val="20"/>
                    </w:rPr>
                    <w:t>(t/a)</w:t>
                  </w:r>
                </w:p>
              </w:tc>
              <w:tc>
                <w:tcPr>
                  <w:tcW w:w="570" w:type="pct"/>
                  <w:vMerge w:val="continue"/>
                  <w:vAlign w:val="center"/>
                </w:tcPr>
                <w:p w14:paraId="1E945C54">
                  <w:pPr>
                    <w:widowControl/>
                    <w:jc w:val="left"/>
                    <w:rPr>
                      <w:b/>
                      <w:bCs/>
                      <w:kern w:val="0"/>
                      <w:sz w:val="20"/>
                      <w:szCs w:val="20"/>
                    </w:rPr>
                  </w:pPr>
                </w:p>
              </w:tc>
              <w:tc>
                <w:tcPr>
                  <w:tcW w:w="368" w:type="pct"/>
                  <w:vMerge w:val="continue"/>
                  <w:vAlign w:val="center"/>
                </w:tcPr>
                <w:p w14:paraId="3CA6C2CE">
                  <w:pPr>
                    <w:widowControl/>
                    <w:jc w:val="left"/>
                    <w:rPr>
                      <w:b/>
                      <w:bCs/>
                      <w:kern w:val="0"/>
                      <w:sz w:val="20"/>
                      <w:szCs w:val="20"/>
                    </w:rPr>
                  </w:pPr>
                </w:p>
              </w:tc>
              <w:tc>
                <w:tcPr>
                  <w:tcW w:w="490" w:type="pct"/>
                  <w:shd w:val="clear" w:color="auto" w:fill="auto"/>
                  <w:vAlign w:val="center"/>
                </w:tcPr>
                <w:p w14:paraId="648C2CD4">
                  <w:pPr>
                    <w:widowControl/>
                    <w:jc w:val="center"/>
                    <w:rPr>
                      <w:b/>
                      <w:bCs/>
                      <w:kern w:val="0"/>
                      <w:sz w:val="20"/>
                      <w:szCs w:val="20"/>
                    </w:rPr>
                  </w:pPr>
                  <w:r>
                    <w:rPr>
                      <w:b/>
                      <w:bCs/>
                      <w:kern w:val="0"/>
                      <w:sz w:val="20"/>
                      <w:szCs w:val="20"/>
                    </w:rPr>
                    <w:t>(mg/L)</w:t>
                  </w:r>
                </w:p>
              </w:tc>
              <w:tc>
                <w:tcPr>
                  <w:tcW w:w="368" w:type="pct"/>
                  <w:shd w:val="clear" w:color="auto" w:fill="auto"/>
                  <w:vAlign w:val="center"/>
                </w:tcPr>
                <w:p w14:paraId="70A0B29B">
                  <w:pPr>
                    <w:widowControl/>
                    <w:jc w:val="center"/>
                    <w:rPr>
                      <w:b/>
                      <w:bCs/>
                      <w:kern w:val="0"/>
                      <w:sz w:val="20"/>
                      <w:szCs w:val="20"/>
                    </w:rPr>
                  </w:pPr>
                  <w:r>
                    <w:rPr>
                      <w:b/>
                      <w:bCs/>
                      <w:kern w:val="0"/>
                      <w:sz w:val="20"/>
                      <w:szCs w:val="20"/>
                    </w:rPr>
                    <w:t>(t/a)</w:t>
                  </w:r>
                </w:p>
              </w:tc>
              <w:tc>
                <w:tcPr>
                  <w:tcW w:w="368" w:type="pct"/>
                  <w:vMerge w:val="continue"/>
                  <w:vAlign w:val="center"/>
                </w:tcPr>
                <w:p w14:paraId="5FF0CC3C">
                  <w:pPr>
                    <w:widowControl/>
                    <w:jc w:val="left"/>
                    <w:rPr>
                      <w:b/>
                      <w:bCs/>
                      <w:kern w:val="0"/>
                      <w:sz w:val="20"/>
                      <w:szCs w:val="20"/>
                    </w:rPr>
                  </w:pPr>
                </w:p>
              </w:tc>
              <w:tc>
                <w:tcPr>
                  <w:tcW w:w="429" w:type="pct"/>
                  <w:vMerge w:val="continue"/>
                  <w:vAlign w:val="center"/>
                </w:tcPr>
                <w:p w14:paraId="33D7F13D">
                  <w:pPr>
                    <w:widowControl/>
                    <w:jc w:val="left"/>
                    <w:rPr>
                      <w:b/>
                      <w:bCs/>
                      <w:kern w:val="0"/>
                      <w:sz w:val="20"/>
                      <w:szCs w:val="20"/>
                    </w:rPr>
                  </w:pPr>
                </w:p>
              </w:tc>
            </w:tr>
            <w:tr w14:paraId="219DFE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63" w:type="pct"/>
                  <w:vMerge w:val="restart"/>
                  <w:shd w:val="clear" w:color="auto" w:fill="auto"/>
                  <w:vAlign w:val="center"/>
                </w:tcPr>
                <w:p w14:paraId="2611F25B">
                  <w:pPr>
                    <w:widowControl/>
                    <w:jc w:val="center"/>
                    <w:rPr>
                      <w:kern w:val="0"/>
                      <w:sz w:val="20"/>
                      <w:szCs w:val="20"/>
                    </w:rPr>
                  </w:pPr>
                  <w:r>
                    <w:rPr>
                      <w:kern w:val="0"/>
                      <w:sz w:val="20"/>
                      <w:szCs w:val="20"/>
                    </w:rPr>
                    <w:t>纺丝组件清洗水（含锑）</w:t>
                  </w:r>
                </w:p>
              </w:tc>
              <w:tc>
                <w:tcPr>
                  <w:tcW w:w="366" w:type="pct"/>
                  <w:vMerge w:val="restart"/>
                  <w:shd w:val="clear" w:color="auto" w:fill="auto"/>
                  <w:vAlign w:val="center"/>
                </w:tcPr>
                <w:p w14:paraId="198B4F5F">
                  <w:pPr>
                    <w:widowControl/>
                    <w:jc w:val="center"/>
                    <w:rPr>
                      <w:kern w:val="0"/>
                      <w:sz w:val="20"/>
                      <w:szCs w:val="20"/>
                    </w:rPr>
                  </w:pPr>
                  <w:r>
                    <w:rPr>
                      <w:kern w:val="0"/>
                      <w:sz w:val="20"/>
                      <w:szCs w:val="20"/>
                    </w:rPr>
                    <w:t>W1</w:t>
                  </w:r>
                </w:p>
              </w:tc>
              <w:tc>
                <w:tcPr>
                  <w:tcW w:w="473" w:type="pct"/>
                  <w:vMerge w:val="restart"/>
                  <w:shd w:val="clear" w:color="auto" w:fill="auto"/>
                  <w:vAlign w:val="center"/>
                </w:tcPr>
                <w:p w14:paraId="1070BFD7">
                  <w:pPr>
                    <w:widowControl/>
                    <w:jc w:val="center"/>
                    <w:rPr>
                      <w:kern w:val="0"/>
                      <w:sz w:val="20"/>
                      <w:szCs w:val="20"/>
                    </w:rPr>
                  </w:pPr>
                  <w:r>
                    <w:rPr>
                      <w:kern w:val="0"/>
                      <w:sz w:val="20"/>
                      <w:szCs w:val="20"/>
                    </w:rPr>
                    <w:t>5475</w:t>
                  </w:r>
                </w:p>
              </w:tc>
              <w:tc>
                <w:tcPr>
                  <w:tcW w:w="364" w:type="pct"/>
                  <w:shd w:val="clear" w:color="auto" w:fill="auto"/>
                  <w:vAlign w:val="center"/>
                </w:tcPr>
                <w:p w14:paraId="507C43CA">
                  <w:pPr>
                    <w:widowControl/>
                    <w:jc w:val="center"/>
                    <w:rPr>
                      <w:kern w:val="0"/>
                      <w:sz w:val="20"/>
                      <w:szCs w:val="20"/>
                    </w:rPr>
                  </w:pPr>
                  <w:r>
                    <w:rPr>
                      <w:kern w:val="0"/>
                      <w:sz w:val="20"/>
                      <w:szCs w:val="20"/>
                    </w:rPr>
                    <w:t>COD</w:t>
                  </w:r>
                </w:p>
              </w:tc>
              <w:tc>
                <w:tcPr>
                  <w:tcW w:w="438" w:type="pct"/>
                  <w:shd w:val="clear" w:color="auto" w:fill="auto"/>
                  <w:vAlign w:val="center"/>
                </w:tcPr>
                <w:p w14:paraId="4A418E6C">
                  <w:pPr>
                    <w:widowControl/>
                    <w:jc w:val="center"/>
                    <w:rPr>
                      <w:kern w:val="0"/>
                      <w:sz w:val="20"/>
                      <w:szCs w:val="20"/>
                    </w:rPr>
                  </w:pPr>
                  <w:r>
                    <w:rPr>
                      <w:kern w:val="0"/>
                      <w:sz w:val="20"/>
                      <w:szCs w:val="20"/>
                    </w:rPr>
                    <w:t>1125</w:t>
                  </w:r>
                </w:p>
              </w:tc>
              <w:tc>
                <w:tcPr>
                  <w:tcW w:w="402" w:type="pct"/>
                  <w:shd w:val="clear" w:color="auto" w:fill="auto"/>
                  <w:vAlign w:val="center"/>
                </w:tcPr>
                <w:p w14:paraId="5001B09B">
                  <w:pPr>
                    <w:widowControl/>
                    <w:jc w:val="center"/>
                    <w:rPr>
                      <w:kern w:val="0"/>
                      <w:sz w:val="20"/>
                      <w:szCs w:val="20"/>
                    </w:rPr>
                  </w:pPr>
                  <w:r>
                    <w:rPr>
                      <w:kern w:val="0"/>
                      <w:sz w:val="20"/>
                      <w:szCs w:val="20"/>
                    </w:rPr>
                    <w:t>6.16</w:t>
                  </w:r>
                </w:p>
              </w:tc>
              <w:tc>
                <w:tcPr>
                  <w:tcW w:w="570" w:type="pct"/>
                  <w:vMerge w:val="restart"/>
                  <w:shd w:val="clear" w:color="auto" w:fill="auto"/>
                  <w:vAlign w:val="center"/>
                </w:tcPr>
                <w:p w14:paraId="6BE10F4F">
                  <w:pPr>
                    <w:widowControl/>
                    <w:jc w:val="center"/>
                    <w:rPr>
                      <w:kern w:val="0"/>
                      <w:sz w:val="20"/>
                      <w:szCs w:val="20"/>
                    </w:rPr>
                  </w:pPr>
                  <w:r>
                    <w:rPr>
                      <w:rFonts w:hint="eastAsia"/>
                      <w:kern w:val="0"/>
                      <w:sz w:val="20"/>
                      <w:szCs w:val="20"/>
                    </w:rPr>
                    <w:t>管道输</w:t>
                  </w:r>
                  <w:r>
                    <w:rPr>
                      <w:kern w:val="0"/>
                      <w:sz w:val="20"/>
                      <w:szCs w:val="20"/>
                    </w:rPr>
                    <w:t>送至污水站混合调节池混合后，采用“活性污泥+兼氧好氧”的好氧生化处理工艺和“陶粒过滤+活性炭过滤+精密过滤+反渗透”中水回用深度处理工艺，活性炭过滤器出水中的40%和反渗透淡水在清水池内混合后作为中水回用，中水回用率为80%，反渗透浓水（占比20%）达接管标准后排入市政管网由接管至泗阳高新区污水处理厂（一期）厂集中处理。</w:t>
                  </w:r>
                </w:p>
              </w:tc>
              <w:tc>
                <w:tcPr>
                  <w:tcW w:w="368" w:type="pct"/>
                  <w:shd w:val="clear" w:color="auto" w:fill="auto"/>
                  <w:vAlign w:val="center"/>
                </w:tcPr>
                <w:p w14:paraId="34154435">
                  <w:pPr>
                    <w:widowControl/>
                    <w:jc w:val="center"/>
                    <w:rPr>
                      <w:kern w:val="0"/>
                      <w:sz w:val="20"/>
                      <w:szCs w:val="20"/>
                    </w:rPr>
                  </w:pPr>
                  <w:r>
                    <w:rPr>
                      <w:kern w:val="0"/>
                      <w:sz w:val="20"/>
                      <w:szCs w:val="20"/>
                    </w:rPr>
                    <w:t>废水量</w:t>
                  </w:r>
                </w:p>
              </w:tc>
              <w:tc>
                <w:tcPr>
                  <w:tcW w:w="490" w:type="pct"/>
                  <w:shd w:val="clear" w:color="auto" w:fill="auto"/>
                  <w:vAlign w:val="center"/>
                </w:tcPr>
                <w:p w14:paraId="2EE67E7F">
                  <w:pPr>
                    <w:widowControl/>
                    <w:jc w:val="center"/>
                    <w:rPr>
                      <w:kern w:val="0"/>
                      <w:sz w:val="20"/>
                      <w:szCs w:val="20"/>
                    </w:rPr>
                  </w:pPr>
                  <w:r>
                    <w:rPr>
                      <w:kern w:val="0"/>
                      <w:sz w:val="20"/>
                      <w:szCs w:val="20"/>
                    </w:rPr>
                    <w:t>/</w:t>
                  </w:r>
                </w:p>
              </w:tc>
              <w:tc>
                <w:tcPr>
                  <w:tcW w:w="368" w:type="pct"/>
                  <w:shd w:val="clear" w:color="auto" w:fill="auto"/>
                  <w:vAlign w:val="center"/>
                </w:tcPr>
                <w:p w14:paraId="5B8F8E6D">
                  <w:pPr>
                    <w:widowControl/>
                    <w:jc w:val="center"/>
                    <w:rPr>
                      <w:kern w:val="0"/>
                      <w:sz w:val="20"/>
                      <w:szCs w:val="20"/>
                    </w:rPr>
                  </w:pPr>
                  <w:r>
                    <w:rPr>
                      <w:kern w:val="0"/>
                      <w:sz w:val="20"/>
                      <w:szCs w:val="20"/>
                    </w:rPr>
                    <w:t>3663</w:t>
                  </w:r>
                </w:p>
              </w:tc>
              <w:tc>
                <w:tcPr>
                  <w:tcW w:w="368" w:type="pct"/>
                  <w:shd w:val="clear" w:color="auto" w:fill="auto"/>
                  <w:vAlign w:val="center"/>
                </w:tcPr>
                <w:p w14:paraId="2D57BF98">
                  <w:pPr>
                    <w:widowControl/>
                    <w:jc w:val="center"/>
                    <w:rPr>
                      <w:kern w:val="0"/>
                      <w:sz w:val="20"/>
                      <w:szCs w:val="20"/>
                    </w:rPr>
                  </w:pPr>
                  <w:r>
                    <w:rPr>
                      <w:kern w:val="0"/>
                      <w:sz w:val="20"/>
                      <w:szCs w:val="20"/>
                    </w:rPr>
                    <w:t>/</w:t>
                  </w:r>
                </w:p>
              </w:tc>
              <w:tc>
                <w:tcPr>
                  <w:tcW w:w="429" w:type="pct"/>
                  <w:vMerge w:val="restart"/>
                  <w:shd w:val="clear" w:color="auto" w:fill="auto"/>
                  <w:vAlign w:val="center"/>
                </w:tcPr>
                <w:p w14:paraId="1A5DF573">
                  <w:pPr>
                    <w:widowControl/>
                    <w:jc w:val="center"/>
                    <w:rPr>
                      <w:kern w:val="0"/>
                      <w:sz w:val="20"/>
                      <w:szCs w:val="20"/>
                    </w:rPr>
                  </w:pPr>
                  <w:r>
                    <w:rPr>
                      <w:kern w:val="0"/>
                      <w:sz w:val="20"/>
                      <w:szCs w:val="20"/>
                    </w:rPr>
                    <w:t>尾水执行《城镇污水处理厂污染物排放标准》（GB18918-2002）中一级A标准，排入小长河，最终进入</w:t>
                  </w:r>
                  <w:r>
                    <w:rPr>
                      <w:rFonts w:hint="eastAsia"/>
                      <w:szCs w:val="21"/>
                    </w:rPr>
                    <w:t>黄河故道（原</w:t>
                  </w:r>
                  <w:r>
                    <w:rPr>
                      <w:szCs w:val="21"/>
                    </w:rPr>
                    <w:t>废黄河</w:t>
                  </w:r>
                  <w:r>
                    <w:rPr>
                      <w:rFonts w:hint="eastAsia"/>
                      <w:szCs w:val="21"/>
                    </w:rPr>
                    <w:t>）</w:t>
                  </w:r>
                </w:p>
              </w:tc>
            </w:tr>
            <w:tr w14:paraId="268C5D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3" w:type="pct"/>
                  <w:vMerge w:val="continue"/>
                  <w:vAlign w:val="center"/>
                </w:tcPr>
                <w:p w14:paraId="453326F9">
                  <w:pPr>
                    <w:widowControl/>
                    <w:jc w:val="left"/>
                    <w:rPr>
                      <w:kern w:val="0"/>
                      <w:sz w:val="20"/>
                      <w:szCs w:val="20"/>
                    </w:rPr>
                  </w:pPr>
                </w:p>
              </w:tc>
              <w:tc>
                <w:tcPr>
                  <w:tcW w:w="366" w:type="pct"/>
                  <w:vMerge w:val="continue"/>
                  <w:vAlign w:val="center"/>
                </w:tcPr>
                <w:p w14:paraId="566AF05A">
                  <w:pPr>
                    <w:widowControl/>
                    <w:jc w:val="left"/>
                    <w:rPr>
                      <w:kern w:val="0"/>
                      <w:sz w:val="20"/>
                      <w:szCs w:val="20"/>
                    </w:rPr>
                  </w:pPr>
                </w:p>
              </w:tc>
              <w:tc>
                <w:tcPr>
                  <w:tcW w:w="473" w:type="pct"/>
                  <w:vMerge w:val="continue"/>
                  <w:vAlign w:val="center"/>
                </w:tcPr>
                <w:p w14:paraId="5F939AFD">
                  <w:pPr>
                    <w:widowControl/>
                    <w:jc w:val="left"/>
                    <w:rPr>
                      <w:kern w:val="0"/>
                      <w:sz w:val="20"/>
                      <w:szCs w:val="20"/>
                    </w:rPr>
                  </w:pPr>
                </w:p>
              </w:tc>
              <w:tc>
                <w:tcPr>
                  <w:tcW w:w="364" w:type="pct"/>
                  <w:shd w:val="clear" w:color="auto" w:fill="auto"/>
                  <w:vAlign w:val="center"/>
                </w:tcPr>
                <w:p w14:paraId="3CADC423">
                  <w:pPr>
                    <w:widowControl/>
                    <w:jc w:val="center"/>
                    <w:rPr>
                      <w:kern w:val="0"/>
                      <w:sz w:val="20"/>
                      <w:szCs w:val="20"/>
                    </w:rPr>
                  </w:pPr>
                  <w:r>
                    <w:rPr>
                      <w:kern w:val="0"/>
                      <w:sz w:val="20"/>
                      <w:szCs w:val="20"/>
                    </w:rPr>
                    <w:t>SS</w:t>
                  </w:r>
                </w:p>
              </w:tc>
              <w:tc>
                <w:tcPr>
                  <w:tcW w:w="438" w:type="pct"/>
                  <w:shd w:val="clear" w:color="auto" w:fill="auto"/>
                  <w:vAlign w:val="center"/>
                </w:tcPr>
                <w:p w14:paraId="714A3F97">
                  <w:pPr>
                    <w:widowControl/>
                    <w:jc w:val="center"/>
                    <w:rPr>
                      <w:kern w:val="0"/>
                      <w:sz w:val="20"/>
                      <w:szCs w:val="20"/>
                    </w:rPr>
                  </w:pPr>
                  <w:r>
                    <w:rPr>
                      <w:kern w:val="0"/>
                      <w:sz w:val="20"/>
                      <w:szCs w:val="20"/>
                    </w:rPr>
                    <w:t>240</w:t>
                  </w:r>
                </w:p>
              </w:tc>
              <w:tc>
                <w:tcPr>
                  <w:tcW w:w="402" w:type="pct"/>
                  <w:shd w:val="clear" w:color="auto" w:fill="auto"/>
                  <w:vAlign w:val="center"/>
                </w:tcPr>
                <w:p w14:paraId="48766BA2">
                  <w:pPr>
                    <w:widowControl/>
                    <w:jc w:val="center"/>
                    <w:rPr>
                      <w:kern w:val="0"/>
                      <w:sz w:val="20"/>
                      <w:szCs w:val="20"/>
                    </w:rPr>
                  </w:pPr>
                  <w:r>
                    <w:rPr>
                      <w:kern w:val="0"/>
                      <w:sz w:val="20"/>
                      <w:szCs w:val="20"/>
                    </w:rPr>
                    <w:t>1.31</w:t>
                  </w:r>
                </w:p>
              </w:tc>
              <w:tc>
                <w:tcPr>
                  <w:tcW w:w="570" w:type="pct"/>
                  <w:vMerge w:val="continue"/>
                  <w:vAlign w:val="center"/>
                </w:tcPr>
                <w:p w14:paraId="020BEF5C">
                  <w:pPr>
                    <w:widowControl/>
                    <w:jc w:val="left"/>
                    <w:rPr>
                      <w:kern w:val="0"/>
                      <w:sz w:val="20"/>
                      <w:szCs w:val="20"/>
                    </w:rPr>
                  </w:pPr>
                </w:p>
              </w:tc>
              <w:tc>
                <w:tcPr>
                  <w:tcW w:w="368" w:type="pct"/>
                  <w:shd w:val="clear" w:color="auto" w:fill="auto"/>
                  <w:vAlign w:val="center"/>
                </w:tcPr>
                <w:p w14:paraId="1EEA572B">
                  <w:pPr>
                    <w:widowControl/>
                    <w:jc w:val="center"/>
                    <w:rPr>
                      <w:kern w:val="0"/>
                      <w:sz w:val="20"/>
                      <w:szCs w:val="20"/>
                    </w:rPr>
                  </w:pPr>
                  <w:r>
                    <w:rPr>
                      <w:kern w:val="0"/>
                      <w:sz w:val="20"/>
                      <w:szCs w:val="20"/>
                    </w:rPr>
                    <w:t>COD</w:t>
                  </w:r>
                </w:p>
              </w:tc>
              <w:tc>
                <w:tcPr>
                  <w:tcW w:w="490" w:type="pct"/>
                  <w:shd w:val="clear" w:color="auto" w:fill="auto"/>
                  <w:vAlign w:val="center"/>
                </w:tcPr>
                <w:p w14:paraId="1F1ECFB0">
                  <w:pPr>
                    <w:widowControl/>
                    <w:jc w:val="center"/>
                    <w:rPr>
                      <w:kern w:val="0"/>
                      <w:sz w:val="20"/>
                      <w:szCs w:val="20"/>
                    </w:rPr>
                  </w:pPr>
                  <w:r>
                    <w:rPr>
                      <w:kern w:val="0"/>
                      <w:sz w:val="20"/>
                      <w:szCs w:val="20"/>
                    </w:rPr>
                    <w:t>400</w:t>
                  </w:r>
                </w:p>
              </w:tc>
              <w:tc>
                <w:tcPr>
                  <w:tcW w:w="368" w:type="pct"/>
                  <w:shd w:val="clear" w:color="auto" w:fill="auto"/>
                  <w:vAlign w:val="center"/>
                </w:tcPr>
                <w:p w14:paraId="7C124CDB">
                  <w:pPr>
                    <w:widowControl/>
                    <w:jc w:val="center"/>
                    <w:rPr>
                      <w:kern w:val="0"/>
                      <w:sz w:val="20"/>
                      <w:szCs w:val="20"/>
                    </w:rPr>
                  </w:pPr>
                  <w:r>
                    <w:rPr>
                      <w:kern w:val="0"/>
                      <w:sz w:val="20"/>
                      <w:szCs w:val="20"/>
                    </w:rPr>
                    <w:t>1.47</w:t>
                  </w:r>
                </w:p>
              </w:tc>
              <w:tc>
                <w:tcPr>
                  <w:tcW w:w="368" w:type="pct"/>
                  <w:shd w:val="clear" w:color="auto" w:fill="auto"/>
                  <w:vAlign w:val="center"/>
                </w:tcPr>
                <w:p w14:paraId="651B570E">
                  <w:pPr>
                    <w:widowControl/>
                    <w:jc w:val="center"/>
                    <w:rPr>
                      <w:kern w:val="0"/>
                      <w:sz w:val="20"/>
                      <w:szCs w:val="20"/>
                    </w:rPr>
                  </w:pPr>
                  <w:r>
                    <w:rPr>
                      <w:kern w:val="0"/>
                      <w:sz w:val="20"/>
                      <w:szCs w:val="20"/>
                    </w:rPr>
                    <w:t>400</w:t>
                  </w:r>
                </w:p>
              </w:tc>
              <w:tc>
                <w:tcPr>
                  <w:tcW w:w="429" w:type="pct"/>
                  <w:vMerge w:val="continue"/>
                  <w:vAlign w:val="center"/>
                </w:tcPr>
                <w:p w14:paraId="64E7AAB2">
                  <w:pPr>
                    <w:widowControl/>
                    <w:jc w:val="left"/>
                    <w:rPr>
                      <w:kern w:val="0"/>
                      <w:sz w:val="20"/>
                      <w:szCs w:val="20"/>
                    </w:rPr>
                  </w:pPr>
                </w:p>
              </w:tc>
            </w:tr>
            <w:tr w14:paraId="5A6B59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63" w:type="pct"/>
                  <w:vMerge w:val="continue"/>
                  <w:vAlign w:val="center"/>
                </w:tcPr>
                <w:p w14:paraId="71DCCAF8">
                  <w:pPr>
                    <w:widowControl/>
                    <w:jc w:val="left"/>
                    <w:rPr>
                      <w:kern w:val="0"/>
                      <w:sz w:val="20"/>
                      <w:szCs w:val="20"/>
                    </w:rPr>
                  </w:pPr>
                </w:p>
              </w:tc>
              <w:tc>
                <w:tcPr>
                  <w:tcW w:w="366" w:type="pct"/>
                  <w:vMerge w:val="continue"/>
                  <w:vAlign w:val="center"/>
                </w:tcPr>
                <w:p w14:paraId="3E637717">
                  <w:pPr>
                    <w:widowControl/>
                    <w:jc w:val="left"/>
                    <w:rPr>
                      <w:kern w:val="0"/>
                      <w:sz w:val="20"/>
                      <w:szCs w:val="20"/>
                    </w:rPr>
                  </w:pPr>
                </w:p>
              </w:tc>
              <w:tc>
                <w:tcPr>
                  <w:tcW w:w="473" w:type="pct"/>
                  <w:vMerge w:val="continue"/>
                  <w:vAlign w:val="center"/>
                </w:tcPr>
                <w:p w14:paraId="08DC95E2">
                  <w:pPr>
                    <w:widowControl/>
                    <w:jc w:val="left"/>
                    <w:rPr>
                      <w:kern w:val="0"/>
                      <w:sz w:val="20"/>
                      <w:szCs w:val="20"/>
                    </w:rPr>
                  </w:pPr>
                </w:p>
              </w:tc>
              <w:tc>
                <w:tcPr>
                  <w:tcW w:w="364" w:type="pct"/>
                  <w:shd w:val="clear" w:color="auto" w:fill="auto"/>
                  <w:vAlign w:val="center"/>
                </w:tcPr>
                <w:p w14:paraId="116EC17E">
                  <w:pPr>
                    <w:widowControl/>
                    <w:jc w:val="center"/>
                    <w:rPr>
                      <w:kern w:val="0"/>
                      <w:sz w:val="20"/>
                      <w:szCs w:val="20"/>
                    </w:rPr>
                  </w:pPr>
                  <w:r>
                    <w:rPr>
                      <w:kern w:val="0"/>
                      <w:sz w:val="20"/>
                      <w:szCs w:val="20"/>
                    </w:rPr>
                    <w:t>总锑</w:t>
                  </w:r>
                </w:p>
              </w:tc>
              <w:tc>
                <w:tcPr>
                  <w:tcW w:w="438" w:type="pct"/>
                  <w:shd w:val="clear" w:color="auto" w:fill="auto"/>
                  <w:vAlign w:val="center"/>
                </w:tcPr>
                <w:p w14:paraId="6101AFB3">
                  <w:pPr>
                    <w:widowControl/>
                    <w:jc w:val="center"/>
                    <w:rPr>
                      <w:kern w:val="0"/>
                      <w:sz w:val="20"/>
                      <w:szCs w:val="20"/>
                    </w:rPr>
                  </w:pPr>
                  <w:r>
                    <w:rPr>
                      <w:kern w:val="0"/>
                      <w:sz w:val="20"/>
                      <w:szCs w:val="20"/>
                    </w:rPr>
                    <w:t>7.6</w:t>
                  </w:r>
                </w:p>
              </w:tc>
              <w:tc>
                <w:tcPr>
                  <w:tcW w:w="402" w:type="pct"/>
                  <w:shd w:val="clear" w:color="auto" w:fill="auto"/>
                  <w:vAlign w:val="center"/>
                </w:tcPr>
                <w:p w14:paraId="18BE5752">
                  <w:pPr>
                    <w:widowControl/>
                    <w:jc w:val="center"/>
                    <w:rPr>
                      <w:kern w:val="0"/>
                      <w:sz w:val="20"/>
                      <w:szCs w:val="20"/>
                    </w:rPr>
                  </w:pPr>
                  <w:r>
                    <w:rPr>
                      <w:kern w:val="0"/>
                      <w:sz w:val="20"/>
                      <w:szCs w:val="20"/>
                    </w:rPr>
                    <w:t>0.04</w:t>
                  </w:r>
                </w:p>
              </w:tc>
              <w:tc>
                <w:tcPr>
                  <w:tcW w:w="570" w:type="pct"/>
                  <w:vMerge w:val="continue"/>
                  <w:vAlign w:val="center"/>
                </w:tcPr>
                <w:p w14:paraId="5928B0D7">
                  <w:pPr>
                    <w:widowControl/>
                    <w:jc w:val="left"/>
                    <w:rPr>
                      <w:kern w:val="0"/>
                      <w:sz w:val="20"/>
                      <w:szCs w:val="20"/>
                    </w:rPr>
                  </w:pPr>
                </w:p>
              </w:tc>
              <w:tc>
                <w:tcPr>
                  <w:tcW w:w="368" w:type="pct"/>
                  <w:shd w:val="clear" w:color="auto" w:fill="auto"/>
                  <w:vAlign w:val="center"/>
                </w:tcPr>
                <w:p w14:paraId="09150FF6">
                  <w:pPr>
                    <w:widowControl/>
                    <w:jc w:val="center"/>
                    <w:rPr>
                      <w:kern w:val="0"/>
                      <w:sz w:val="20"/>
                      <w:szCs w:val="20"/>
                    </w:rPr>
                  </w:pPr>
                  <w:r>
                    <w:rPr>
                      <w:kern w:val="0"/>
                      <w:sz w:val="20"/>
                      <w:szCs w:val="20"/>
                    </w:rPr>
                    <w:t>SS</w:t>
                  </w:r>
                </w:p>
              </w:tc>
              <w:tc>
                <w:tcPr>
                  <w:tcW w:w="490" w:type="pct"/>
                  <w:shd w:val="clear" w:color="auto" w:fill="auto"/>
                  <w:vAlign w:val="center"/>
                </w:tcPr>
                <w:p w14:paraId="0811FA68">
                  <w:pPr>
                    <w:widowControl/>
                    <w:jc w:val="center"/>
                    <w:rPr>
                      <w:kern w:val="0"/>
                      <w:sz w:val="20"/>
                      <w:szCs w:val="20"/>
                    </w:rPr>
                  </w:pPr>
                  <w:r>
                    <w:rPr>
                      <w:kern w:val="0"/>
                      <w:sz w:val="20"/>
                      <w:szCs w:val="20"/>
                    </w:rPr>
                    <w:t>280</w:t>
                  </w:r>
                </w:p>
              </w:tc>
              <w:tc>
                <w:tcPr>
                  <w:tcW w:w="368" w:type="pct"/>
                  <w:shd w:val="clear" w:color="auto" w:fill="auto"/>
                  <w:vAlign w:val="center"/>
                </w:tcPr>
                <w:p w14:paraId="34C01770">
                  <w:pPr>
                    <w:widowControl/>
                    <w:jc w:val="center"/>
                    <w:rPr>
                      <w:kern w:val="0"/>
                      <w:sz w:val="20"/>
                      <w:szCs w:val="20"/>
                    </w:rPr>
                  </w:pPr>
                  <w:r>
                    <w:rPr>
                      <w:kern w:val="0"/>
                      <w:sz w:val="20"/>
                      <w:szCs w:val="20"/>
                    </w:rPr>
                    <w:t>1.03</w:t>
                  </w:r>
                </w:p>
              </w:tc>
              <w:tc>
                <w:tcPr>
                  <w:tcW w:w="368" w:type="pct"/>
                  <w:shd w:val="clear" w:color="auto" w:fill="auto"/>
                  <w:vAlign w:val="center"/>
                </w:tcPr>
                <w:p w14:paraId="484FEB3E">
                  <w:pPr>
                    <w:widowControl/>
                    <w:jc w:val="center"/>
                    <w:rPr>
                      <w:kern w:val="0"/>
                      <w:sz w:val="20"/>
                      <w:szCs w:val="20"/>
                    </w:rPr>
                  </w:pPr>
                  <w:r>
                    <w:rPr>
                      <w:kern w:val="0"/>
                      <w:sz w:val="20"/>
                      <w:szCs w:val="20"/>
                    </w:rPr>
                    <w:t>280</w:t>
                  </w:r>
                </w:p>
              </w:tc>
              <w:tc>
                <w:tcPr>
                  <w:tcW w:w="429" w:type="pct"/>
                  <w:vMerge w:val="continue"/>
                  <w:vAlign w:val="center"/>
                </w:tcPr>
                <w:p w14:paraId="3D009545">
                  <w:pPr>
                    <w:widowControl/>
                    <w:jc w:val="left"/>
                    <w:rPr>
                      <w:kern w:val="0"/>
                      <w:sz w:val="20"/>
                      <w:szCs w:val="20"/>
                    </w:rPr>
                  </w:pPr>
                </w:p>
              </w:tc>
            </w:tr>
            <w:tr w14:paraId="0AEB7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63" w:type="pct"/>
                  <w:vMerge w:val="restart"/>
                  <w:shd w:val="clear" w:color="auto" w:fill="auto"/>
                  <w:vAlign w:val="center"/>
                </w:tcPr>
                <w:p w14:paraId="635735C3">
                  <w:pPr>
                    <w:widowControl/>
                    <w:jc w:val="center"/>
                    <w:rPr>
                      <w:kern w:val="0"/>
                      <w:sz w:val="20"/>
                      <w:szCs w:val="20"/>
                    </w:rPr>
                  </w:pPr>
                  <w:r>
                    <w:rPr>
                      <w:kern w:val="0"/>
                      <w:sz w:val="20"/>
                      <w:szCs w:val="20"/>
                    </w:rPr>
                    <w:t>纺丝组件清洗废水</w:t>
                  </w:r>
                </w:p>
              </w:tc>
              <w:tc>
                <w:tcPr>
                  <w:tcW w:w="366" w:type="pct"/>
                  <w:vMerge w:val="restart"/>
                  <w:shd w:val="clear" w:color="auto" w:fill="auto"/>
                  <w:vAlign w:val="center"/>
                </w:tcPr>
                <w:p w14:paraId="23B654E1">
                  <w:pPr>
                    <w:widowControl/>
                    <w:jc w:val="center"/>
                    <w:rPr>
                      <w:kern w:val="0"/>
                      <w:sz w:val="20"/>
                      <w:szCs w:val="20"/>
                    </w:rPr>
                  </w:pPr>
                  <w:r>
                    <w:rPr>
                      <w:kern w:val="0"/>
                      <w:sz w:val="20"/>
                      <w:szCs w:val="20"/>
                    </w:rPr>
                    <w:t>W2</w:t>
                  </w:r>
                </w:p>
              </w:tc>
              <w:tc>
                <w:tcPr>
                  <w:tcW w:w="473" w:type="pct"/>
                  <w:vMerge w:val="restart"/>
                  <w:shd w:val="clear" w:color="auto" w:fill="auto"/>
                  <w:vAlign w:val="center"/>
                </w:tcPr>
                <w:p w14:paraId="24E309D1">
                  <w:pPr>
                    <w:widowControl/>
                    <w:jc w:val="center"/>
                    <w:rPr>
                      <w:kern w:val="0"/>
                      <w:sz w:val="20"/>
                      <w:szCs w:val="20"/>
                    </w:rPr>
                  </w:pPr>
                  <w:r>
                    <w:rPr>
                      <w:kern w:val="0"/>
                      <w:sz w:val="20"/>
                      <w:szCs w:val="20"/>
                    </w:rPr>
                    <w:t>12600</w:t>
                  </w:r>
                </w:p>
              </w:tc>
              <w:tc>
                <w:tcPr>
                  <w:tcW w:w="364" w:type="pct"/>
                  <w:shd w:val="clear" w:color="auto" w:fill="auto"/>
                  <w:vAlign w:val="center"/>
                </w:tcPr>
                <w:p w14:paraId="34FC54BE">
                  <w:pPr>
                    <w:widowControl/>
                    <w:jc w:val="center"/>
                    <w:rPr>
                      <w:kern w:val="0"/>
                      <w:sz w:val="20"/>
                      <w:szCs w:val="20"/>
                    </w:rPr>
                  </w:pPr>
                  <w:r>
                    <w:rPr>
                      <w:kern w:val="0"/>
                      <w:sz w:val="20"/>
                      <w:szCs w:val="20"/>
                    </w:rPr>
                    <w:t>COD</w:t>
                  </w:r>
                </w:p>
              </w:tc>
              <w:tc>
                <w:tcPr>
                  <w:tcW w:w="438" w:type="pct"/>
                  <w:shd w:val="clear" w:color="auto" w:fill="auto"/>
                  <w:vAlign w:val="center"/>
                </w:tcPr>
                <w:p w14:paraId="4F4BD13E">
                  <w:pPr>
                    <w:widowControl/>
                    <w:jc w:val="center"/>
                    <w:rPr>
                      <w:kern w:val="0"/>
                      <w:sz w:val="20"/>
                      <w:szCs w:val="20"/>
                    </w:rPr>
                  </w:pPr>
                  <w:r>
                    <w:rPr>
                      <w:kern w:val="0"/>
                      <w:sz w:val="20"/>
                      <w:szCs w:val="20"/>
                    </w:rPr>
                    <w:t>1500</w:t>
                  </w:r>
                </w:p>
              </w:tc>
              <w:tc>
                <w:tcPr>
                  <w:tcW w:w="402" w:type="pct"/>
                  <w:shd w:val="clear" w:color="auto" w:fill="auto"/>
                  <w:vAlign w:val="center"/>
                </w:tcPr>
                <w:p w14:paraId="2AA717A8">
                  <w:pPr>
                    <w:widowControl/>
                    <w:jc w:val="center"/>
                    <w:rPr>
                      <w:kern w:val="0"/>
                      <w:sz w:val="20"/>
                      <w:szCs w:val="20"/>
                    </w:rPr>
                  </w:pPr>
                  <w:r>
                    <w:rPr>
                      <w:kern w:val="0"/>
                      <w:sz w:val="20"/>
                      <w:szCs w:val="20"/>
                    </w:rPr>
                    <w:t>18.90</w:t>
                  </w:r>
                </w:p>
              </w:tc>
              <w:tc>
                <w:tcPr>
                  <w:tcW w:w="570" w:type="pct"/>
                  <w:vMerge w:val="continue"/>
                  <w:vAlign w:val="center"/>
                </w:tcPr>
                <w:p w14:paraId="67436397">
                  <w:pPr>
                    <w:widowControl/>
                    <w:jc w:val="left"/>
                    <w:rPr>
                      <w:kern w:val="0"/>
                      <w:sz w:val="20"/>
                      <w:szCs w:val="20"/>
                    </w:rPr>
                  </w:pPr>
                </w:p>
              </w:tc>
              <w:tc>
                <w:tcPr>
                  <w:tcW w:w="368" w:type="pct"/>
                  <w:shd w:val="clear" w:color="auto" w:fill="auto"/>
                  <w:vAlign w:val="center"/>
                </w:tcPr>
                <w:p w14:paraId="1F5096B6">
                  <w:pPr>
                    <w:widowControl/>
                    <w:jc w:val="center"/>
                    <w:rPr>
                      <w:kern w:val="0"/>
                      <w:sz w:val="20"/>
                      <w:szCs w:val="20"/>
                    </w:rPr>
                  </w:pPr>
                  <w:r>
                    <w:rPr>
                      <w:kern w:val="0"/>
                      <w:sz w:val="20"/>
                      <w:szCs w:val="20"/>
                    </w:rPr>
                    <w:t>氨氮</w:t>
                  </w:r>
                </w:p>
              </w:tc>
              <w:tc>
                <w:tcPr>
                  <w:tcW w:w="490" w:type="pct"/>
                  <w:shd w:val="clear" w:color="auto" w:fill="auto"/>
                  <w:vAlign w:val="center"/>
                </w:tcPr>
                <w:p w14:paraId="71B28B72">
                  <w:pPr>
                    <w:widowControl/>
                    <w:jc w:val="center"/>
                    <w:rPr>
                      <w:kern w:val="0"/>
                      <w:sz w:val="20"/>
                      <w:szCs w:val="20"/>
                    </w:rPr>
                  </w:pPr>
                  <w:r>
                    <w:rPr>
                      <w:kern w:val="0"/>
                      <w:sz w:val="20"/>
                      <w:szCs w:val="20"/>
                    </w:rPr>
                    <w:t>25</w:t>
                  </w:r>
                </w:p>
              </w:tc>
              <w:tc>
                <w:tcPr>
                  <w:tcW w:w="368" w:type="pct"/>
                  <w:shd w:val="clear" w:color="auto" w:fill="auto"/>
                  <w:vAlign w:val="center"/>
                </w:tcPr>
                <w:p w14:paraId="699C919E">
                  <w:pPr>
                    <w:widowControl/>
                    <w:jc w:val="center"/>
                    <w:rPr>
                      <w:kern w:val="0"/>
                      <w:sz w:val="20"/>
                      <w:szCs w:val="20"/>
                    </w:rPr>
                  </w:pPr>
                  <w:r>
                    <w:rPr>
                      <w:kern w:val="0"/>
                      <w:sz w:val="20"/>
                      <w:szCs w:val="20"/>
                    </w:rPr>
                    <w:t>0.09</w:t>
                  </w:r>
                </w:p>
              </w:tc>
              <w:tc>
                <w:tcPr>
                  <w:tcW w:w="368" w:type="pct"/>
                  <w:shd w:val="clear" w:color="auto" w:fill="auto"/>
                  <w:vAlign w:val="center"/>
                </w:tcPr>
                <w:p w14:paraId="368B4852">
                  <w:pPr>
                    <w:widowControl/>
                    <w:jc w:val="center"/>
                    <w:rPr>
                      <w:kern w:val="0"/>
                      <w:sz w:val="20"/>
                      <w:szCs w:val="20"/>
                    </w:rPr>
                  </w:pPr>
                  <w:r>
                    <w:rPr>
                      <w:kern w:val="0"/>
                      <w:sz w:val="20"/>
                      <w:szCs w:val="20"/>
                    </w:rPr>
                    <w:t>25</w:t>
                  </w:r>
                </w:p>
              </w:tc>
              <w:tc>
                <w:tcPr>
                  <w:tcW w:w="429" w:type="pct"/>
                  <w:vMerge w:val="continue"/>
                  <w:vAlign w:val="center"/>
                </w:tcPr>
                <w:p w14:paraId="1862372D">
                  <w:pPr>
                    <w:widowControl/>
                    <w:jc w:val="left"/>
                    <w:rPr>
                      <w:kern w:val="0"/>
                      <w:sz w:val="20"/>
                      <w:szCs w:val="20"/>
                    </w:rPr>
                  </w:pPr>
                </w:p>
              </w:tc>
            </w:tr>
            <w:tr w14:paraId="6FC1EE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3" w:type="pct"/>
                  <w:vMerge w:val="continue"/>
                  <w:vAlign w:val="center"/>
                </w:tcPr>
                <w:p w14:paraId="05DFDF23">
                  <w:pPr>
                    <w:widowControl/>
                    <w:jc w:val="left"/>
                    <w:rPr>
                      <w:kern w:val="0"/>
                      <w:sz w:val="20"/>
                      <w:szCs w:val="20"/>
                    </w:rPr>
                  </w:pPr>
                </w:p>
              </w:tc>
              <w:tc>
                <w:tcPr>
                  <w:tcW w:w="366" w:type="pct"/>
                  <w:vMerge w:val="continue"/>
                  <w:vAlign w:val="center"/>
                </w:tcPr>
                <w:p w14:paraId="787FF663">
                  <w:pPr>
                    <w:widowControl/>
                    <w:jc w:val="left"/>
                    <w:rPr>
                      <w:kern w:val="0"/>
                      <w:sz w:val="20"/>
                      <w:szCs w:val="20"/>
                    </w:rPr>
                  </w:pPr>
                </w:p>
              </w:tc>
              <w:tc>
                <w:tcPr>
                  <w:tcW w:w="473" w:type="pct"/>
                  <w:vMerge w:val="continue"/>
                  <w:vAlign w:val="center"/>
                </w:tcPr>
                <w:p w14:paraId="601C2867">
                  <w:pPr>
                    <w:widowControl/>
                    <w:jc w:val="left"/>
                    <w:rPr>
                      <w:kern w:val="0"/>
                      <w:sz w:val="20"/>
                      <w:szCs w:val="20"/>
                    </w:rPr>
                  </w:pPr>
                </w:p>
              </w:tc>
              <w:tc>
                <w:tcPr>
                  <w:tcW w:w="364" w:type="pct"/>
                  <w:shd w:val="clear" w:color="auto" w:fill="auto"/>
                  <w:vAlign w:val="center"/>
                </w:tcPr>
                <w:p w14:paraId="3346DBC0">
                  <w:pPr>
                    <w:widowControl/>
                    <w:jc w:val="center"/>
                    <w:rPr>
                      <w:kern w:val="0"/>
                      <w:sz w:val="20"/>
                      <w:szCs w:val="20"/>
                    </w:rPr>
                  </w:pPr>
                  <w:r>
                    <w:rPr>
                      <w:kern w:val="0"/>
                      <w:sz w:val="20"/>
                      <w:szCs w:val="20"/>
                    </w:rPr>
                    <w:t>SS</w:t>
                  </w:r>
                </w:p>
              </w:tc>
              <w:tc>
                <w:tcPr>
                  <w:tcW w:w="438" w:type="pct"/>
                  <w:shd w:val="clear" w:color="auto" w:fill="auto"/>
                  <w:vAlign w:val="center"/>
                </w:tcPr>
                <w:p w14:paraId="4069108B">
                  <w:pPr>
                    <w:widowControl/>
                    <w:jc w:val="center"/>
                    <w:rPr>
                      <w:kern w:val="0"/>
                      <w:sz w:val="20"/>
                      <w:szCs w:val="20"/>
                    </w:rPr>
                  </w:pPr>
                  <w:r>
                    <w:rPr>
                      <w:kern w:val="0"/>
                      <w:sz w:val="20"/>
                      <w:szCs w:val="20"/>
                    </w:rPr>
                    <w:t>400</w:t>
                  </w:r>
                </w:p>
              </w:tc>
              <w:tc>
                <w:tcPr>
                  <w:tcW w:w="402" w:type="pct"/>
                  <w:shd w:val="clear" w:color="auto" w:fill="auto"/>
                  <w:vAlign w:val="center"/>
                </w:tcPr>
                <w:p w14:paraId="19AC7C64">
                  <w:pPr>
                    <w:widowControl/>
                    <w:jc w:val="center"/>
                    <w:rPr>
                      <w:kern w:val="0"/>
                      <w:sz w:val="20"/>
                      <w:szCs w:val="20"/>
                    </w:rPr>
                  </w:pPr>
                  <w:r>
                    <w:rPr>
                      <w:kern w:val="0"/>
                      <w:sz w:val="20"/>
                      <w:szCs w:val="20"/>
                    </w:rPr>
                    <w:t>5.04</w:t>
                  </w:r>
                </w:p>
              </w:tc>
              <w:tc>
                <w:tcPr>
                  <w:tcW w:w="570" w:type="pct"/>
                  <w:vMerge w:val="continue"/>
                  <w:vAlign w:val="center"/>
                </w:tcPr>
                <w:p w14:paraId="092CBE48">
                  <w:pPr>
                    <w:widowControl/>
                    <w:jc w:val="left"/>
                    <w:rPr>
                      <w:kern w:val="0"/>
                      <w:sz w:val="20"/>
                      <w:szCs w:val="20"/>
                    </w:rPr>
                  </w:pPr>
                </w:p>
              </w:tc>
              <w:tc>
                <w:tcPr>
                  <w:tcW w:w="368" w:type="pct"/>
                  <w:shd w:val="clear" w:color="auto" w:fill="auto"/>
                  <w:vAlign w:val="center"/>
                </w:tcPr>
                <w:p w14:paraId="148C7B3E">
                  <w:pPr>
                    <w:widowControl/>
                    <w:jc w:val="center"/>
                    <w:rPr>
                      <w:kern w:val="0"/>
                      <w:sz w:val="20"/>
                      <w:szCs w:val="20"/>
                    </w:rPr>
                  </w:pPr>
                  <w:r>
                    <w:rPr>
                      <w:kern w:val="0"/>
                      <w:sz w:val="20"/>
                      <w:szCs w:val="20"/>
                    </w:rPr>
                    <w:t>TP</w:t>
                  </w:r>
                </w:p>
              </w:tc>
              <w:tc>
                <w:tcPr>
                  <w:tcW w:w="490" w:type="pct"/>
                  <w:shd w:val="clear" w:color="auto" w:fill="auto"/>
                  <w:vAlign w:val="center"/>
                </w:tcPr>
                <w:p w14:paraId="6C60BE01">
                  <w:pPr>
                    <w:widowControl/>
                    <w:jc w:val="center"/>
                    <w:rPr>
                      <w:kern w:val="0"/>
                      <w:sz w:val="20"/>
                      <w:szCs w:val="20"/>
                    </w:rPr>
                  </w:pPr>
                  <w:r>
                    <w:rPr>
                      <w:kern w:val="0"/>
                      <w:sz w:val="20"/>
                      <w:szCs w:val="20"/>
                    </w:rPr>
                    <w:t>2</w:t>
                  </w:r>
                </w:p>
              </w:tc>
              <w:tc>
                <w:tcPr>
                  <w:tcW w:w="368" w:type="pct"/>
                  <w:shd w:val="clear" w:color="auto" w:fill="auto"/>
                  <w:vAlign w:val="center"/>
                </w:tcPr>
                <w:p w14:paraId="56662D50">
                  <w:pPr>
                    <w:widowControl/>
                    <w:jc w:val="center"/>
                    <w:rPr>
                      <w:kern w:val="0"/>
                      <w:sz w:val="20"/>
                      <w:szCs w:val="20"/>
                    </w:rPr>
                  </w:pPr>
                  <w:r>
                    <w:rPr>
                      <w:kern w:val="0"/>
                      <w:sz w:val="20"/>
                      <w:szCs w:val="20"/>
                    </w:rPr>
                    <w:t>0.01</w:t>
                  </w:r>
                </w:p>
              </w:tc>
              <w:tc>
                <w:tcPr>
                  <w:tcW w:w="368" w:type="pct"/>
                  <w:shd w:val="clear" w:color="auto" w:fill="auto"/>
                  <w:vAlign w:val="center"/>
                </w:tcPr>
                <w:p w14:paraId="28E54722">
                  <w:pPr>
                    <w:widowControl/>
                    <w:jc w:val="center"/>
                    <w:rPr>
                      <w:kern w:val="0"/>
                      <w:sz w:val="20"/>
                      <w:szCs w:val="20"/>
                    </w:rPr>
                  </w:pPr>
                  <w:r>
                    <w:rPr>
                      <w:kern w:val="0"/>
                      <w:sz w:val="20"/>
                      <w:szCs w:val="20"/>
                    </w:rPr>
                    <w:t>4.5</w:t>
                  </w:r>
                </w:p>
              </w:tc>
              <w:tc>
                <w:tcPr>
                  <w:tcW w:w="429" w:type="pct"/>
                  <w:vMerge w:val="continue"/>
                  <w:vAlign w:val="center"/>
                </w:tcPr>
                <w:p w14:paraId="7EE69A7F">
                  <w:pPr>
                    <w:widowControl/>
                    <w:jc w:val="left"/>
                    <w:rPr>
                      <w:kern w:val="0"/>
                      <w:sz w:val="20"/>
                      <w:szCs w:val="20"/>
                    </w:rPr>
                  </w:pPr>
                </w:p>
              </w:tc>
            </w:tr>
            <w:tr w14:paraId="1B237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3" w:type="pct"/>
                  <w:vMerge w:val="continue"/>
                  <w:vAlign w:val="center"/>
                </w:tcPr>
                <w:p w14:paraId="7DE1C20A">
                  <w:pPr>
                    <w:widowControl/>
                    <w:jc w:val="left"/>
                    <w:rPr>
                      <w:kern w:val="0"/>
                      <w:sz w:val="20"/>
                      <w:szCs w:val="20"/>
                    </w:rPr>
                  </w:pPr>
                </w:p>
              </w:tc>
              <w:tc>
                <w:tcPr>
                  <w:tcW w:w="366" w:type="pct"/>
                  <w:vMerge w:val="continue"/>
                  <w:vAlign w:val="center"/>
                </w:tcPr>
                <w:p w14:paraId="58DE079F">
                  <w:pPr>
                    <w:widowControl/>
                    <w:jc w:val="left"/>
                    <w:rPr>
                      <w:kern w:val="0"/>
                      <w:sz w:val="20"/>
                      <w:szCs w:val="20"/>
                    </w:rPr>
                  </w:pPr>
                </w:p>
              </w:tc>
              <w:tc>
                <w:tcPr>
                  <w:tcW w:w="473" w:type="pct"/>
                  <w:vMerge w:val="continue"/>
                  <w:vAlign w:val="center"/>
                </w:tcPr>
                <w:p w14:paraId="58D740B1">
                  <w:pPr>
                    <w:widowControl/>
                    <w:jc w:val="left"/>
                    <w:rPr>
                      <w:kern w:val="0"/>
                      <w:sz w:val="20"/>
                      <w:szCs w:val="20"/>
                    </w:rPr>
                  </w:pPr>
                </w:p>
              </w:tc>
              <w:tc>
                <w:tcPr>
                  <w:tcW w:w="364" w:type="pct"/>
                  <w:shd w:val="clear" w:color="auto" w:fill="auto"/>
                  <w:vAlign w:val="center"/>
                </w:tcPr>
                <w:p w14:paraId="54D9AFA6">
                  <w:pPr>
                    <w:widowControl/>
                    <w:jc w:val="center"/>
                    <w:rPr>
                      <w:kern w:val="0"/>
                      <w:sz w:val="20"/>
                      <w:szCs w:val="20"/>
                    </w:rPr>
                  </w:pPr>
                  <w:r>
                    <w:rPr>
                      <w:kern w:val="0"/>
                      <w:sz w:val="20"/>
                      <w:szCs w:val="20"/>
                    </w:rPr>
                    <w:t>石油类</w:t>
                  </w:r>
                </w:p>
              </w:tc>
              <w:tc>
                <w:tcPr>
                  <w:tcW w:w="438" w:type="pct"/>
                  <w:shd w:val="clear" w:color="auto" w:fill="auto"/>
                  <w:vAlign w:val="center"/>
                </w:tcPr>
                <w:p w14:paraId="3E345BFB">
                  <w:pPr>
                    <w:widowControl/>
                    <w:jc w:val="center"/>
                    <w:rPr>
                      <w:kern w:val="0"/>
                      <w:sz w:val="20"/>
                      <w:szCs w:val="20"/>
                    </w:rPr>
                  </w:pPr>
                  <w:r>
                    <w:rPr>
                      <w:kern w:val="0"/>
                      <w:sz w:val="20"/>
                      <w:szCs w:val="20"/>
                    </w:rPr>
                    <w:t>100</w:t>
                  </w:r>
                </w:p>
              </w:tc>
              <w:tc>
                <w:tcPr>
                  <w:tcW w:w="402" w:type="pct"/>
                  <w:shd w:val="clear" w:color="auto" w:fill="auto"/>
                  <w:vAlign w:val="center"/>
                </w:tcPr>
                <w:p w14:paraId="79B97C81">
                  <w:pPr>
                    <w:widowControl/>
                    <w:jc w:val="center"/>
                    <w:rPr>
                      <w:kern w:val="0"/>
                      <w:sz w:val="20"/>
                      <w:szCs w:val="20"/>
                    </w:rPr>
                  </w:pPr>
                  <w:r>
                    <w:rPr>
                      <w:kern w:val="0"/>
                      <w:sz w:val="20"/>
                      <w:szCs w:val="20"/>
                    </w:rPr>
                    <w:t>1.26</w:t>
                  </w:r>
                </w:p>
              </w:tc>
              <w:tc>
                <w:tcPr>
                  <w:tcW w:w="570" w:type="pct"/>
                  <w:vMerge w:val="continue"/>
                  <w:vAlign w:val="center"/>
                </w:tcPr>
                <w:p w14:paraId="5BEA5646">
                  <w:pPr>
                    <w:widowControl/>
                    <w:jc w:val="left"/>
                    <w:rPr>
                      <w:kern w:val="0"/>
                      <w:sz w:val="20"/>
                      <w:szCs w:val="20"/>
                    </w:rPr>
                  </w:pPr>
                </w:p>
              </w:tc>
              <w:tc>
                <w:tcPr>
                  <w:tcW w:w="368" w:type="pct"/>
                  <w:shd w:val="clear" w:color="auto" w:fill="auto"/>
                  <w:noWrap/>
                  <w:vAlign w:val="center"/>
                </w:tcPr>
                <w:p w14:paraId="47FCAD8C">
                  <w:pPr>
                    <w:widowControl/>
                    <w:jc w:val="center"/>
                    <w:rPr>
                      <w:kern w:val="0"/>
                      <w:sz w:val="20"/>
                      <w:szCs w:val="20"/>
                    </w:rPr>
                  </w:pPr>
                  <w:r>
                    <w:rPr>
                      <w:kern w:val="0"/>
                      <w:sz w:val="20"/>
                      <w:szCs w:val="20"/>
                    </w:rPr>
                    <w:t>总氮</w:t>
                  </w:r>
                </w:p>
              </w:tc>
              <w:tc>
                <w:tcPr>
                  <w:tcW w:w="490" w:type="pct"/>
                  <w:shd w:val="clear" w:color="auto" w:fill="auto"/>
                  <w:noWrap/>
                  <w:vAlign w:val="center"/>
                </w:tcPr>
                <w:p w14:paraId="439A9FD6">
                  <w:pPr>
                    <w:widowControl/>
                    <w:jc w:val="center"/>
                    <w:rPr>
                      <w:kern w:val="0"/>
                      <w:sz w:val="20"/>
                      <w:szCs w:val="20"/>
                    </w:rPr>
                  </w:pPr>
                  <w:r>
                    <w:rPr>
                      <w:kern w:val="0"/>
                      <w:sz w:val="20"/>
                      <w:szCs w:val="20"/>
                    </w:rPr>
                    <w:t>35</w:t>
                  </w:r>
                </w:p>
              </w:tc>
              <w:tc>
                <w:tcPr>
                  <w:tcW w:w="368" w:type="pct"/>
                  <w:shd w:val="clear" w:color="auto" w:fill="auto"/>
                  <w:vAlign w:val="center"/>
                </w:tcPr>
                <w:p w14:paraId="1DF2B5A0">
                  <w:pPr>
                    <w:widowControl/>
                    <w:jc w:val="center"/>
                    <w:rPr>
                      <w:kern w:val="0"/>
                      <w:sz w:val="20"/>
                      <w:szCs w:val="20"/>
                    </w:rPr>
                  </w:pPr>
                  <w:r>
                    <w:rPr>
                      <w:kern w:val="0"/>
                      <w:sz w:val="20"/>
                      <w:szCs w:val="20"/>
                    </w:rPr>
                    <w:t>0.13</w:t>
                  </w:r>
                </w:p>
              </w:tc>
              <w:tc>
                <w:tcPr>
                  <w:tcW w:w="368" w:type="pct"/>
                  <w:shd w:val="clear" w:color="auto" w:fill="auto"/>
                  <w:noWrap/>
                  <w:vAlign w:val="center"/>
                </w:tcPr>
                <w:p w14:paraId="032E8FA6">
                  <w:pPr>
                    <w:widowControl/>
                    <w:jc w:val="center"/>
                    <w:rPr>
                      <w:kern w:val="0"/>
                      <w:sz w:val="20"/>
                      <w:szCs w:val="20"/>
                    </w:rPr>
                  </w:pPr>
                  <w:r>
                    <w:rPr>
                      <w:kern w:val="0"/>
                      <w:sz w:val="20"/>
                      <w:szCs w:val="20"/>
                    </w:rPr>
                    <w:t>35</w:t>
                  </w:r>
                </w:p>
              </w:tc>
              <w:tc>
                <w:tcPr>
                  <w:tcW w:w="429" w:type="pct"/>
                  <w:vMerge w:val="continue"/>
                  <w:vAlign w:val="center"/>
                </w:tcPr>
                <w:p w14:paraId="2C498296">
                  <w:pPr>
                    <w:widowControl/>
                    <w:jc w:val="left"/>
                    <w:rPr>
                      <w:kern w:val="0"/>
                      <w:sz w:val="20"/>
                      <w:szCs w:val="20"/>
                    </w:rPr>
                  </w:pPr>
                </w:p>
              </w:tc>
            </w:tr>
            <w:tr w14:paraId="083C02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3" w:type="pct"/>
                  <w:vMerge w:val="restart"/>
                  <w:shd w:val="clear" w:color="auto" w:fill="auto"/>
                  <w:vAlign w:val="center"/>
                </w:tcPr>
                <w:p w14:paraId="3BE1F508">
                  <w:pPr>
                    <w:widowControl/>
                    <w:jc w:val="center"/>
                    <w:rPr>
                      <w:kern w:val="0"/>
                      <w:sz w:val="20"/>
                      <w:szCs w:val="20"/>
                    </w:rPr>
                  </w:pPr>
                  <w:r>
                    <w:rPr>
                      <w:kern w:val="0"/>
                      <w:sz w:val="20"/>
                      <w:szCs w:val="20"/>
                    </w:rPr>
                    <w:t>纺丝油烟净化装置冲洗废水</w:t>
                  </w:r>
                </w:p>
              </w:tc>
              <w:tc>
                <w:tcPr>
                  <w:tcW w:w="366" w:type="pct"/>
                  <w:vMerge w:val="restart"/>
                  <w:shd w:val="clear" w:color="auto" w:fill="auto"/>
                  <w:vAlign w:val="center"/>
                </w:tcPr>
                <w:p w14:paraId="66820A72">
                  <w:pPr>
                    <w:widowControl/>
                    <w:jc w:val="center"/>
                    <w:rPr>
                      <w:kern w:val="0"/>
                      <w:sz w:val="20"/>
                      <w:szCs w:val="20"/>
                    </w:rPr>
                  </w:pPr>
                  <w:r>
                    <w:rPr>
                      <w:kern w:val="0"/>
                      <w:sz w:val="20"/>
                      <w:szCs w:val="20"/>
                    </w:rPr>
                    <w:t>W3</w:t>
                  </w:r>
                </w:p>
              </w:tc>
              <w:tc>
                <w:tcPr>
                  <w:tcW w:w="473" w:type="pct"/>
                  <w:vMerge w:val="restart"/>
                  <w:shd w:val="clear" w:color="auto" w:fill="auto"/>
                  <w:vAlign w:val="center"/>
                </w:tcPr>
                <w:p w14:paraId="25D7AFC0">
                  <w:pPr>
                    <w:widowControl/>
                    <w:jc w:val="center"/>
                    <w:rPr>
                      <w:kern w:val="0"/>
                      <w:sz w:val="20"/>
                      <w:szCs w:val="20"/>
                    </w:rPr>
                  </w:pPr>
                  <w:r>
                    <w:rPr>
                      <w:kern w:val="0"/>
                      <w:sz w:val="20"/>
                      <w:szCs w:val="20"/>
                    </w:rPr>
                    <w:t>240</w:t>
                  </w:r>
                </w:p>
              </w:tc>
              <w:tc>
                <w:tcPr>
                  <w:tcW w:w="364" w:type="pct"/>
                  <w:shd w:val="clear" w:color="auto" w:fill="auto"/>
                  <w:vAlign w:val="center"/>
                </w:tcPr>
                <w:p w14:paraId="5E7E27A6">
                  <w:pPr>
                    <w:widowControl/>
                    <w:jc w:val="center"/>
                    <w:rPr>
                      <w:kern w:val="0"/>
                      <w:sz w:val="20"/>
                      <w:szCs w:val="20"/>
                    </w:rPr>
                  </w:pPr>
                  <w:r>
                    <w:rPr>
                      <w:kern w:val="0"/>
                      <w:sz w:val="20"/>
                      <w:szCs w:val="20"/>
                    </w:rPr>
                    <w:t>COD</w:t>
                  </w:r>
                </w:p>
              </w:tc>
              <w:tc>
                <w:tcPr>
                  <w:tcW w:w="438" w:type="pct"/>
                  <w:shd w:val="clear" w:color="auto" w:fill="auto"/>
                  <w:vAlign w:val="center"/>
                </w:tcPr>
                <w:p w14:paraId="28C3EF69">
                  <w:pPr>
                    <w:widowControl/>
                    <w:jc w:val="center"/>
                    <w:rPr>
                      <w:kern w:val="0"/>
                      <w:sz w:val="20"/>
                      <w:szCs w:val="20"/>
                    </w:rPr>
                  </w:pPr>
                  <w:r>
                    <w:rPr>
                      <w:kern w:val="0"/>
                      <w:sz w:val="20"/>
                      <w:szCs w:val="20"/>
                    </w:rPr>
                    <w:t>3200</w:t>
                  </w:r>
                </w:p>
              </w:tc>
              <w:tc>
                <w:tcPr>
                  <w:tcW w:w="402" w:type="pct"/>
                  <w:shd w:val="clear" w:color="auto" w:fill="auto"/>
                  <w:vAlign w:val="center"/>
                </w:tcPr>
                <w:p w14:paraId="7FC45C64">
                  <w:pPr>
                    <w:widowControl/>
                    <w:jc w:val="center"/>
                    <w:rPr>
                      <w:kern w:val="0"/>
                      <w:sz w:val="20"/>
                      <w:szCs w:val="20"/>
                    </w:rPr>
                  </w:pPr>
                  <w:r>
                    <w:rPr>
                      <w:kern w:val="0"/>
                      <w:sz w:val="20"/>
                      <w:szCs w:val="20"/>
                    </w:rPr>
                    <w:t>0.77</w:t>
                  </w:r>
                </w:p>
              </w:tc>
              <w:tc>
                <w:tcPr>
                  <w:tcW w:w="570" w:type="pct"/>
                  <w:vMerge w:val="continue"/>
                  <w:vAlign w:val="center"/>
                </w:tcPr>
                <w:p w14:paraId="2B1972F2">
                  <w:pPr>
                    <w:widowControl/>
                    <w:jc w:val="left"/>
                    <w:rPr>
                      <w:kern w:val="0"/>
                      <w:sz w:val="20"/>
                      <w:szCs w:val="20"/>
                    </w:rPr>
                  </w:pPr>
                </w:p>
              </w:tc>
              <w:tc>
                <w:tcPr>
                  <w:tcW w:w="368" w:type="pct"/>
                  <w:shd w:val="clear" w:color="auto" w:fill="auto"/>
                  <w:vAlign w:val="center"/>
                </w:tcPr>
                <w:p w14:paraId="0A5B8941">
                  <w:pPr>
                    <w:widowControl/>
                    <w:jc w:val="center"/>
                    <w:rPr>
                      <w:kern w:val="0"/>
                      <w:sz w:val="20"/>
                      <w:szCs w:val="20"/>
                    </w:rPr>
                  </w:pPr>
                  <w:r>
                    <w:rPr>
                      <w:kern w:val="0"/>
                      <w:sz w:val="20"/>
                      <w:szCs w:val="20"/>
                    </w:rPr>
                    <w:t>石油类</w:t>
                  </w:r>
                </w:p>
              </w:tc>
              <w:tc>
                <w:tcPr>
                  <w:tcW w:w="490" w:type="pct"/>
                  <w:shd w:val="clear" w:color="auto" w:fill="auto"/>
                  <w:vAlign w:val="center"/>
                </w:tcPr>
                <w:p w14:paraId="74AD4632">
                  <w:pPr>
                    <w:widowControl/>
                    <w:jc w:val="center"/>
                    <w:rPr>
                      <w:kern w:val="0"/>
                      <w:sz w:val="20"/>
                      <w:szCs w:val="20"/>
                    </w:rPr>
                  </w:pPr>
                  <w:r>
                    <w:rPr>
                      <w:kern w:val="0"/>
                      <w:sz w:val="20"/>
                      <w:szCs w:val="20"/>
                    </w:rPr>
                    <w:t>5</w:t>
                  </w:r>
                </w:p>
              </w:tc>
              <w:tc>
                <w:tcPr>
                  <w:tcW w:w="368" w:type="pct"/>
                  <w:shd w:val="clear" w:color="auto" w:fill="auto"/>
                  <w:vAlign w:val="center"/>
                </w:tcPr>
                <w:p w14:paraId="366AE639">
                  <w:pPr>
                    <w:widowControl/>
                    <w:jc w:val="center"/>
                    <w:rPr>
                      <w:kern w:val="0"/>
                      <w:sz w:val="20"/>
                      <w:szCs w:val="20"/>
                    </w:rPr>
                  </w:pPr>
                  <w:r>
                    <w:rPr>
                      <w:kern w:val="0"/>
                      <w:sz w:val="20"/>
                      <w:szCs w:val="20"/>
                    </w:rPr>
                    <w:t>0.02</w:t>
                  </w:r>
                </w:p>
              </w:tc>
              <w:tc>
                <w:tcPr>
                  <w:tcW w:w="368" w:type="pct"/>
                  <w:shd w:val="clear" w:color="auto" w:fill="auto"/>
                  <w:vAlign w:val="center"/>
                </w:tcPr>
                <w:p w14:paraId="3E0EEE80">
                  <w:pPr>
                    <w:widowControl/>
                    <w:jc w:val="center"/>
                    <w:rPr>
                      <w:kern w:val="0"/>
                      <w:sz w:val="20"/>
                      <w:szCs w:val="20"/>
                    </w:rPr>
                  </w:pPr>
                  <w:r>
                    <w:rPr>
                      <w:kern w:val="0"/>
                      <w:sz w:val="20"/>
                      <w:szCs w:val="20"/>
                    </w:rPr>
                    <w:t>20</w:t>
                  </w:r>
                </w:p>
              </w:tc>
              <w:tc>
                <w:tcPr>
                  <w:tcW w:w="429" w:type="pct"/>
                  <w:vMerge w:val="continue"/>
                  <w:vAlign w:val="center"/>
                </w:tcPr>
                <w:p w14:paraId="5DE07D83">
                  <w:pPr>
                    <w:widowControl/>
                    <w:jc w:val="left"/>
                    <w:rPr>
                      <w:kern w:val="0"/>
                      <w:sz w:val="20"/>
                      <w:szCs w:val="20"/>
                    </w:rPr>
                  </w:pPr>
                </w:p>
              </w:tc>
            </w:tr>
            <w:tr w14:paraId="5BB6BF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3" w:type="pct"/>
                  <w:vMerge w:val="continue"/>
                  <w:vAlign w:val="center"/>
                </w:tcPr>
                <w:p w14:paraId="01406D64">
                  <w:pPr>
                    <w:widowControl/>
                    <w:jc w:val="left"/>
                    <w:rPr>
                      <w:kern w:val="0"/>
                      <w:sz w:val="20"/>
                      <w:szCs w:val="20"/>
                    </w:rPr>
                  </w:pPr>
                </w:p>
              </w:tc>
              <w:tc>
                <w:tcPr>
                  <w:tcW w:w="366" w:type="pct"/>
                  <w:vMerge w:val="continue"/>
                  <w:vAlign w:val="center"/>
                </w:tcPr>
                <w:p w14:paraId="1FB13912">
                  <w:pPr>
                    <w:widowControl/>
                    <w:jc w:val="left"/>
                    <w:rPr>
                      <w:kern w:val="0"/>
                      <w:sz w:val="20"/>
                      <w:szCs w:val="20"/>
                    </w:rPr>
                  </w:pPr>
                </w:p>
              </w:tc>
              <w:tc>
                <w:tcPr>
                  <w:tcW w:w="473" w:type="pct"/>
                  <w:vMerge w:val="continue"/>
                  <w:vAlign w:val="center"/>
                </w:tcPr>
                <w:p w14:paraId="6CE733AA">
                  <w:pPr>
                    <w:widowControl/>
                    <w:jc w:val="left"/>
                    <w:rPr>
                      <w:kern w:val="0"/>
                      <w:sz w:val="20"/>
                      <w:szCs w:val="20"/>
                    </w:rPr>
                  </w:pPr>
                </w:p>
              </w:tc>
              <w:tc>
                <w:tcPr>
                  <w:tcW w:w="364" w:type="pct"/>
                  <w:shd w:val="clear" w:color="auto" w:fill="auto"/>
                  <w:vAlign w:val="center"/>
                </w:tcPr>
                <w:p w14:paraId="7CB5FB13">
                  <w:pPr>
                    <w:widowControl/>
                    <w:jc w:val="center"/>
                    <w:rPr>
                      <w:kern w:val="0"/>
                      <w:sz w:val="20"/>
                      <w:szCs w:val="20"/>
                    </w:rPr>
                  </w:pPr>
                  <w:r>
                    <w:rPr>
                      <w:kern w:val="0"/>
                      <w:sz w:val="20"/>
                      <w:szCs w:val="20"/>
                    </w:rPr>
                    <w:t>SS</w:t>
                  </w:r>
                </w:p>
              </w:tc>
              <w:tc>
                <w:tcPr>
                  <w:tcW w:w="438" w:type="pct"/>
                  <w:shd w:val="clear" w:color="auto" w:fill="auto"/>
                  <w:vAlign w:val="center"/>
                </w:tcPr>
                <w:p w14:paraId="6C6E094D">
                  <w:pPr>
                    <w:widowControl/>
                    <w:jc w:val="center"/>
                    <w:rPr>
                      <w:kern w:val="0"/>
                      <w:sz w:val="20"/>
                      <w:szCs w:val="20"/>
                    </w:rPr>
                  </w:pPr>
                  <w:r>
                    <w:rPr>
                      <w:kern w:val="0"/>
                      <w:sz w:val="20"/>
                      <w:szCs w:val="20"/>
                    </w:rPr>
                    <w:t>140</w:t>
                  </w:r>
                </w:p>
              </w:tc>
              <w:tc>
                <w:tcPr>
                  <w:tcW w:w="402" w:type="pct"/>
                  <w:shd w:val="clear" w:color="auto" w:fill="auto"/>
                  <w:vAlign w:val="center"/>
                </w:tcPr>
                <w:p w14:paraId="5467C37C">
                  <w:pPr>
                    <w:widowControl/>
                    <w:jc w:val="center"/>
                    <w:rPr>
                      <w:kern w:val="0"/>
                      <w:sz w:val="20"/>
                      <w:szCs w:val="20"/>
                    </w:rPr>
                  </w:pPr>
                  <w:r>
                    <w:rPr>
                      <w:kern w:val="0"/>
                      <w:sz w:val="20"/>
                      <w:szCs w:val="20"/>
                    </w:rPr>
                    <w:t>0.03</w:t>
                  </w:r>
                </w:p>
              </w:tc>
              <w:tc>
                <w:tcPr>
                  <w:tcW w:w="570" w:type="pct"/>
                  <w:vMerge w:val="continue"/>
                  <w:vAlign w:val="center"/>
                </w:tcPr>
                <w:p w14:paraId="2BC35745">
                  <w:pPr>
                    <w:widowControl/>
                    <w:jc w:val="left"/>
                    <w:rPr>
                      <w:kern w:val="0"/>
                      <w:sz w:val="20"/>
                      <w:szCs w:val="20"/>
                    </w:rPr>
                  </w:pPr>
                </w:p>
              </w:tc>
              <w:tc>
                <w:tcPr>
                  <w:tcW w:w="368" w:type="pct"/>
                  <w:shd w:val="clear" w:color="auto" w:fill="auto"/>
                  <w:noWrap/>
                  <w:vAlign w:val="center"/>
                </w:tcPr>
                <w:p w14:paraId="7FF7C921">
                  <w:pPr>
                    <w:widowControl/>
                    <w:jc w:val="center"/>
                    <w:rPr>
                      <w:kern w:val="0"/>
                      <w:sz w:val="20"/>
                      <w:szCs w:val="20"/>
                    </w:rPr>
                  </w:pPr>
                  <w:r>
                    <w:rPr>
                      <w:kern w:val="0"/>
                      <w:sz w:val="20"/>
                      <w:szCs w:val="20"/>
                    </w:rPr>
                    <w:t>动植物油</w:t>
                  </w:r>
                </w:p>
              </w:tc>
              <w:tc>
                <w:tcPr>
                  <w:tcW w:w="490" w:type="pct"/>
                  <w:shd w:val="clear" w:color="auto" w:fill="auto"/>
                  <w:noWrap/>
                  <w:vAlign w:val="center"/>
                </w:tcPr>
                <w:p w14:paraId="5FEBF9BD">
                  <w:pPr>
                    <w:widowControl/>
                    <w:jc w:val="center"/>
                    <w:rPr>
                      <w:kern w:val="0"/>
                      <w:sz w:val="20"/>
                      <w:szCs w:val="20"/>
                    </w:rPr>
                  </w:pPr>
                  <w:r>
                    <w:rPr>
                      <w:kern w:val="0"/>
                      <w:sz w:val="20"/>
                      <w:szCs w:val="20"/>
                    </w:rPr>
                    <w:t>5</w:t>
                  </w:r>
                </w:p>
              </w:tc>
              <w:tc>
                <w:tcPr>
                  <w:tcW w:w="368" w:type="pct"/>
                  <w:shd w:val="clear" w:color="auto" w:fill="auto"/>
                  <w:vAlign w:val="center"/>
                </w:tcPr>
                <w:p w14:paraId="7AD8A026">
                  <w:pPr>
                    <w:widowControl/>
                    <w:jc w:val="center"/>
                    <w:rPr>
                      <w:kern w:val="0"/>
                      <w:sz w:val="20"/>
                      <w:szCs w:val="20"/>
                    </w:rPr>
                  </w:pPr>
                  <w:r>
                    <w:rPr>
                      <w:kern w:val="0"/>
                      <w:sz w:val="20"/>
                      <w:szCs w:val="20"/>
                    </w:rPr>
                    <w:t>0.02</w:t>
                  </w:r>
                </w:p>
              </w:tc>
              <w:tc>
                <w:tcPr>
                  <w:tcW w:w="368" w:type="pct"/>
                  <w:shd w:val="clear" w:color="auto" w:fill="auto"/>
                  <w:noWrap/>
                  <w:vAlign w:val="center"/>
                </w:tcPr>
                <w:p w14:paraId="6384BF7F">
                  <w:pPr>
                    <w:widowControl/>
                    <w:jc w:val="center"/>
                    <w:rPr>
                      <w:kern w:val="0"/>
                      <w:sz w:val="20"/>
                      <w:szCs w:val="20"/>
                    </w:rPr>
                  </w:pPr>
                  <w:r>
                    <w:rPr>
                      <w:kern w:val="0"/>
                      <w:sz w:val="20"/>
                      <w:szCs w:val="20"/>
                    </w:rPr>
                    <w:t>100</w:t>
                  </w:r>
                </w:p>
              </w:tc>
              <w:tc>
                <w:tcPr>
                  <w:tcW w:w="429" w:type="pct"/>
                  <w:vMerge w:val="continue"/>
                  <w:vAlign w:val="center"/>
                </w:tcPr>
                <w:p w14:paraId="76B36857">
                  <w:pPr>
                    <w:widowControl/>
                    <w:jc w:val="left"/>
                    <w:rPr>
                      <w:kern w:val="0"/>
                      <w:sz w:val="20"/>
                      <w:szCs w:val="20"/>
                    </w:rPr>
                  </w:pPr>
                </w:p>
              </w:tc>
            </w:tr>
            <w:tr w14:paraId="30CFC1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3" w:type="pct"/>
                  <w:vMerge w:val="continue"/>
                  <w:vAlign w:val="center"/>
                </w:tcPr>
                <w:p w14:paraId="0CDB83B6">
                  <w:pPr>
                    <w:widowControl/>
                    <w:jc w:val="left"/>
                    <w:rPr>
                      <w:kern w:val="0"/>
                      <w:sz w:val="20"/>
                      <w:szCs w:val="20"/>
                    </w:rPr>
                  </w:pPr>
                </w:p>
              </w:tc>
              <w:tc>
                <w:tcPr>
                  <w:tcW w:w="366" w:type="pct"/>
                  <w:vMerge w:val="continue"/>
                  <w:vAlign w:val="center"/>
                </w:tcPr>
                <w:p w14:paraId="5C5883EE">
                  <w:pPr>
                    <w:widowControl/>
                    <w:jc w:val="left"/>
                    <w:rPr>
                      <w:kern w:val="0"/>
                      <w:sz w:val="20"/>
                      <w:szCs w:val="20"/>
                    </w:rPr>
                  </w:pPr>
                </w:p>
              </w:tc>
              <w:tc>
                <w:tcPr>
                  <w:tcW w:w="473" w:type="pct"/>
                  <w:vMerge w:val="continue"/>
                  <w:vAlign w:val="center"/>
                </w:tcPr>
                <w:p w14:paraId="4ACA1EBF">
                  <w:pPr>
                    <w:widowControl/>
                    <w:jc w:val="left"/>
                    <w:rPr>
                      <w:kern w:val="0"/>
                      <w:sz w:val="20"/>
                      <w:szCs w:val="20"/>
                    </w:rPr>
                  </w:pPr>
                </w:p>
              </w:tc>
              <w:tc>
                <w:tcPr>
                  <w:tcW w:w="364" w:type="pct"/>
                  <w:shd w:val="clear" w:color="auto" w:fill="auto"/>
                  <w:vAlign w:val="center"/>
                </w:tcPr>
                <w:p w14:paraId="470A64B2">
                  <w:pPr>
                    <w:widowControl/>
                    <w:jc w:val="center"/>
                    <w:rPr>
                      <w:kern w:val="0"/>
                      <w:sz w:val="20"/>
                      <w:szCs w:val="20"/>
                    </w:rPr>
                  </w:pPr>
                  <w:r>
                    <w:rPr>
                      <w:kern w:val="0"/>
                      <w:sz w:val="20"/>
                      <w:szCs w:val="20"/>
                    </w:rPr>
                    <w:t>石油类</w:t>
                  </w:r>
                </w:p>
              </w:tc>
              <w:tc>
                <w:tcPr>
                  <w:tcW w:w="438" w:type="pct"/>
                  <w:shd w:val="clear" w:color="auto" w:fill="auto"/>
                  <w:vAlign w:val="center"/>
                </w:tcPr>
                <w:p w14:paraId="74C5DC4C">
                  <w:pPr>
                    <w:widowControl/>
                    <w:jc w:val="center"/>
                    <w:rPr>
                      <w:kern w:val="0"/>
                      <w:sz w:val="20"/>
                      <w:szCs w:val="20"/>
                    </w:rPr>
                  </w:pPr>
                  <w:r>
                    <w:rPr>
                      <w:kern w:val="0"/>
                      <w:sz w:val="20"/>
                      <w:szCs w:val="20"/>
                    </w:rPr>
                    <w:t>100</w:t>
                  </w:r>
                </w:p>
              </w:tc>
              <w:tc>
                <w:tcPr>
                  <w:tcW w:w="402" w:type="pct"/>
                  <w:shd w:val="clear" w:color="auto" w:fill="auto"/>
                  <w:vAlign w:val="center"/>
                </w:tcPr>
                <w:p w14:paraId="65A1556E">
                  <w:pPr>
                    <w:widowControl/>
                    <w:jc w:val="center"/>
                    <w:rPr>
                      <w:kern w:val="0"/>
                      <w:sz w:val="20"/>
                      <w:szCs w:val="20"/>
                    </w:rPr>
                  </w:pPr>
                  <w:r>
                    <w:rPr>
                      <w:kern w:val="0"/>
                      <w:sz w:val="20"/>
                      <w:szCs w:val="20"/>
                    </w:rPr>
                    <w:t>0.02</w:t>
                  </w:r>
                </w:p>
              </w:tc>
              <w:tc>
                <w:tcPr>
                  <w:tcW w:w="570" w:type="pct"/>
                  <w:vMerge w:val="continue"/>
                  <w:vAlign w:val="center"/>
                </w:tcPr>
                <w:p w14:paraId="795746AE">
                  <w:pPr>
                    <w:widowControl/>
                    <w:jc w:val="left"/>
                    <w:rPr>
                      <w:kern w:val="0"/>
                      <w:sz w:val="20"/>
                      <w:szCs w:val="20"/>
                    </w:rPr>
                  </w:pPr>
                </w:p>
              </w:tc>
              <w:tc>
                <w:tcPr>
                  <w:tcW w:w="368" w:type="pct"/>
                  <w:shd w:val="clear" w:color="auto" w:fill="auto"/>
                  <w:noWrap/>
                  <w:vAlign w:val="center"/>
                </w:tcPr>
                <w:p w14:paraId="243F8CBB">
                  <w:pPr>
                    <w:widowControl/>
                    <w:jc w:val="center"/>
                    <w:rPr>
                      <w:kern w:val="0"/>
                      <w:sz w:val="20"/>
                      <w:szCs w:val="20"/>
                    </w:rPr>
                  </w:pPr>
                  <w:r>
                    <w:rPr>
                      <w:kern w:val="0"/>
                      <w:sz w:val="20"/>
                      <w:szCs w:val="20"/>
                    </w:rPr>
                    <w:t>总锑</w:t>
                  </w:r>
                </w:p>
              </w:tc>
              <w:tc>
                <w:tcPr>
                  <w:tcW w:w="490" w:type="pct"/>
                  <w:shd w:val="clear" w:color="auto" w:fill="auto"/>
                  <w:noWrap/>
                  <w:vAlign w:val="center"/>
                </w:tcPr>
                <w:p w14:paraId="35069DCD">
                  <w:pPr>
                    <w:widowControl/>
                    <w:jc w:val="center"/>
                    <w:rPr>
                      <w:kern w:val="0"/>
                      <w:sz w:val="20"/>
                      <w:szCs w:val="20"/>
                    </w:rPr>
                  </w:pPr>
                  <w:r>
                    <w:rPr>
                      <w:kern w:val="0"/>
                      <w:sz w:val="20"/>
                      <w:szCs w:val="20"/>
                    </w:rPr>
                    <w:t>0.1</w:t>
                  </w:r>
                </w:p>
              </w:tc>
              <w:tc>
                <w:tcPr>
                  <w:tcW w:w="368" w:type="pct"/>
                  <w:shd w:val="clear" w:color="auto" w:fill="auto"/>
                  <w:vAlign w:val="center"/>
                </w:tcPr>
                <w:p w14:paraId="59E0A055">
                  <w:pPr>
                    <w:widowControl/>
                    <w:jc w:val="center"/>
                    <w:rPr>
                      <w:kern w:val="0"/>
                      <w:sz w:val="20"/>
                      <w:szCs w:val="20"/>
                    </w:rPr>
                  </w:pPr>
                  <w:r>
                    <w:rPr>
                      <w:kern w:val="0"/>
                      <w:sz w:val="20"/>
                      <w:szCs w:val="20"/>
                    </w:rPr>
                    <w:t>0.001</w:t>
                  </w:r>
                </w:p>
              </w:tc>
              <w:tc>
                <w:tcPr>
                  <w:tcW w:w="368" w:type="pct"/>
                  <w:shd w:val="clear" w:color="auto" w:fill="auto"/>
                  <w:noWrap/>
                  <w:vAlign w:val="center"/>
                </w:tcPr>
                <w:p w14:paraId="1973B512">
                  <w:pPr>
                    <w:widowControl/>
                    <w:jc w:val="center"/>
                    <w:rPr>
                      <w:kern w:val="0"/>
                      <w:sz w:val="20"/>
                      <w:szCs w:val="20"/>
                    </w:rPr>
                  </w:pPr>
                  <w:r>
                    <w:rPr>
                      <w:kern w:val="0"/>
                      <w:sz w:val="20"/>
                      <w:szCs w:val="20"/>
                    </w:rPr>
                    <w:t>0.1</w:t>
                  </w:r>
                </w:p>
              </w:tc>
              <w:tc>
                <w:tcPr>
                  <w:tcW w:w="429" w:type="pct"/>
                  <w:vMerge w:val="continue"/>
                  <w:vAlign w:val="center"/>
                </w:tcPr>
                <w:p w14:paraId="06F6455D">
                  <w:pPr>
                    <w:widowControl/>
                    <w:jc w:val="left"/>
                    <w:rPr>
                      <w:kern w:val="0"/>
                      <w:sz w:val="20"/>
                      <w:szCs w:val="20"/>
                    </w:rPr>
                  </w:pPr>
                </w:p>
              </w:tc>
            </w:tr>
            <w:tr w14:paraId="53243C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3" w:type="pct"/>
                  <w:vMerge w:val="restart"/>
                  <w:shd w:val="clear" w:color="auto" w:fill="auto"/>
                  <w:vAlign w:val="center"/>
                </w:tcPr>
                <w:p w14:paraId="2D48A8BC">
                  <w:pPr>
                    <w:widowControl/>
                    <w:jc w:val="center"/>
                    <w:rPr>
                      <w:kern w:val="0"/>
                      <w:sz w:val="20"/>
                      <w:szCs w:val="20"/>
                    </w:rPr>
                  </w:pPr>
                  <w:r>
                    <w:rPr>
                      <w:kern w:val="0"/>
                      <w:sz w:val="20"/>
                      <w:szCs w:val="20"/>
                    </w:rPr>
                    <w:t>生产废水合计</w:t>
                  </w:r>
                </w:p>
              </w:tc>
              <w:tc>
                <w:tcPr>
                  <w:tcW w:w="366" w:type="pct"/>
                  <w:vMerge w:val="restart"/>
                  <w:shd w:val="clear" w:color="auto" w:fill="auto"/>
                  <w:vAlign w:val="center"/>
                </w:tcPr>
                <w:p w14:paraId="577E00CC">
                  <w:pPr>
                    <w:widowControl/>
                    <w:jc w:val="center"/>
                    <w:rPr>
                      <w:kern w:val="0"/>
                      <w:sz w:val="20"/>
                      <w:szCs w:val="20"/>
                    </w:rPr>
                  </w:pPr>
                  <w:r>
                    <w:rPr>
                      <w:kern w:val="0"/>
                      <w:sz w:val="20"/>
                      <w:szCs w:val="20"/>
                    </w:rPr>
                    <w:t>W1~W3</w:t>
                  </w:r>
                </w:p>
              </w:tc>
              <w:tc>
                <w:tcPr>
                  <w:tcW w:w="473" w:type="pct"/>
                  <w:vMerge w:val="restart"/>
                  <w:shd w:val="clear" w:color="auto" w:fill="auto"/>
                  <w:vAlign w:val="center"/>
                </w:tcPr>
                <w:p w14:paraId="17F17D69">
                  <w:pPr>
                    <w:widowControl/>
                    <w:jc w:val="center"/>
                    <w:rPr>
                      <w:kern w:val="0"/>
                      <w:sz w:val="20"/>
                      <w:szCs w:val="20"/>
                    </w:rPr>
                  </w:pPr>
                  <w:r>
                    <w:rPr>
                      <w:kern w:val="0"/>
                      <w:sz w:val="20"/>
                      <w:szCs w:val="20"/>
                    </w:rPr>
                    <w:t>18315</w:t>
                  </w:r>
                </w:p>
              </w:tc>
              <w:tc>
                <w:tcPr>
                  <w:tcW w:w="364" w:type="pct"/>
                  <w:shd w:val="clear" w:color="auto" w:fill="auto"/>
                  <w:vAlign w:val="center"/>
                </w:tcPr>
                <w:p w14:paraId="2664DCD1">
                  <w:pPr>
                    <w:widowControl/>
                    <w:jc w:val="center"/>
                    <w:rPr>
                      <w:kern w:val="0"/>
                      <w:sz w:val="20"/>
                      <w:szCs w:val="20"/>
                    </w:rPr>
                  </w:pPr>
                  <w:r>
                    <w:rPr>
                      <w:kern w:val="0"/>
                      <w:sz w:val="20"/>
                      <w:szCs w:val="20"/>
                    </w:rPr>
                    <w:t>COD</w:t>
                  </w:r>
                </w:p>
              </w:tc>
              <w:tc>
                <w:tcPr>
                  <w:tcW w:w="438" w:type="pct"/>
                  <w:shd w:val="clear" w:color="auto" w:fill="auto"/>
                  <w:vAlign w:val="center"/>
                </w:tcPr>
                <w:p w14:paraId="06781632">
                  <w:pPr>
                    <w:widowControl/>
                    <w:jc w:val="center"/>
                    <w:rPr>
                      <w:kern w:val="0"/>
                      <w:sz w:val="20"/>
                      <w:szCs w:val="20"/>
                    </w:rPr>
                  </w:pPr>
                  <w:r>
                    <w:rPr>
                      <w:kern w:val="0"/>
                      <w:sz w:val="20"/>
                      <w:szCs w:val="20"/>
                    </w:rPr>
                    <w:t>/</w:t>
                  </w:r>
                </w:p>
              </w:tc>
              <w:tc>
                <w:tcPr>
                  <w:tcW w:w="402" w:type="pct"/>
                  <w:shd w:val="clear" w:color="auto" w:fill="auto"/>
                  <w:noWrap/>
                  <w:vAlign w:val="center"/>
                </w:tcPr>
                <w:p w14:paraId="47F82E97">
                  <w:pPr>
                    <w:widowControl/>
                    <w:jc w:val="center"/>
                    <w:rPr>
                      <w:kern w:val="0"/>
                      <w:sz w:val="20"/>
                      <w:szCs w:val="20"/>
                    </w:rPr>
                  </w:pPr>
                  <w:r>
                    <w:rPr>
                      <w:kern w:val="0"/>
                      <w:sz w:val="20"/>
                      <w:szCs w:val="20"/>
                    </w:rPr>
                    <w:t>25.83</w:t>
                  </w:r>
                </w:p>
              </w:tc>
              <w:tc>
                <w:tcPr>
                  <w:tcW w:w="570" w:type="pct"/>
                  <w:vMerge w:val="continue"/>
                  <w:vAlign w:val="center"/>
                </w:tcPr>
                <w:p w14:paraId="17203A10">
                  <w:pPr>
                    <w:widowControl/>
                    <w:jc w:val="left"/>
                    <w:rPr>
                      <w:kern w:val="0"/>
                      <w:sz w:val="20"/>
                      <w:szCs w:val="20"/>
                    </w:rPr>
                  </w:pPr>
                </w:p>
              </w:tc>
              <w:tc>
                <w:tcPr>
                  <w:tcW w:w="368" w:type="pct"/>
                  <w:shd w:val="clear" w:color="auto" w:fill="auto"/>
                  <w:noWrap/>
                  <w:vAlign w:val="center"/>
                </w:tcPr>
                <w:p w14:paraId="4A603E2B">
                  <w:pPr>
                    <w:widowControl/>
                    <w:jc w:val="center"/>
                    <w:rPr>
                      <w:kern w:val="0"/>
                      <w:sz w:val="20"/>
                      <w:szCs w:val="20"/>
                    </w:rPr>
                  </w:pPr>
                  <w:r>
                    <w:rPr>
                      <w:kern w:val="0"/>
                      <w:sz w:val="20"/>
                      <w:szCs w:val="20"/>
                    </w:rPr>
                    <w:t>　</w:t>
                  </w:r>
                </w:p>
              </w:tc>
              <w:tc>
                <w:tcPr>
                  <w:tcW w:w="490" w:type="pct"/>
                  <w:shd w:val="clear" w:color="auto" w:fill="auto"/>
                  <w:noWrap/>
                  <w:vAlign w:val="center"/>
                </w:tcPr>
                <w:p w14:paraId="693DE6F6">
                  <w:pPr>
                    <w:widowControl/>
                    <w:jc w:val="center"/>
                    <w:rPr>
                      <w:kern w:val="0"/>
                      <w:sz w:val="20"/>
                      <w:szCs w:val="20"/>
                    </w:rPr>
                  </w:pPr>
                  <w:r>
                    <w:rPr>
                      <w:kern w:val="0"/>
                      <w:sz w:val="20"/>
                      <w:szCs w:val="20"/>
                    </w:rPr>
                    <w:t>　</w:t>
                  </w:r>
                </w:p>
              </w:tc>
              <w:tc>
                <w:tcPr>
                  <w:tcW w:w="368" w:type="pct"/>
                  <w:shd w:val="clear" w:color="auto" w:fill="auto"/>
                  <w:noWrap/>
                  <w:vAlign w:val="center"/>
                </w:tcPr>
                <w:p w14:paraId="06D2686D">
                  <w:pPr>
                    <w:widowControl/>
                    <w:jc w:val="center"/>
                    <w:rPr>
                      <w:kern w:val="0"/>
                      <w:sz w:val="20"/>
                      <w:szCs w:val="20"/>
                    </w:rPr>
                  </w:pPr>
                  <w:r>
                    <w:rPr>
                      <w:kern w:val="0"/>
                      <w:sz w:val="20"/>
                      <w:szCs w:val="20"/>
                    </w:rPr>
                    <w:t>　</w:t>
                  </w:r>
                </w:p>
              </w:tc>
              <w:tc>
                <w:tcPr>
                  <w:tcW w:w="368" w:type="pct"/>
                  <w:shd w:val="clear" w:color="auto" w:fill="auto"/>
                  <w:noWrap/>
                  <w:vAlign w:val="center"/>
                </w:tcPr>
                <w:p w14:paraId="50FCD724">
                  <w:pPr>
                    <w:widowControl/>
                    <w:jc w:val="center"/>
                    <w:rPr>
                      <w:kern w:val="0"/>
                      <w:sz w:val="20"/>
                      <w:szCs w:val="20"/>
                    </w:rPr>
                  </w:pPr>
                  <w:r>
                    <w:rPr>
                      <w:kern w:val="0"/>
                      <w:sz w:val="20"/>
                      <w:szCs w:val="20"/>
                    </w:rPr>
                    <w:t>　</w:t>
                  </w:r>
                </w:p>
              </w:tc>
              <w:tc>
                <w:tcPr>
                  <w:tcW w:w="429" w:type="pct"/>
                  <w:vMerge w:val="continue"/>
                  <w:vAlign w:val="center"/>
                </w:tcPr>
                <w:p w14:paraId="0ED66D1A">
                  <w:pPr>
                    <w:widowControl/>
                    <w:jc w:val="left"/>
                    <w:rPr>
                      <w:kern w:val="0"/>
                      <w:sz w:val="20"/>
                      <w:szCs w:val="20"/>
                    </w:rPr>
                  </w:pPr>
                </w:p>
              </w:tc>
            </w:tr>
            <w:tr w14:paraId="4286B9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3" w:type="pct"/>
                  <w:vMerge w:val="continue"/>
                  <w:vAlign w:val="center"/>
                </w:tcPr>
                <w:p w14:paraId="30428966">
                  <w:pPr>
                    <w:widowControl/>
                    <w:jc w:val="left"/>
                    <w:rPr>
                      <w:kern w:val="0"/>
                      <w:sz w:val="20"/>
                      <w:szCs w:val="20"/>
                    </w:rPr>
                  </w:pPr>
                </w:p>
              </w:tc>
              <w:tc>
                <w:tcPr>
                  <w:tcW w:w="366" w:type="pct"/>
                  <w:vMerge w:val="continue"/>
                  <w:vAlign w:val="center"/>
                </w:tcPr>
                <w:p w14:paraId="039DC91A">
                  <w:pPr>
                    <w:widowControl/>
                    <w:jc w:val="left"/>
                    <w:rPr>
                      <w:kern w:val="0"/>
                      <w:sz w:val="20"/>
                      <w:szCs w:val="20"/>
                    </w:rPr>
                  </w:pPr>
                </w:p>
              </w:tc>
              <w:tc>
                <w:tcPr>
                  <w:tcW w:w="473" w:type="pct"/>
                  <w:vMerge w:val="continue"/>
                  <w:vAlign w:val="center"/>
                </w:tcPr>
                <w:p w14:paraId="5738A304">
                  <w:pPr>
                    <w:widowControl/>
                    <w:jc w:val="left"/>
                    <w:rPr>
                      <w:kern w:val="0"/>
                      <w:sz w:val="20"/>
                      <w:szCs w:val="20"/>
                    </w:rPr>
                  </w:pPr>
                </w:p>
              </w:tc>
              <w:tc>
                <w:tcPr>
                  <w:tcW w:w="364" w:type="pct"/>
                  <w:shd w:val="clear" w:color="auto" w:fill="auto"/>
                  <w:vAlign w:val="center"/>
                </w:tcPr>
                <w:p w14:paraId="32D2AF9D">
                  <w:pPr>
                    <w:widowControl/>
                    <w:jc w:val="center"/>
                    <w:rPr>
                      <w:kern w:val="0"/>
                      <w:sz w:val="20"/>
                      <w:szCs w:val="20"/>
                    </w:rPr>
                  </w:pPr>
                  <w:r>
                    <w:rPr>
                      <w:kern w:val="0"/>
                      <w:sz w:val="20"/>
                      <w:szCs w:val="20"/>
                    </w:rPr>
                    <w:t>SS</w:t>
                  </w:r>
                </w:p>
              </w:tc>
              <w:tc>
                <w:tcPr>
                  <w:tcW w:w="438" w:type="pct"/>
                  <w:shd w:val="clear" w:color="auto" w:fill="auto"/>
                  <w:vAlign w:val="center"/>
                </w:tcPr>
                <w:p w14:paraId="57A7E7BC">
                  <w:pPr>
                    <w:widowControl/>
                    <w:jc w:val="center"/>
                    <w:rPr>
                      <w:kern w:val="0"/>
                      <w:sz w:val="20"/>
                      <w:szCs w:val="20"/>
                    </w:rPr>
                  </w:pPr>
                  <w:r>
                    <w:rPr>
                      <w:kern w:val="0"/>
                      <w:sz w:val="20"/>
                      <w:szCs w:val="20"/>
                    </w:rPr>
                    <w:t>/</w:t>
                  </w:r>
                </w:p>
              </w:tc>
              <w:tc>
                <w:tcPr>
                  <w:tcW w:w="402" w:type="pct"/>
                  <w:shd w:val="clear" w:color="auto" w:fill="auto"/>
                  <w:vAlign w:val="center"/>
                </w:tcPr>
                <w:p w14:paraId="5F71FEFF">
                  <w:pPr>
                    <w:widowControl/>
                    <w:jc w:val="center"/>
                    <w:rPr>
                      <w:kern w:val="0"/>
                      <w:sz w:val="20"/>
                      <w:szCs w:val="20"/>
                    </w:rPr>
                  </w:pPr>
                  <w:r>
                    <w:rPr>
                      <w:kern w:val="0"/>
                      <w:sz w:val="20"/>
                      <w:szCs w:val="20"/>
                    </w:rPr>
                    <w:t>6.38</w:t>
                  </w:r>
                </w:p>
              </w:tc>
              <w:tc>
                <w:tcPr>
                  <w:tcW w:w="570" w:type="pct"/>
                  <w:vMerge w:val="continue"/>
                  <w:vAlign w:val="center"/>
                </w:tcPr>
                <w:p w14:paraId="33506576">
                  <w:pPr>
                    <w:widowControl/>
                    <w:jc w:val="left"/>
                    <w:rPr>
                      <w:kern w:val="0"/>
                      <w:sz w:val="20"/>
                      <w:szCs w:val="20"/>
                    </w:rPr>
                  </w:pPr>
                </w:p>
              </w:tc>
              <w:tc>
                <w:tcPr>
                  <w:tcW w:w="368" w:type="pct"/>
                  <w:shd w:val="clear" w:color="auto" w:fill="auto"/>
                  <w:noWrap/>
                  <w:vAlign w:val="center"/>
                </w:tcPr>
                <w:p w14:paraId="2E513E21">
                  <w:pPr>
                    <w:widowControl/>
                    <w:jc w:val="center"/>
                    <w:rPr>
                      <w:kern w:val="0"/>
                      <w:sz w:val="20"/>
                      <w:szCs w:val="20"/>
                    </w:rPr>
                  </w:pPr>
                  <w:r>
                    <w:rPr>
                      <w:kern w:val="0"/>
                      <w:sz w:val="20"/>
                      <w:szCs w:val="20"/>
                    </w:rPr>
                    <w:t>　</w:t>
                  </w:r>
                </w:p>
              </w:tc>
              <w:tc>
                <w:tcPr>
                  <w:tcW w:w="490" w:type="pct"/>
                  <w:shd w:val="clear" w:color="auto" w:fill="auto"/>
                  <w:noWrap/>
                  <w:vAlign w:val="center"/>
                </w:tcPr>
                <w:p w14:paraId="7DC93ECB">
                  <w:pPr>
                    <w:widowControl/>
                    <w:jc w:val="center"/>
                    <w:rPr>
                      <w:kern w:val="0"/>
                      <w:sz w:val="20"/>
                      <w:szCs w:val="20"/>
                    </w:rPr>
                  </w:pPr>
                  <w:r>
                    <w:rPr>
                      <w:kern w:val="0"/>
                      <w:sz w:val="20"/>
                      <w:szCs w:val="20"/>
                    </w:rPr>
                    <w:t>　</w:t>
                  </w:r>
                </w:p>
              </w:tc>
              <w:tc>
                <w:tcPr>
                  <w:tcW w:w="368" w:type="pct"/>
                  <w:shd w:val="clear" w:color="auto" w:fill="auto"/>
                  <w:noWrap/>
                  <w:vAlign w:val="center"/>
                </w:tcPr>
                <w:p w14:paraId="2C7AE48A">
                  <w:pPr>
                    <w:widowControl/>
                    <w:jc w:val="center"/>
                    <w:rPr>
                      <w:kern w:val="0"/>
                      <w:sz w:val="20"/>
                      <w:szCs w:val="20"/>
                    </w:rPr>
                  </w:pPr>
                  <w:r>
                    <w:rPr>
                      <w:kern w:val="0"/>
                      <w:sz w:val="20"/>
                      <w:szCs w:val="20"/>
                    </w:rPr>
                    <w:t>　</w:t>
                  </w:r>
                </w:p>
              </w:tc>
              <w:tc>
                <w:tcPr>
                  <w:tcW w:w="368" w:type="pct"/>
                  <w:shd w:val="clear" w:color="auto" w:fill="auto"/>
                  <w:noWrap/>
                  <w:vAlign w:val="center"/>
                </w:tcPr>
                <w:p w14:paraId="019E401A">
                  <w:pPr>
                    <w:widowControl/>
                    <w:jc w:val="center"/>
                    <w:rPr>
                      <w:kern w:val="0"/>
                      <w:sz w:val="20"/>
                      <w:szCs w:val="20"/>
                    </w:rPr>
                  </w:pPr>
                  <w:r>
                    <w:rPr>
                      <w:kern w:val="0"/>
                      <w:sz w:val="20"/>
                      <w:szCs w:val="20"/>
                    </w:rPr>
                    <w:t>　</w:t>
                  </w:r>
                </w:p>
              </w:tc>
              <w:tc>
                <w:tcPr>
                  <w:tcW w:w="429" w:type="pct"/>
                  <w:vMerge w:val="continue"/>
                  <w:vAlign w:val="center"/>
                </w:tcPr>
                <w:p w14:paraId="2F0DE13D">
                  <w:pPr>
                    <w:widowControl/>
                    <w:jc w:val="left"/>
                    <w:rPr>
                      <w:kern w:val="0"/>
                      <w:sz w:val="20"/>
                      <w:szCs w:val="20"/>
                    </w:rPr>
                  </w:pPr>
                </w:p>
              </w:tc>
            </w:tr>
            <w:tr w14:paraId="66B07C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3" w:type="pct"/>
                  <w:vMerge w:val="continue"/>
                  <w:vAlign w:val="center"/>
                </w:tcPr>
                <w:p w14:paraId="45760F89">
                  <w:pPr>
                    <w:widowControl/>
                    <w:jc w:val="left"/>
                    <w:rPr>
                      <w:kern w:val="0"/>
                      <w:sz w:val="20"/>
                      <w:szCs w:val="20"/>
                    </w:rPr>
                  </w:pPr>
                </w:p>
              </w:tc>
              <w:tc>
                <w:tcPr>
                  <w:tcW w:w="366" w:type="pct"/>
                  <w:vMerge w:val="continue"/>
                  <w:vAlign w:val="center"/>
                </w:tcPr>
                <w:p w14:paraId="5D3EDAD3">
                  <w:pPr>
                    <w:widowControl/>
                    <w:jc w:val="left"/>
                    <w:rPr>
                      <w:kern w:val="0"/>
                      <w:sz w:val="20"/>
                      <w:szCs w:val="20"/>
                    </w:rPr>
                  </w:pPr>
                </w:p>
              </w:tc>
              <w:tc>
                <w:tcPr>
                  <w:tcW w:w="473" w:type="pct"/>
                  <w:vMerge w:val="continue"/>
                  <w:vAlign w:val="center"/>
                </w:tcPr>
                <w:p w14:paraId="4F5DCB9C">
                  <w:pPr>
                    <w:widowControl/>
                    <w:jc w:val="left"/>
                    <w:rPr>
                      <w:kern w:val="0"/>
                      <w:sz w:val="20"/>
                      <w:szCs w:val="20"/>
                    </w:rPr>
                  </w:pPr>
                </w:p>
              </w:tc>
              <w:tc>
                <w:tcPr>
                  <w:tcW w:w="364" w:type="pct"/>
                  <w:shd w:val="clear" w:color="auto" w:fill="auto"/>
                  <w:vAlign w:val="center"/>
                </w:tcPr>
                <w:p w14:paraId="5C58FC48">
                  <w:pPr>
                    <w:widowControl/>
                    <w:jc w:val="center"/>
                    <w:rPr>
                      <w:kern w:val="0"/>
                      <w:sz w:val="20"/>
                      <w:szCs w:val="20"/>
                    </w:rPr>
                  </w:pPr>
                  <w:r>
                    <w:rPr>
                      <w:kern w:val="0"/>
                      <w:sz w:val="20"/>
                      <w:szCs w:val="20"/>
                    </w:rPr>
                    <w:t>石油类</w:t>
                  </w:r>
                </w:p>
              </w:tc>
              <w:tc>
                <w:tcPr>
                  <w:tcW w:w="438" w:type="pct"/>
                  <w:shd w:val="clear" w:color="auto" w:fill="auto"/>
                  <w:vAlign w:val="center"/>
                </w:tcPr>
                <w:p w14:paraId="5CD3437A">
                  <w:pPr>
                    <w:widowControl/>
                    <w:jc w:val="center"/>
                    <w:rPr>
                      <w:kern w:val="0"/>
                      <w:sz w:val="20"/>
                      <w:szCs w:val="20"/>
                    </w:rPr>
                  </w:pPr>
                  <w:r>
                    <w:rPr>
                      <w:kern w:val="0"/>
                      <w:sz w:val="20"/>
                      <w:szCs w:val="20"/>
                    </w:rPr>
                    <w:t>/</w:t>
                  </w:r>
                </w:p>
              </w:tc>
              <w:tc>
                <w:tcPr>
                  <w:tcW w:w="402" w:type="pct"/>
                  <w:shd w:val="clear" w:color="auto" w:fill="auto"/>
                  <w:noWrap/>
                  <w:vAlign w:val="center"/>
                </w:tcPr>
                <w:p w14:paraId="2FD079AF">
                  <w:pPr>
                    <w:widowControl/>
                    <w:jc w:val="center"/>
                    <w:rPr>
                      <w:kern w:val="0"/>
                      <w:sz w:val="20"/>
                      <w:szCs w:val="20"/>
                    </w:rPr>
                  </w:pPr>
                  <w:r>
                    <w:rPr>
                      <w:kern w:val="0"/>
                      <w:sz w:val="20"/>
                      <w:szCs w:val="20"/>
                    </w:rPr>
                    <w:t>1.28</w:t>
                  </w:r>
                </w:p>
              </w:tc>
              <w:tc>
                <w:tcPr>
                  <w:tcW w:w="570" w:type="pct"/>
                  <w:vMerge w:val="continue"/>
                  <w:vAlign w:val="center"/>
                </w:tcPr>
                <w:p w14:paraId="6BD90AA9">
                  <w:pPr>
                    <w:widowControl/>
                    <w:jc w:val="left"/>
                    <w:rPr>
                      <w:kern w:val="0"/>
                      <w:sz w:val="20"/>
                      <w:szCs w:val="20"/>
                    </w:rPr>
                  </w:pPr>
                </w:p>
              </w:tc>
              <w:tc>
                <w:tcPr>
                  <w:tcW w:w="368" w:type="pct"/>
                  <w:shd w:val="clear" w:color="auto" w:fill="auto"/>
                  <w:noWrap/>
                  <w:vAlign w:val="center"/>
                </w:tcPr>
                <w:p w14:paraId="007AD84E">
                  <w:pPr>
                    <w:widowControl/>
                    <w:jc w:val="center"/>
                    <w:rPr>
                      <w:kern w:val="0"/>
                      <w:sz w:val="20"/>
                      <w:szCs w:val="20"/>
                    </w:rPr>
                  </w:pPr>
                  <w:r>
                    <w:rPr>
                      <w:kern w:val="0"/>
                      <w:sz w:val="20"/>
                      <w:szCs w:val="20"/>
                    </w:rPr>
                    <w:t>　</w:t>
                  </w:r>
                </w:p>
              </w:tc>
              <w:tc>
                <w:tcPr>
                  <w:tcW w:w="490" w:type="pct"/>
                  <w:shd w:val="clear" w:color="auto" w:fill="auto"/>
                  <w:noWrap/>
                  <w:vAlign w:val="center"/>
                </w:tcPr>
                <w:p w14:paraId="03C8D2D3">
                  <w:pPr>
                    <w:widowControl/>
                    <w:jc w:val="center"/>
                    <w:rPr>
                      <w:kern w:val="0"/>
                      <w:sz w:val="20"/>
                      <w:szCs w:val="20"/>
                    </w:rPr>
                  </w:pPr>
                  <w:r>
                    <w:rPr>
                      <w:kern w:val="0"/>
                      <w:sz w:val="20"/>
                      <w:szCs w:val="20"/>
                    </w:rPr>
                    <w:t>　</w:t>
                  </w:r>
                </w:p>
              </w:tc>
              <w:tc>
                <w:tcPr>
                  <w:tcW w:w="368" w:type="pct"/>
                  <w:shd w:val="clear" w:color="auto" w:fill="auto"/>
                  <w:noWrap/>
                  <w:vAlign w:val="center"/>
                </w:tcPr>
                <w:p w14:paraId="4A4C9BC1">
                  <w:pPr>
                    <w:widowControl/>
                    <w:jc w:val="center"/>
                    <w:rPr>
                      <w:kern w:val="0"/>
                      <w:sz w:val="20"/>
                      <w:szCs w:val="20"/>
                    </w:rPr>
                  </w:pPr>
                  <w:r>
                    <w:rPr>
                      <w:kern w:val="0"/>
                      <w:sz w:val="20"/>
                      <w:szCs w:val="20"/>
                    </w:rPr>
                    <w:t>　</w:t>
                  </w:r>
                </w:p>
              </w:tc>
              <w:tc>
                <w:tcPr>
                  <w:tcW w:w="368" w:type="pct"/>
                  <w:shd w:val="clear" w:color="auto" w:fill="auto"/>
                  <w:noWrap/>
                  <w:vAlign w:val="center"/>
                </w:tcPr>
                <w:p w14:paraId="78001BCD">
                  <w:pPr>
                    <w:widowControl/>
                    <w:jc w:val="center"/>
                    <w:rPr>
                      <w:kern w:val="0"/>
                      <w:sz w:val="20"/>
                      <w:szCs w:val="20"/>
                    </w:rPr>
                  </w:pPr>
                  <w:r>
                    <w:rPr>
                      <w:kern w:val="0"/>
                      <w:sz w:val="20"/>
                      <w:szCs w:val="20"/>
                    </w:rPr>
                    <w:t>　</w:t>
                  </w:r>
                </w:p>
              </w:tc>
              <w:tc>
                <w:tcPr>
                  <w:tcW w:w="429" w:type="pct"/>
                  <w:vMerge w:val="continue"/>
                  <w:vAlign w:val="center"/>
                </w:tcPr>
                <w:p w14:paraId="37377C83">
                  <w:pPr>
                    <w:widowControl/>
                    <w:jc w:val="left"/>
                    <w:rPr>
                      <w:kern w:val="0"/>
                      <w:sz w:val="20"/>
                      <w:szCs w:val="20"/>
                    </w:rPr>
                  </w:pPr>
                </w:p>
              </w:tc>
            </w:tr>
            <w:tr w14:paraId="5586BE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3" w:type="pct"/>
                  <w:vMerge w:val="continue"/>
                  <w:vAlign w:val="center"/>
                </w:tcPr>
                <w:p w14:paraId="1BB5EABE">
                  <w:pPr>
                    <w:widowControl/>
                    <w:jc w:val="left"/>
                    <w:rPr>
                      <w:kern w:val="0"/>
                      <w:sz w:val="20"/>
                      <w:szCs w:val="20"/>
                    </w:rPr>
                  </w:pPr>
                </w:p>
              </w:tc>
              <w:tc>
                <w:tcPr>
                  <w:tcW w:w="366" w:type="pct"/>
                  <w:vMerge w:val="continue"/>
                  <w:vAlign w:val="center"/>
                </w:tcPr>
                <w:p w14:paraId="2CFB2F8D">
                  <w:pPr>
                    <w:widowControl/>
                    <w:jc w:val="left"/>
                    <w:rPr>
                      <w:kern w:val="0"/>
                      <w:sz w:val="20"/>
                      <w:szCs w:val="20"/>
                    </w:rPr>
                  </w:pPr>
                </w:p>
              </w:tc>
              <w:tc>
                <w:tcPr>
                  <w:tcW w:w="473" w:type="pct"/>
                  <w:vMerge w:val="continue"/>
                  <w:vAlign w:val="center"/>
                </w:tcPr>
                <w:p w14:paraId="3B5BF45D">
                  <w:pPr>
                    <w:widowControl/>
                    <w:jc w:val="left"/>
                    <w:rPr>
                      <w:kern w:val="0"/>
                      <w:sz w:val="20"/>
                      <w:szCs w:val="20"/>
                    </w:rPr>
                  </w:pPr>
                </w:p>
              </w:tc>
              <w:tc>
                <w:tcPr>
                  <w:tcW w:w="364" w:type="pct"/>
                  <w:shd w:val="clear" w:color="auto" w:fill="auto"/>
                  <w:vAlign w:val="center"/>
                </w:tcPr>
                <w:p w14:paraId="51BA59D8">
                  <w:pPr>
                    <w:widowControl/>
                    <w:jc w:val="center"/>
                    <w:rPr>
                      <w:kern w:val="0"/>
                      <w:sz w:val="20"/>
                      <w:szCs w:val="20"/>
                    </w:rPr>
                  </w:pPr>
                  <w:r>
                    <w:rPr>
                      <w:kern w:val="0"/>
                      <w:sz w:val="20"/>
                      <w:szCs w:val="20"/>
                    </w:rPr>
                    <w:t>总锑</w:t>
                  </w:r>
                </w:p>
              </w:tc>
              <w:tc>
                <w:tcPr>
                  <w:tcW w:w="438" w:type="pct"/>
                  <w:shd w:val="clear" w:color="auto" w:fill="auto"/>
                  <w:vAlign w:val="center"/>
                </w:tcPr>
                <w:p w14:paraId="751586F0">
                  <w:pPr>
                    <w:widowControl/>
                    <w:jc w:val="center"/>
                    <w:rPr>
                      <w:kern w:val="0"/>
                      <w:sz w:val="20"/>
                      <w:szCs w:val="20"/>
                    </w:rPr>
                  </w:pPr>
                  <w:r>
                    <w:rPr>
                      <w:kern w:val="0"/>
                      <w:sz w:val="20"/>
                      <w:szCs w:val="20"/>
                    </w:rPr>
                    <w:t>/</w:t>
                  </w:r>
                </w:p>
              </w:tc>
              <w:tc>
                <w:tcPr>
                  <w:tcW w:w="402" w:type="pct"/>
                  <w:shd w:val="clear" w:color="auto" w:fill="auto"/>
                  <w:noWrap/>
                  <w:vAlign w:val="center"/>
                </w:tcPr>
                <w:p w14:paraId="55E68C5D">
                  <w:pPr>
                    <w:widowControl/>
                    <w:jc w:val="center"/>
                    <w:rPr>
                      <w:kern w:val="0"/>
                      <w:sz w:val="20"/>
                      <w:szCs w:val="20"/>
                    </w:rPr>
                  </w:pPr>
                  <w:r>
                    <w:rPr>
                      <w:kern w:val="0"/>
                      <w:sz w:val="20"/>
                      <w:szCs w:val="20"/>
                    </w:rPr>
                    <w:t>0.04</w:t>
                  </w:r>
                </w:p>
              </w:tc>
              <w:tc>
                <w:tcPr>
                  <w:tcW w:w="570" w:type="pct"/>
                  <w:vMerge w:val="continue"/>
                  <w:vAlign w:val="center"/>
                </w:tcPr>
                <w:p w14:paraId="08A3AA46">
                  <w:pPr>
                    <w:widowControl/>
                    <w:jc w:val="left"/>
                    <w:rPr>
                      <w:kern w:val="0"/>
                      <w:sz w:val="20"/>
                      <w:szCs w:val="20"/>
                    </w:rPr>
                  </w:pPr>
                </w:p>
              </w:tc>
              <w:tc>
                <w:tcPr>
                  <w:tcW w:w="368" w:type="pct"/>
                  <w:shd w:val="clear" w:color="auto" w:fill="auto"/>
                  <w:noWrap/>
                  <w:vAlign w:val="center"/>
                </w:tcPr>
                <w:p w14:paraId="09C7F4C8">
                  <w:pPr>
                    <w:widowControl/>
                    <w:jc w:val="left"/>
                    <w:rPr>
                      <w:kern w:val="0"/>
                      <w:sz w:val="20"/>
                      <w:szCs w:val="20"/>
                    </w:rPr>
                  </w:pPr>
                  <w:r>
                    <w:rPr>
                      <w:kern w:val="0"/>
                      <w:sz w:val="20"/>
                      <w:szCs w:val="20"/>
                    </w:rPr>
                    <w:t>　</w:t>
                  </w:r>
                </w:p>
              </w:tc>
              <w:tc>
                <w:tcPr>
                  <w:tcW w:w="490" w:type="pct"/>
                  <w:shd w:val="clear" w:color="auto" w:fill="auto"/>
                  <w:noWrap/>
                  <w:vAlign w:val="center"/>
                </w:tcPr>
                <w:p w14:paraId="57065CB8">
                  <w:pPr>
                    <w:widowControl/>
                    <w:jc w:val="left"/>
                    <w:rPr>
                      <w:kern w:val="0"/>
                      <w:sz w:val="20"/>
                      <w:szCs w:val="20"/>
                    </w:rPr>
                  </w:pPr>
                  <w:r>
                    <w:rPr>
                      <w:kern w:val="0"/>
                      <w:sz w:val="20"/>
                      <w:szCs w:val="20"/>
                    </w:rPr>
                    <w:t>　</w:t>
                  </w:r>
                </w:p>
              </w:tc>
              <w:tc>
                <w:tcPr>
                  <w:tcW w:w="368" w:type="pct"/>
                  <w:shd w:val="clear" w:color="auto" w:fill="auto"/>
                  <w:noWrap/>
                  <w:vAlign w:val="center"/>
                </w:tcPr>
                <w:p w14:paraId="2A1FE44C">
                  <w:pPr>
                    <w:widowControl/>
                    <w:jc w:val="left"/>
                    <w:rPr>
                      <w:kern w:val="0"/>
                      <w:sz w:val="20"/>
                      <w:szCs w:val="20"/>
                    </w:rPr>
                  </w:pPr>
                  <w:r>
                    <w:rPr>
                      <w:kern w:val="0"/>
                      <w:sz w:val="20"/>
                      <w:szCs w:val="20"/>
                    </w:rPr>
                    <w:t>　</w:t>
                  </w:r>
                </w:p>
              </w:tc>
              <w:tc>
                <w:tcPr>
                  <w:tcW w:w="368" w:type="pct"/>
                  <w:shd w:val="clear" w:color="auto" w:fill="auto"/>
                  <w:noWrap/>
                  <w:vAlign w:val="center"/>
                </w:tcPr>
                <w:p w14:paraId="24860F34">
                  <w:pPr>
                    <w:widowControl/>
                    <w:jc w:val="left"/>
                    <w:rPr>
                      <w:kern w:val="0"/>
                      <w:sz w:val="20"/>
                      <w:szCs w:val="20"/>
                    </w:rPr>
                  </w:pPr>
                  <w:r>
                    <w:rPr>
                      <w:kern w:val="0"/>
                      <w:sz w:val="20"/>
                      <w:szCs w:val="20"/>
                    </w:rPr>
                    <w:t>　</w:t>
                  </w:r>
                </w:p>
              </w:tc>
              <w:tc>
                <w:tcPr>
                  <w:tcW w:w="429" w:type="pct"/>
                  <w:vMerge w:val="continue"/>
                  <w:vAlign w:val="center"/>
                </w:tcPr>
                <w:p w14:paraId="4601FE54">
                  <w:pPr>
                    <w:widowControl/>
                    <w:jc w:val="left"/>
                    <w:rPr>
                      <w:kern w:val="0"/>
                      <w:sz w:val="20"/>
                      <w:szCs w:val="20"/>
                    </w:rPr>
                  </w:pPr>
                </w:p>
              </w:tc>
            </w:tr>
          </w:tbl>
          <w:p w14:paraId="20B42F40">
            <w:pPr>
              <w:ind w:firstLine="482" w:firstLineChars="200"/>
              <w:jc w:val="center"/>
              <w:rPr>
                <w:rFonts w:eastAsiaTheme="minorEastAsia"/>
                <w:b/>
                <w:sz w:val="24"/>
              </w:rPr>
            </w:pPr>
          </w:p>
          <w:p w14:paraId="3B857D1F">
            <w:pPr>
              <w:ind w:firstLine="482" w:firstLineChars="200"/>
              <w:jc w:val="center"/>
              <w:rPr>
                <w:rFonts w:eastAsiaTheme="minorEastAsia"/>
                <w:b/>
                <w:sz w:val="24"/>
              </w:rPr>
            </w:pPr>
          </w:p>
          <w:p w14:paraId="0B1DE40F">
            <w:pPr>
              <w:contextualSpacing/>
              <w:rPr>
                <w:sz w:val="24"/>
              </w:rPr>
            </w:pPr>
          </w:p>
        </w:tc>
      </w:tr>
    </w:tbl>
    <w:p w14:paraId="0F36A532">
      <w:pPr>
        <w:sectPr>
          <w:pgSz w:w="16840" w:h="11907" w:orient="landscape"/>
          <w:pgMar w:top="1531" w:right="1701" w:bottom="1531" w:left="2268" w:header="851" w:footer="851" w:gutter="0"/>
          <w:cols w:space="720" w:num="1"/>
          <w:docGrid w:linePitch="312" w:charSpace="0"/>
        </w:sectPr>
      </w:pPr>
    </w:p>
    <w:p w14:paraId="3E6C2929"/>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5"/>
      </w:tblGrid>
      <w:tr w14:paraId="16A55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9" w:hRule="atLeast"/>
        </w:trPr>
        <w:tc>
          <w:tcPr>
            <w:tcW w:w="8835" w:type="dxa"/>
          </w:tcPr>
          <w:p w14:paraId="5673D3FF">
            <w:pPr>
              <w:spacing w:line="500" w:lineRule="exact"/>
              <w:contextualSpacing/>
              <w:jc w:val="center"/>
              <w:rPr>
                <w:b/>
                <w:bCs/>
                <w:sz w:val="24"/>
              </w:rPr>
            </w:pPr>
            <w:r>
              <w:rPr>
                <w:b/>
                <w:bCs/>
                <w:sz w:val="24"/>
              </w:rPr>
              <w:t>表4-9 项目扩建后全厂废水类别、污染物及污染治理设施信息表</w:t>
            </w:r>
          </w:p>
          <w:tbl>
            <w:tblPr>
              <w:tblStyle w:val="4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939"/>
              <w:gridCol w:w="724"/>
              <w:gridCol w:w="576"/>
              <w:gridCol w:w="961"/>
              <w:gridCol w:w="906"/>
              <w:gridCol w:w="720"/>
              <w:gridCol w:w="931"/>
              <w:gridCol w:w="786"/>
              <w:gridCol w:w="1101"/>
              <w:gridCol w:w="397"/>
            </w:tblGrid>
            <w:tr w14:paraId="2364F7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vMerge w:val="restart"/>
                  <w:shd w:val="clear" w:color="auto" w:fill="auto"/>
                  <w:noWrap/>
                  <w:vAlign w:val="center"/>
                </w:tcPr>
                <w:p w14:paraId="3498D021">
                  <w:pPr>
                    <w:widowControl/>
                    <w:jc w:val="center"/>
                    <w:rPr>
                      <w:b/>
                      <w:bCs/>
                      <w:kern w:val="0"/>
                      <w:sz w:val="18"/>
                      <w:szCs w:val="18"/>
                    </w:rPr>
                  </w:pPr>
                  <w:r>
                    <w:rPr>
                      <w:b/>
                      <w:bCs/>
                      <w:kern w:val="0"/>
                      <w:sz w:val="18"/>
                      <w:szCs w:val="18"/>
                    </w:rPr>
                    <w:t>序号</w:t>
                  </w:r>
                </w:p>
              </w:tc>
              <w:tc>
                <w:tcPr>
                  <w:tcW w:w="0" w:type="auto"/>
                  <w:vMerge w:val="restart"/>
                  <w:shd w:val="clear" w:color="auto" w:fill="auto"/>
                  <w:noWrap/>
                  <w:vAlign w:val="center"/>
                </w:tcPr>
                <w:p w14:paraId="65754A71">
                  <w:pPr>
                    <w:widowControl/>
                    <w:jc w:val="center"/>
                    <w:rPr>
                      <w:b/>
                      <w:bCs/>
                      <w:kern w:val="0"/>
                      <w:sz w:val="18"/>
                      <w:szCs w:val="18"/>
                    </w:rPr>
                  </w:pPr>
                  <w:r>
                    <w:rPr>
                      <w:b/>
                      <w:bCs/>
                      <w:kern w:val="0"/>
                      <w:sz w:val="18"/>
                      <w:szCs w:val="18"/>
                    </w:rPr>
                    <w:t>废水类别</w:t>
                  </w:r>
                </w:p>
              </w:tc>
              <w:tc>
                <w:tcPr>
                  <w:tcW w:w="0" w:type="auto"/>
                  <w:vMerge w:val="restart"/>
                  <w:shd w:val="clear" w:color="auto" w:fill="auto"/>
                  <w:vAlign w:val="center"/>
                </w:tcPr>
                <w:p w14:paraId="5FB5C3B1">
                  <w:pPr>
                    <w:widowControl/>
                    <w:jc w:val="center"/>
                    <w:rPr>
                      <w:b/>
                      <w:bCs/>
                      <w:kern w:val="0"/>
                      <w:sz w:val="18"/>
                      <w:szCs w:val="18"/>
                    </w:rPr>
                  </w:pPr>
                  <w:r>
                    <w:rPr>
                      <w:b/>
                      <w:bCs/>
                      <w:kern w:val="0"/>
                      <w:sz w:val="18"/>
                      <w:szCs w:val="18"/>
                    </w:rPr>
                    <w:t>污染物种类</w:t>
                  </w:r>
                </w:p>
              </w:tc>
              <w:tc>
                <w:tcPr>
                  <w:tcW w:w="0" w:type="auto"/>
                  <w:vMerge w:val="restart"/>
                  <w:shd w:val="clear" w:color="auto" w:fill="auto"/>
                  <w:vAlign w:val="center"/>
                </w:tcPr>
                <w:p w14:paraId="5B2133B1">
                  <w:pPr>
                    <w:widowControl/>
                    <w:jc w:val="center"/>
                    <w:rPr>
                      <w:b/>
                      <w:bCs/>
                      <w:kern w:val="0"/>
                      <w:sz w:val="18"/>
                      <w:szCs w:val="18"/>
                    </w:rPr>
                  </w:pPr>
                  <w:r>
                    <w:rPr>
                      <w:b/>
                      <w:bCs/>
                      <w:kern w:val="0"/>
                      <w:sz w:val="18"/>
                      <w:szCs w:val="18"/>
                    </w:rPr>
                    <w:t>排放去向</w:t>
                  </w:r>
                </w:p>
              </w:tc>
              <w:tc>
                <w:tcPr>
                  <w:tcW w:w="961" w:type="dxa"/>
                  <w:vMerge w:val="restart"/>
                  <w:shd w:val="clear" w:color="auto" w:fill="auto"/>
                  <w:noWrap/>
                  <w:vAlign w:val="center"/>
                </w:tcPr>
                <w:p w14:paraId="23C8F7B3">
                  <w:pPr>
                    <w:widowControl/>
                    <w:jc w:val="center"/>
                    <w:rPr>
                      <w:b/>
                      <w:bCs/>
                      <w:kern w:val="0"/>
                      <w:sz w:val="18"/>
                      <w:szCs w:val="18"/>
                    </w:rPr>
                  </w:pPr>
                  <w:r>
                    <w:rPr>
                      <w:b/>
                      <w:bCs/>
                      <w:kern w:val="0"/>
                      <w:sz w:val="18"/>
                      <w:szCs w:val="18"/>
                    </w:rPr>
                    <w:t>排放规律</w:t>
                  </w:r>
                </w:p>
              </w:tc>
              <w:tc>
                <w:tcPr>
                  <w:tcW w:w="2903" w:type="dxa"/>
                  <w:gridSpan w:val="3"/>
                  <w:shd w:val="clear" w:color="auto" w:fill="auto"/>
                  <w:vAlign w:val="center"/>
                </w:tcPr>
                <w:p w14:paraId="6FD3652B">
                  <w:pPr>
                    <w:widowControl/>
                    <w:jc w:val="center"/>
                    <w:rPr>
                      <w:b/>
                      <w:bCs/>
                      <w:kern w:val="0"/>
                      <w:sz w:val="18"/>
                      <w:szCs w:val="18"/>
                    </w:rPr>
                  </w:pPr>
                  <w:r>
                    <w:rPr>
                      <w:b/>
                      <w:bCs/>
                      <w:kern w:val="0"/>
                      <w:sz w:val="18"/>
                      <w:szCs w:val="18"/>
                    </w:rPr>
                    <w:t>污染治理设施编号</w:t>
                  </w:r>
                </w:p>
              </w:tc>
              <w:tc>
                <w:tcPr>
                  <w:tcW w:w="567" w:type="dxa"/>
                  <w:vMerge w:val="restart"/>
                  <w:shd w:val="clear" w:color="auto" w:fill="auto"/>
                  <w:vAlign w:val="center"/>
                </w:tcPr>
                <w:p w14:paraId="1BDD05FB">
                  <w:pPr>
                    <w:widowControl/>
                    <w:jc w:val="center"/>
                    <w:rPr>
                      <w:b/>
                      <w:bCs/>
                      <w:kern w:val="0"/>
                      <w:sz w:val="18"/>
                      <w:szCs w:val="18"/>
                    </w:rPr>
                  </w:pPr>
                  <w:r>
                    <w:rPr>
                      <w:b/>
                      <w:bCs/>
                      <w:kern w:val="0"/>
                      <w:sz w:val="18"/>
                      <w:szCs w:val="18"/>
                    </w:rPr>
                    <w:t>排污口编号</w:t>
                  </w:r>
                </w:p>
              </w:tc>
              <w:tc>
                <w:tcPr>
                  <w:tcW w:w="1101" w:type="dxa"/>
                  <w:vMerge w:val="restart"/>
                  <w:shd w:val="clear" w:color="auto" w:fill="auto"/>
                  <w:vAlign w:val="center"/>
                </w:tcPr>
                <w:p w14:paraId="093B1C45">
                  <w:pPr>
                    <w:widowControl/>
                    <w:jc w:val="center"/>
                    <w:rPr>
                      <w:b/>
                      <w:bCs/>
                      <w:kern w:val="0"/>
                      <w:sz w:val="18"/>
                      <w:szCs w:val="18"/>
                    </w:rPr>
                  </w:pPr>
                  <w:r>
                    <w:rPr>
                      <w:b/>
                      <w:bCs/>
                      <w:kern w:val="0"/>
                      <w:sz w:val="18"/>
                      <w:szCs w:val="18"/>
                    </w:rPr>
                    <w:t>排污口设置是否符合要求</w:t>
                  </w:r>
                </w:p>
              </w:tc>
              <w:tc>
                <w:tcPr>
                  <w:tcW w:w="0" w:type="auto"/>
                  <w:vMerge w:val="restart"/>
                  <w:shd w:val="clear" w:color="auto" w:fill="auto"/>
                  <w:vAlign w:val="center"/>
                </w:tcPr>
                <w:p w14:paraId="3BB82B61">
                  <w:pPr>
                    <w:widowControl/>
                    <w:jc w:val="center"/>
                    <w:rPr>
                      <w:b/>
                      <w:bCs/>
                      <w:kern w:val="0"/>
                      <w:sz w:val="18"/>
                      <w:szCs w:val="18"/>
                    </w:rPr>
                  </w:pPr>
                  <w:r>
                    <w:rPr>
                      <w:b/>
                      <w:bCs/>
                      <w:kern w:val="0"/>
                      <w:sz w:val="18"/>
                      <w:szCs w:val="18"/>
                    </w:rPr>
                    <w:t>排放口类型</w:t>
                  </w:r>
                </w:p>
              </w:tc>
            </w:tr>
            <w:tr w14:paraId="0707EB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vMerge w:val="continue"/>
                  <w:vAlign w:val="center"/>
                </w:tcPr>
                <w:p w14:paraId="73755D4D">
                  <w:pPr>
                    <w:widowControl/>
                    <w:jc w:val="left"/>
                    <w:rPr>
                      <w:b/>
                      <w:bCs/>
                      <w:kern w:val="0"/>
                      <w:sz w:val="18"/>
                      <w:szCs w:val="18"/>
                    </w:rPr>
                  </w:pPr>
                </w:p>
              </w:tc>
              <w:tc>
                <w:tcPr>
                  <w:tcW w:w="0" w:type="auto"/>
                  <w:vMerge w:val="continue"/>
                  <w:vAlign w:val="center"/>
                </w:tcPr>
                <w:p w14:paraId="7889361A">
                  <w:pPr>
                    <w:widowControl/>
                    <w:jc w:val="left"/>
                    <w:rPr>
                      <w:b/>
                      <w:bCs/>
                      <w:kern w:val="0"/>
                      <w:sz w:val="18"/>
                      <w:szCs w:val="18"/>
                    </w:rPr>
                  </w:pPr>
                </w:p>
              </w:tc>
              <w:tc>
                <w:tcPr>
                  <w:tcW w:w="0" w:type="auto"/>
                  <w:vMerge w:val="continue"/>
                  <w:vAlign w:val="center"/>
                </w:tcPr>
                <w:p w14:paraId="42ED6946">
                  <w:pPr>
                    <w:widowControl/>
                    <w:jc w:val="left"/>
                    <w:rPr>
                      <w:b/>
                      <w:bCs/>
                      <w:kern w:val="0"/>
                      <w:sz w:val="18"/>
                      <w:szCs w:val="18"/>
                    </w:rPr>
                  </w:pPr>
                </w:p>
              </w:tc>
              <w:tc>
                <w:tcPr>
                  <w:tcW w:w="0" w:type="auto"/>
                  <w:vMerge w:val="continue"/>
                  <w:vAlign w:val="center"/>
                </w:tcPr>
                <w:p w14:paraId="28EC7693">
                  <w:pPr>
                    <w:widowControl/>
                    <w:jc w:val="left"/>
                    <w:rPr>
                      <w:b/>
                      <w:bCs/>
                      <w:kern w:val="0"/>
                      <w:sz w:val="18"/>
                      <w:szCs w:val="18"/>
                    </w:rPr>
                  </w:pPr>
                </w:p>
              </w:tc>
              <w:tc>
                <w:tcPr>
                  <w:tcW w:w="961" w:type="dxa"/>
                  <w:vMerge w:val="continue"/>
                  <w:vAlign w:val="center"/>
                </w:tcPr>
                <w:p w14:paraId="128DBE92">
                  <w:pPr>
                    <w:widowControl/>
                    <w:jc w:val="left"/>
                    <w:rPr>
                      <w:b/>
                      <w:bCs/>
                      <w:kern w:val="0"/>
                      <w:sz w:val="18"/>
                      <w:szCs w:val="18"/>
                    </w:rPr>
                  </w:pPr>
                </w:p>
              </w:tc>
              <w:tc>
                <w:tcPr>
                  <w:tcW w:w="906" w:type="dxa"/>
                  <w:shd w:val="clear" w:color="auto" w:fill="auto"/>
                  <w:vAlign w:val="center"/>
                </w:tcPr>
                <w:p w14:paraId="62D4A05B">
                  <w:pPr>
                    <w:widowControl/>
                    <w:jc w:val="center"/>
                    <w:rPr>
                      <w:b/>
                      <w:bCs/>
                      <w:kern w:val="0"/>
                      <w:sz w:val="18"/>
                      <w:szCs w:val="18"/>
                    </w:rPr>
                  </w:pPr>
                  <w:r>
                    <w:rPr>
                      <w:b/>
                      <w:bCs/>
                      <w:kern w:val="0"/>
                      <w:sz w:val="18"/>
                      <w:szCs w:val="18"/>
                    </w:rPr>
                    <w:t>污染治理设施编号</w:t>
                  </w:r>
                </w:p>
              </w:tc>
              <w:tc>
                <w:tcPr>
                  <w:tcW w:w="863" w:type="dxa"/>
                  <w:shd w:val="clear" w:color="auto" w:fill="auto"/>
                  <w:vAlign w:val="center"/>
                </w:tcPr>
                <w:p w14:paraId="1218C18A">
                  <w:pPr>
                    <w:widowControl/>
                    <w:jc w:val="center"/>
                    <w:rPr>
                      <w:b/>
                      <w:bCs/>
                      <w:kern w:val="0"/>
                      <w:sz w:val="18"/>
                      <w:szCs w:val="18"/>
                    </w:rPr>
                  </w:pPr>
                  <w:r>
                    <w:rPr>
                      <w:b/>
                      <w:bCs/>
                      <w:kern w:val="0"/>
                      <w:sz w:val="18"/>
                      <w:szCs w:val="18"/>
                    </w:rPr>
                    <w:t>污染治理设施名称</w:t>
                  </w:r>
                </w:p>
              </w:tc>
              <w:tc>
                <w:tcPr>
                  <w:tcW w:w="1134" w:type="dxa"/>
                  <w:shd w:val="clear" w:color="auto" w:fill="auto"/>
                  <w:vAlign w:val="center"/>
                </w:tcPr>
                <w:p w14:paraId="5AC595FC">
                  <w:pPr>
                    <w:widowControl/>
                    <w:jc w:val="center"/>
                    <w:rPr>
                      <w:b/>
                      <w:bCs/>
                      <w:kern w:val="0"/>
                      <w:sz w:val="18"/>
                      <w:szCs w:val="18"/>
                    </w:rPr>
                  </w:pPr>
                  <w:r>
                    <w:rPr>
                      <w:b/>
                      <w:bCs/>
                      <w:kern w:val="0"/>
                      <w:sz w:val="18"/>
                      <w:szCs w:val="18"/>
                    </w:rPr>
                    <w:t>污染治理设施工艺</w:t>
                  </w:r>
                </w:p>
              </w:tc>
              <w:tc>
                <w:tcPr>
                  <w:tcW w:w="567" w:type="dxa"/>
                  <w:vMerge w:val="continue"/>
                  <w:vAlign w:val="center"/>
                </w:tcPr>
                <w:p w14:paraId="6917CFFE">
                  <w:pPr>
                    <w:widowControl/>
                    <w:jc w:val="left"/>
                    <w:rPr>
                      <w:b/>
                      <w:bCs/>
                      <w:kern w:val="0"/>
                      <w:sz w:val="18"/>
                      <w:szCs w:val="18"/>
                    </w:rPr>
                  </w:pPr>
                </w:p>
              </w:tc>
              <w:tc>
                <w:tcPr>
                  <w:tcW w:w="1101" w:type="dxa"/>
                  <w:vMerge w:val="continue"/>
                  <w:vAlign w:val="center"/>
                </w:tcPr>
                <w:p w14:paraId="51932F3F">
                  <w:pPr>
                    <w:widowControl/>
                    <w:jc w:val="left"/>
                    <w:rPr>
                      <w:b/>
                      <w:bCs/>
                      <w:kern w:val="0"/>
                      <w:sz w:val="18"/>
                      <w:szCs w:val="18"/>
                    </w:rPr>
                  </w:pPr>
                </w:p>
              </w:tc>
              <w:tc>
                <w:tcPr>
                  <w:tcW w:w="0" w:type="auto"/>
                  <w:vMerge w:val="continue"/>
                  <w:vAlign w:val="center"/>
                </w:tcPr>
                <w:p w14:paraId="168853EA">
                  <w:pPr>
                    <w:widowControl/>
                    <w:jc w:val="left"/>
                    <w:rPr>
                      <w:b/>
                      <w:bCs/>
                      <w:kern w:val="0"/>
                      <w:sz w:val="18"/>
                      <w:szCs w:val="18"/>
                    </w:rPr>
                  </w:pPr>
                </w:p>
              </w:tc>
            </w:tr>
            <w:tr w14:paraId="37A96A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restart"/>
                  <w:shd w:val="clear" w:color="auto" w:fill="auto"/>
                  <w:noWrap/>
                  <w:vAlign w:val="center"/>
                </w:tcPr>
                <w:p w14:paraId="55D6463C">
                  <w:pPr>
                    <w:widowControl/>
                    <w:jc w:val="center"/>
                    <w:rPr>
                      <w:kern w:val="0"/>
                      <w:sz w:val="18"/>
                      <w:szCs w:val="18"/>
                    </w:rPr>
                  </w:pPr>
                  <w:r>
                    <w:rPr>
                      <w:kern w:val="0"/>
                      <w:sz w:val="18"/>
                      <w:szCs w:val="18"/>
                    </w:rPr>
                    <w:t>1</w:t>
                  </w:r>
                </w:p>
              </w:tc>
              <w:tc>
                <w:tcPr>
                  <w:tcW w:w="0" w:type="auto"/>
                  <w:vMerge w:val="restart"/>
                  <w:shd w:val="clear" w:color="auto" w:fill="auto"/>
                  <w:noWrap/>
                  <w:vAlign w:val="center"/>
                </w:tcPr>
                <w:p w14:paraId="185155AC">
                  <w:pPr>
                    <w:widowControl/>
                    <w:jc w:val="center"/>
                    <w:rPr>
                      <w:kern w:val="0"/>
                      <w:sz w:val="18"/>
                      <w:szCs w:val="18"/>
                    </w:rPr>
                  </w:pPr>
                  <w:r>
                    <w:rPr>
                      <w:kern w:val="0"/>
                      <w:sz w:val="18"/>
                      <w:szCs w:val="18"/>
                    </w:rPr>
                    <w:t>废水</w:t>
                  </w:r>
                </w:p>
              </w:tc>
              <w:tc>
                <w:tcPr>
                  <w:tcW w:w="0" w:type="auto"/>
                  <w:shd w:val="clear" w:color="auto" w:fill="auto"/>
                  <w:vAlign w:val="center"/>
                </w:tcPr>
                <w:p w14:paraId="03507437">
                  <w:pPr>
                    <w:widowControl/>
                    <w:jc w:val="center"/>
                    <w:rPr>
                      <w:kern w:val="0"/>
                      <w:sz w:val="18"/>
                      <w:szCs w:val="18"/>
                    </w:rPr>
                  </w:pPr>
                  <w:r>
                    <w:rPr>
                      <w:kern w:val="0"/>
                      <w:sz w:val="18"/>
                      <w:szCs w:val="18"/>
                    </w:rPr>
                    <w:t>COD</w:t>
                  </w:r>
                </w:p>
              </w:tc>
              <w:tc>
                <w:tcPr>
                  <w:tcW w:w="0" w:type="auto"/>
                  <w:vMerge w:val="restart"/>
                  <w:shd w:val="clear" w:color="auto" w:fill="auto"/>
                  <w:vAlign w:val="center"/>
                </w:tcPr>
                <w:p w14:paraId="40871575">
                  <w:pPr>
                    <w:widowControl/>
                    <w:jc w:val="center"/>
                    <w:rPr>
                      <w:kern w:val="0"/>
                      <w:sz w:val="18"/>
                      <w:szCs w:val="18"/>
                    </w:rPr>
                  </w:pPr>
                  <w:r>
                    <w:rPr>
                      <w:kern w:val="0"/>
                      <w:sz w:val="18"/>
                      <w:szCs w:val="18"/>
                    </w:rPr>
                    <w:t>泗阳高新区污水处理厂（一期）</w:t>
                  </w:r>
                </w:p>
              </w:tc>
              <w:tc>
                <w:tcPr>
                  <w:tcW w:w="961" w:type="dxa"/>
                  <w:vMerge w:val="restart"/>
                  <w:shd w:val="clear" w:color="auto" w:fill="auto"/>
                  <w:noWrap/>
                  <w:vAlign w:val="center"/>
                </w:tcPr>
                <w:p w14:paraId="194EFB2E">
                  <w:pPr>
                    <w:widowControl/>
                    <w:jc w:val="center"/>
                    <w:rPr>
                      <w:kern w:val="0"/>
                      <w:sz w:val="18"/>
                      <w:szCs w:val="18"/>
                    </w:rPr>
                  </w:pPr>
                  <w:r>
                    <w:rPr>
                      <w:kern w:val="0"/>
                      <w:sz w:val="18"/>
                      <w:szCs w:val="18"/>
                    </w:rPr>
                    <w:t>间断排放，排放期间流量不稳定，但有周期性规律</w:t>
                  </w:r>
                </w:p>
              </w:tc>
              <w:tc>
                <w:tcPr>
                  <w:tcW w:w="906" w:type="dxa"/>
                  <w:vMerge w:val="restart"/>
                  <w:shd w:val="clear" w:color="auto" w:fill="auto"/>
                  <w:noWrap/>
                  <w:vAlign w:val="center"/>
                </w:tcPr>
                <w:p w14:paraId="0606DDBE">
                  <w:pPr>
                    <w:widowControl/>
                    <w:jc w:val="center"/>
                    <w:rPr>
                      <w:kern w:val="0"/>
                      <w:sz w:val="18"/>
                      <w:szCs w:val="18"/>
                    </w:rPr>
                  </w:pPr>
                  <w:r>
                    <w:rPr>
                      <w:kern w:val="0"/>
                      <w:sz w:val="18"/>
                      <w:szCs w:val="18"/>
                    </w:rPr>
                    <w:t>/</w:t>
                  </w:r>
                </w:p>
              </w:tc>
              <w:tc>
                <w:tcPr>
                  <w:tcW w:w="863" w:type="dxa"/>
                  <w:vMerge w:val="restart"/>
                  <w:shd w:val="clear" w:color="auto" w:fill="auto"/>
                  <w:vAlign w:val="center"/>
                </w:tcPr>
                <w:p w14:paraId="5075872E">
                  <w:pPr>
                    <w:widowControl/>
                    <w:jc w:val="center"/>
                    <w:rPr>
                      <w:kern w:val="0"/>
                      <w:sz w:val="18"/>
                      <w:szCs w:val="18"/>
                    </w:rPr>
                  </w:pPr>
                  <w:r>
                    <w:rPr>
                      <w:kern w:val="0"/>
                      <w:sz w:val="18"/>
                      <w:szCs w:val="18"/>
                    </w:rPr>
                    <w:t>厂区污水处理站</w:t>
                  </w:r>
                </w:p>
              </w:tc>
              <w:tc>
                <w:tcPr>
                  <w:tcW w:w="1134" w:type="dxa"/>
                  <w:vMerge w:val="restart"/>
                  <w:shd w:val="clear" w:color="auto" w:fill="auto"/>
                  <w:vAlign w:val="center"/>
                </w:tcPr>
                <w:p w14:paraId="47CFE2A7">
                  <w:pPr>
                    <w:widowControl/>
                    <w:jc w:val="center"/>
                    <w:rPr>
                      <w:kern w:val="0"/>
                      <w:sz w:val="18"/>
                      <w:szCs w:val="18"/>
                    </w:rPr>
                  </w:pPr>
                  <w:r>
                    <w:rPr>
                      <w:kern w:val="0"/>
                      <w:sz w:val="18"/>
                      <w:szCs w:val="18"/>
                    </w:rPr>
                    <w:t>“活性污泥+兼氧好氧”的好氧生化处理工艺和“陶粒过滤+活性炭过滤+精密过滤+反渗透”</w:t>
                  </w:r>
                </w:p>
              </w:tc>
              <w:tc>
                <w:tcPr>
                  <w:tcW w:w="567" w:type="dxa"/>
                  <w:vMerge w:val="restart"/>
                  <w:shd w:val="clear" w:color="auto" w:fill="auto"/>
                  <w:noWrap/>
                  <w:vAlign w:val="center"/>
                </w:tcPr>
                <w:p w14:paraId="0D36EC93">
                  <w:pPr>
                    <w:widowControl/>
                    <w:jc w:val="center"/>
                    <w:rPr>
                      <w:kern w:val="0"/>
                      <w:sz w:val="18"/>
                      <w:szCs w:val="18"/>
                    </w:rPr>
                  </w:pPr>
                  <w:r>
                    <w:rPr>
                      <w:kern w:val="0"/>
                      <w:sz w:val="18"/>
                      <w:szCs w:val="18"/>
                    </w:rPr>
                    <w:t>DW001</w:t>
                  </w:r>
                </w:p>
              </w:tc>
              <w:tc>
                <w:tcPr>
                  <w:tcW w:w="1101" w:type="dxa"/>
                  <w:vMerge w:val="restart"/>
                  <w:shd w:val="clear" w:color="auto" w:fill="auto"/>
                  <w:noWrap/>
                  <w:vAlign w:val="center"/>
                </w:tcPr>
                <w:p w14:paraId="0F1E76F5">
                  <w:pPr>
                    <w:widowControl/>
                    <w:jc w:val="center"/>
                    <w:rPr>
                      <w:kern w:val="0"/>
                      <w:sz w:val="18"/>
                      <w:szCs w:val="18"/>
                    </w:rPr>
                  </w:pPr>
                  <w:r>
                    <w:rPr>
                      <w:kern w:val="0"/>
                      <w:sz w:val="18"/>
                      <w:szCs w:val="18"/>
                    </w:rPr>
                    <w:t>是</w:t>
                  </w:r>
                </w:p>
              </w:tc>
              <w:tc>
                <w:tcPr>
                  <w:tcW w:w="0" w:type="auto"/>
                  <w:vMerge w:val="restart"/>
                  <w:shd w:val="clear" w:color="auto" w:fill="auto"/>
                  <w:vAlign w:val="center"/>
                </w:tcPr>
                <w:p w14:paraId="1EC64748">
                  <w:pPr>
                    <w:widowControl/>
                    <w:jc w:val="center"/>
                    <w:rPr>
                      <w:kern w:val="0"/>
                      <w:sz w:val="18"/>
                      <w:szCs w:val="18"/>
                    </w:rPr>
                  </w:pPr>
                  <w:r>
                    <w:rPr>
                      <w:kern w:val="0"/>
                      <w:sz w:val="18"/>
                      <w:szCs w:val="18"/>
                    </w:rPr>
                    <w:t>一般排口</w:t>
                  </w:r>
                </w:p>
              </w:tc>
            </w:tr>
            <w:tr w14:paraId="605DBD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vAlign w:val="center"/>
                </w:tcPr>
                <w:p w14:paraId="7964A632">
                  <w:pPr>
                    <w:widowControl/>
                    <w:jc w:val="left"/>
                    <w:rPr>
                      <w:kern w:val="0"/>
                      <w:sz w:val="18"/>
                      <w:szCs w:val="18"/>
                    </w:rPr>
                  </w:pPr>
                </w:p>
              </w:tc>
              <w:tc>
                <w:tcPr>
                  <w:tcW w:w="0" w:type="auto"/>
                  <w:vMerge w:val="continue"/>
                  <w:vAlign w:val="center"/>
                </w:tcPr>
                <w:p w14:paraId="2548BAC3">
                  <w:pPr>
                    <w:widowControl/>
                    <w:jc w:val="left"/>
                    <w:rPr>
                      <w:kern w:val="0"/>
                      <w:sz w:val="18"/>
                      <w:szCs w:val="18"/>
                    </w:rPr>
                  </w:pPr>
                </w:p>
              </w:tc>
              <w:tc>
                <w:tcPr>
                  <w:tcW w:w="0" w:type="auto"/>
                  <w:shd w:val="clear" w:color="auto" w:fill="auto"/>
                  <w:vAlign w:val="center"/>
                </w:tcPr>
                <w:p w14:paraId="72318236">
                  <w:pPr>
                    <w:widowControl/>
                    <w:jc w:val="center"/>
                    <w:rPr>
                      <w:kern w:val="0"/>
                      <w:sz w:val="18"/>
                      <w:szCs w:val="18"/>
                    </w:rPr>
                  </w:pPr>
                  <w:r>
                    <w:rPr>
                      <w:kern w:val="0"/>
                      <w:sz w:val="18"/>
                      <w:szCs w:val="18"/>
                    </w:rPr>
                    <w:t>SS</w:t>
                  </w:r>
                </w:p>
              </w:tc>
              <w:tc>
                <w:tcPr>
                  <w:tcW w:w="0" w:type="auto"/>
                  <w:vMerge w:val="continue"/>
                  <w:vAlign w:val="center"/>
                </w:tcPr>
                <w:p w14:paraId="705D345F">
                  <w:pPr>
                    <w:widowControl/>
                    <w:jc w:val="left"/>
                    <w:rPr>
                      <w:kern w:val="0"/>
                      <w:sz w:val="18"/>
                      <w:szCs w:val="18"/>
                    </w:rPr>
                  </w:pPr>
                </w:p>
              </w:tc>
              <w:tc>
                <w:tcPr>
                  <w:tcW w:w="961" w:type="dxa"/>
                  <w:vMerge w:val="continue"/>
                  <w:vAlign w:val="center"/>
                </w:tcPr>
                <w:p w14:paraId="42AF09F0">
                  <w:pPr>
                    <w:widowControl/>
                    <w:jc w:val="left"/>
                    <w:rPr>
                      <w:kern w:val="0"/>
                      <w:sz w:val="18"/>
                      <w:szCs w:val="18"/>
                    </w:rPr>
                  </w:pPr>
                </w:p>
              </w:tc>
              <w:tc>
                <w:tcPr>
                  <w:tcW w:w="906" w:type="dxa"/>
                  <w:vMerge w:val="continue"/>
                  <w:vAlign w:val="center"/>
                </w:tcPr>
                <w:p w14:paraId="501D058B">
                  <w:pPr>
                    <w:widowControl/>
                    <w:jc w:val="left"/>
                    <w:rPr>
                      <w:kern w:val="0"/>
                      <w:sz w:val="18"/>
                      <w:szCs w:val="18"/>
                    </w:rPr>
                  </w:pPr>
                </w:p>
              </w:tc>
              <w:tc>
                <w:tcPr>
                  <w:tcW w:w="863" w:type="dxa"/>
                  <w:vMerge w:val="continue"/>
                  <w:vAlign w:val="center"/>
                </w:tcPr>
                <w:p w14:paraId="046A78AC">
                  <w:pPr>
                    <w:widowControl/>
                    <w:jc w:val="left"/>
                    <w:rPr>
                      <w:kern w:val="0"/>
                      <w:sz w:val="18"/>
                      <w:szCs w:val="18"/>
                    </w:rPr>
                  </w:pPr>
                </w:p>
              </w:tc>
              <w:tc>
                <w:tcPr>
                  <w:tcW w:w="1134" w:type="dxa"/>
                  <w:vMerge w:val="continue"/>
                  <w:vAlign w:val="center"/>
                </w:tcPr>
                <w:p w14:paraId="03A4036E">
                  <w:pPr>
                    <w:widowControl/>
                    <w:jc w:val="left"/>
                    <w:rPr>
                      <w:kern w:val="0"/>
                      <w:sz w:val="18"/>
                      <w:szCs w:val="18"/>
                    </w:rPr>
                  </w:pPr>
                </w:p>
              </w:tc>
              <w:tc>
                <w:tcPr>
                  <w:tcW w:w="567" w:type="dxa"/>
                  <w:vMerge w:val="continue"/>
                  <w:vAlign w:val="center"/>
                </w:tcPr>
                <w:p w14:paraId="46243521">
                  <w:pPr>
                    <w:widowControl/>
                    <w:jc w:val="left"/>
                    <w:rPr>
                      <w:kern w:val="0"/>
                      <w:sz w:val="18"/>
                      <w:szCs w:val="18"/>
                    </w:rPr>
                  </w:pPr>
                </w:p>
              </w:tc>
              <w:tc>
                <w:tcPr>
                  <w:tcW w:w="1101" w:type="dxa"/>
                  <w:vMerge w:val="continue"/>
                  <w:vAlign w:val="center"/>
                </w:tcPr>
                <w:p w14:paraId="7617063B">
                  <w:pPr>
                    <w:widowControl/>
                    <w:jc w:val="left"/>
                    <w:rPr>
                      <w:kern w:val="0"/>
                      <w:sz w:val="18"/>
                      <w:szCs w:val="18"/>
                    </w:rPr>
                  </w:pPr>
                </w:p>
              </w:tc>
              <w:tc>
                <w:tcPr>
                  <w:tcW w:w="0" w:type="auto"/>
                  <w:vMerge w:val="continue"/>
                  <w:vAlign w:val="center"/>
                </w:tcPr>
                <w:p w14:paraId="6C56FE11">
                  <w:pPr>
                    <w:widowControl/>
                    <w:jc w:val="left"/>
                    <w:rPr>
                      <w:kern w:val="0"/>
                      <w:sz w:val="18"/>
                      <w:szCs w:val="18"/>
                    </w:rPr>
                  </w:pPr>
                </w:p>
              </w:tc>
            </w:tr>
            <w:tr w14:paraId="25C12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vMerge w:val="continue"/>
                  <w:vAlign w:val="center"/>
                </w:tcPr>
                <w:p w14:paraId="072C49B8">
                  <w:pPr>
                    <w:widowControl/>
                    <w:jc w:val="left"/>
                    <w:rPr>
                      <w:kern w:val="0"/>
                      <w:sz w:val="18"/>
                      <w:szCs w:val="18"/>
                    </w:rPr>
                  </w:pPr>
                </w:p>
              </w:tc>
              <w:tc>
                <w:tcPr>
                  <w:tcW w:w="0" w:type="auto"/>
                  <w:vMerge w:val="continue"/>
                  <w:vAlign w:val="center"/>
                </w:tcPr>
                <w:p w14:paraId="4914BEF5">
                  <w:pPr>
                    <w:widowControl/>
                    <w:jc w:val="left"/>
                    <w:rPr>
                      <w:kern w:val="0"/>
                      <w:sz w:val="18"/>
                      <w:szCs w:val="18"/>
                    </w:rPr>
                  </w:pPr>
                </w:p>
              </w:tc>
              <w:tc>
                <w:tcPr>
                  <w:tcW w:w="0" w:type="auto"/>
                  <w:shd w:val="clear" w:color="auto" w:fill="auto"/>
                  <w:vAlign w:val="center"/>
                </w:tcPr>
                <w:p w14:paraId="3BEE8FCD">
                  <w:pPr>
                    <w:widowControl/>
                    <w:jc w:val="center"/>
                    <w:rPr>
                      <w:kern w:val="0"/>
                      <w:sz w:val="18"/>
                      <w:szCs w:val="18"/>
                    </w:rPr>
                  </w:pPr>
                  <w:r>
                    <w:rPr>
                      <w:kern w:val="0"/>
                      <w:sz w:val="18"/>
                      <w:szCs w:val="18"/>
                    </w:rPr>
                    <w:t>NH</w:t>
                  </w:r>
                  <w:r>
                    <w:rPr>
                      <w:kern w:val="0"/>
                      <w:sz w:val="18"/>
                      <w:szCs w:val="18"/>
                      <w:vertAlign w:val="subscript"/>
                    </w:rPr>
                    <w:t>3</w:t>
                  </w:r>
                  <w:r>
                    <w:rPr>
                      <w:kern w:val="0"/>
                      <w:sz w:val="18"/>
                      <w:szCs w:val="18"/>
                    </w:rPr>
                    <w:t>-N</w:t>
                  </w:r>
                </w:p>
              </w:tc>
              <w:tc>
                <w:tcPr>
                  <w:tcW w:w="0" w:type="auto"/>
                  <w:vMerge w:val="continue"/>
                  <w:vAlign w:val="center"/>
                </w:tcPr>
                <w:p w14:paraId="4A0F7A4C">
                  <w:pPr>
                    <w:widowControl/>
                    <w:jc w:val="left"/>
                    <w:rPr>
                      <w:kern w:val="0"/>
                      <w:sz w:val="18"/>
                      <w:szCs w:val="18"/>
                    </w:rPr>
                  </w:pPr>
                </w:p>
              </w:tc>
              <w:tc>
                <w:tcPr>
                  <w:tcW w:w="961" w:type="dxa"/>
                  <w:vMerge w:val="continue"/>
                  <w:vAlign w:val="center"/>
                </w:tcPr>
                <w:p w14:paraId="4ED392BF">
                  <w:pPr>
                    <w:widowControl/>
                    <w:jc w:val="left"/>
                    <w:rPr>
                      <w:kern w:val="0"/>
                      <w:sz w:val="18"/>
                      <w:szCs w:val="18"/>
                    </w:rPr>
                  </w:pPr>
                </w:p>
              </w:tc>
              <w:tc>
                <w:tcPr>
                  <w:tcW w:w="906" w:type="dxa"/>
                  <w:vMerge w:val="continue"/>
                  <w:vAlign w:val="center"/>
                </w:tcPr>
                <w:p w14:paraId="25B17AC3">
                  <w:pPr>
                    <w:widowControl/>
                    <w:jc w:val="left"/>
                    <w:rPr>
                      <w:kern w:val="0"/>
                      <w:sz w:val="18"/>
                      <w:szCs w:val="18"/>
                    </w:rPr>
                  </w:pPr>
                </w:p>
              </w:tc>
              <w:tc>
                <w:tcPr>
                  <w:tcW w:w="863" w:type="dxa"/>
                  <w:vMerge w:val="continue"/>
                  <w:vAlign w:val="center"/>
                </w:tcPr>
                <w:p w14:paraId="24BF485C">
                  <w:pPr>
                    <w:widowControl/>
                    <w:jc w:val="left"/>
                    <w:rPr>
                      <w:kern w:val="0"/>
                      <w:sz w:val="18"/>
                      <w:szCs w:val="18"/>
                    </w:rPr>
                  </w:pPr>
                </w:p>
              </w:tc>
              <w:tc>
                <w:tcPr>
                  <w:tcW w:w="1134" w:type="dxa"/>
                  <w:vMerge w:val="continue"/>
                  <w:vAlign w:val="center"/>
                </w:tcPr>
                <w:p w14:paraId="5947A9C4">
                  <w:pPr>
                    <w:widowControl/>
                    <w:jc w:val="left"/>
                    <w:rPr>
                      <w:kern w:val="0"/>
                      <w:sz w:val="18"/>
                      <w:szCs w:val="18"/>
                    </w:rPr>
                  </w:pPr>
                </w:p>
              </w:tc>
              <w:tc>
                <w:tcPr>
                  <w:tcW w:w="567" w:type="dxa"/>
                  <w:vMerge w:val="continue"/>
                  <w:vAlign w:val="center"/>
                </w:tcPr>
                <w:p w14:paraId="2D48B4D2">
                  <w:pPr>
                    <w:widowControl/>
                    <w:jc w:val="left"/>
                    <w:rPr>
                      <w:kern w:val="0"/>
                      <w:sz w:val="18"/>
                      <w:szCs w:val="18"/>
                    </w:rPr>
                  </w:pPr>
                </w:p>
              </w:tc>
              <w:tc>
                <w:tcPr>
                  <w:tcW w:w="1101" w:type="dxa"/>
                  <w:vMerge w:val="continue"/>
                  <w:vAlign w:val="center"/>
                </w:tcPr>
                <w:p w14:paraId="594DB65A">
                  <w:pPr>
                    <w:widowControl/>
                    <w:jc w:val="left"/>
                    <w:rPr>
                      <w:kern w:val="0"/>
                      <w:sz w:val="18"/>
                      <w:szCs w:val="18"/>
                    </w:rPr>
                  </w:pPr>
                </w:p>
              </w:tc>
              <w:tc>
                <w:tcPr>
                  <w:tcW w:w="0" w:type="auto"/>
                  <w:vMerge w:val="continue"/>
                  <w:vAlign w:val="center"/>
                </w:tcPr>
                <w:p w14:paraId="15598146">
                  <w:pPr>
                    <w:widowControl/>
                    <w:jc w:val="left"/>
                    <w:rPr>
                      <w:kern w:val="0"/>
                      <w:sz w:val="18"/>
                      <w:szCs w:val="18"/>
                    </w:rPr>
                  </w:pPr>
                </w:p>
              </w:tc>
            </w:tr>
            <w:tr w14:paraId="4C24E1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0" w:hRule="atLeast"/>
              </w:trPr>
              <w:tc>
                <w:tcPr>
                  <w:tcW w:w="0" w:type="auto"/>
                  <w:vMerge w:val="continue"/>
                  <w:vAlign w:val="center"/>
                </w:tcPr>
                <w:p w14:paraId="7E1382D9">
                  <w:pPr>
                    <w:widowControl/>
                    <w:jc w:val="left"/>
                    <w:rPr>
                      <w:kern w:val="0"/>
                      <w:sz w:val="18"/>
                      <w:szCs w:val="18"/>
                    </w:rPr>
                  </w:pPr>
                </w:p>
              </w:tc>
              <w:tc>
                <w:tcPr>
                  <w:tcW w:w="0" w:type="auto"/>
                  <w:vMerge w:val="continue"/>
                  <w:vAlign w:val="center"/>
                </w:tcPr>
                <w:p w14:paraId="4D8FCCBF">
                  <w:pPr>
                    <w:widowControl/>
                    <w:jc w:val="left"/>
                    <w:rPr>
                      <w:kern w:val="0"/>
                      <w:sz w:val="18"/>
                      <w:szCs w:val="18"/>
                    </w:rPr>
                  </w:pPr>
                </w:p>
              </w:tc>
              <w:tc>
                <w:tcPr>
                  <w:tcW w:w="0" w:type="auto"/>
                  <w:shd w:val="clear" w:color="auto" w:fill="auto"/>
                  <w:vAlign w:val="center"/>
                </w:tcPr>
                <w:p w14:paraId="20AE966D">
                  <w:pPr>
                    <w:widowControl/>
                    <w:jc w:val="center"/>
                    <w:rPr>
                      <w:kern w:val="0"/>
                      <w:sz w:val="18"/>
                      <w:szCs w:val="18"/>
                    </w:rPr>
                  </w:pPr>
                  <w:r>
                    <w:rPr>
                      <w:kern w:val="0"/>
                      <w:sz w:val="18"/>
                      <w:szCs w:val="18"/>
                    </w:rPr>
                    <w:t>TP</w:t>
                  </w:r>
                </w:p>
              </w:tc>
              <w:tc>
                <w:tcPr>
                  <w:tcW w:w="0" w:type="auto"/>
                  <w:vMerge w:val="continue"/>
                  <w:vAlign w:val="center"/>
                </w:tcPr>
                <w:p w14:paraId="64CDA1AC">
                  <w:pPr>
                    <w:widowControl/>
                    <w:jc w:val="left"/>
                    <w:rPr>
                      <w:kern w:val="0"/>
                      <w:sz w:val="18"/>
                      <w:szCs w:val="18"/>
                    </w:rPr>
                  </w:pPr>
                </w:p>
              </w:tc>
              <w:tc>
                <w:tcPr>
                  <w:tcW w:w="961" w:type="dxa"/>
                  <w:vMerge w:val="continue"/>
                  <w:vAlign w:val="center"/>
                </w:tcPr>
                <w:p w14:paraId="3FC027AA">
                  <w:pPr>
                    <w:widowControl/>
                    <w:jc w:val="left"/>
                    <w:rPr>
                      <w:kern w:val="0"/>
                      <w:sz w:val="18"/>
                      <w:szCs w:val="18"/>
                    </w:rPr>
                  </w:pPr>
                </w:p>
              </w:tc>
              <w:tc>
                <w:tcPr>
                  <w:tcW w:w="906" w:type="dxa"/>
                  <w:vMerge w:val="continue"/>
                  <w:vAlign w:val="center"/>
                </w:tcPr>
                <w:p w14:paraId="49BE78FA">
                  <w:pPr>
                    <w:widowControl/>
                    <w:jc w:val="left"/>
                    <w:rPr>
                      <w:kern w:val="0"/>
                      <w:sz w:val="18"/>
                      <w:szCs w:val="18"/>
                    </w:rPr>
                  </w:pPr>
                </w:p>
              </w:tc>
              <w:tc>
                <w:tcPr>
                  <w:tcW w:w="863" w:type="dxa"/>
                  <w:vMerge w:val="continue"/>
                  <w:vAlign w:val="center"/>
                </w:tcPr>
                <w:p w14:paraId="2B33EEF4">
                  <w:pPr>
                    <w:widowControl/>
                    <w:jc w:val="left"/>
                    <w:rPr>
                      <w:kern w:val="0"/>
                      <w:sz w:val="18"/>
                      <w:szCs w:val="18"/>
                    </w:rPr>
                  </w:pPr>
                </w:p>
              </w:tc>
              <w:tc>
                <w:tcPr>
                  <w:tcW w:w="1134" w:type="dxa"/>
                  <w:vMerge w:val="continue"/>
                  <w:vAlign w:val="center"/>
                </w:tcPr>
                <w:p w14:paraId="0262E235">
                  <w:pPr>
                    <w:widowControl/>
                    <w:jc w:val="left"/>
                    <w:rPr>
                      <w:kern w:val="0"/>
                      <w:sz w:val="18"/>
                      <w:szCs w:val="18"/>
                    </w:rPr>
                  </w:pPr>
                </w:p>
              </w:tc>
              <w:tc>
                <w:tcPr>
                  <w:tcW w:w="567" w:type="dxa"/>
                  <w:vMerge w:val="continue"/>
                  <w:vAlign w:val="center"/>
                </w:tcPr>
                <w:p w14:paraId="268CBD62">
                  <w:pPr>
                    <w:widowControl/>
                    <w:jc w:val="left"/>
                    <w:rPr>
                      <w:kern w:val="0"/>
                      <w:sz w:val="18"/>
                      <w:szCs w:val="18"/>
                    </w:rPr>
                  </w:pPr>
                </w:p>
              </w:tc>
              <w:tc>
                <w:tcPr>
                  <w:tcW w:w="1101" w:type="dxa"/>
                  <w:vMerge w:val="continue"/>
                  <w:vAlign w:val="center"/>
                </w:tcPr>
                <w:p w14:paraId="004A1FF1">
                  <w:pPr>
                    <w:widowControl/>
                    <w:jc w:val="left"/>
                    <w:rPr>
                      <w:kern w:val="0"/>
                      <w:sz w:val="18"/>
                      <w:szCs w:val="18"/>
                    </w:rPr>
                  </w:pPr>
                </w:p>
              </w:tc>
              <w:tc>
                <w:tcPr>
                  <w:tcW w:w="0" w:type="auto"/>
                  <w:vMerge w:val="continue"/>
                  <w:vAlign w:val="center"/>
                </w:tcPr>
                <w:p w14:paraId="36B801AC">
                  <w:pPr>
                    <w:widowControl/>
                    <w:jc w:val="left"/>
                    <w:rPr>
                      <w:kern w:val="0"/>
                      <w:sz w:val="18"/>
                      <w:szCs w:val="18"/>
                    </w:rPr>
                  </w:pPr>
                </w:p>
              </w:tc>
            </w:tr>
            <w:tr w14:paraId="438482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vMerge w:val="continue"/>
                  <w:vAlign w:val="center"/>
                </w:tcPr>
                <w:p w14:paraId="3DFB288B">
                  <w:pPr>
                    <w:widowControl/>
                    <w:jc w:val="left"/>
                    <w:rPr>
                      <w:kern w:val="0"/>
                      <w:sz w:val="18"/>
                      <w:szCs w:val="18"/>
                    </w:rPr>
                  </w:pPr>
                </w:p>
              </w:tc>
              <w:tc>
                <w:tcPr>
                  <w:tcW w:w="0" w:type="auto"/>
                  <w:vMerge w:val="continue"/>
                  <w:vAlign w:val="center"/>
                </w:tcPr>
                <w:p w14:paraId="674F3D3A">
                  <w:pPr>
                    <w:widowControl/>
                    <w:jc w:val="left"/>
                    <w:rPr>
                      <w:kern w:val="0"/>
                      <w:sz w:val="18"/>
                      <w:szCs w:val="18"/>
                    </w:rPr>
                  </w:pPr>
                </w:p>
              </w:tc>
              <w:tc>
                <w:tcPr>
                  <w:tcW w:w="0" w:type="auto"/>
                  <w:shd w:val="clear" w:color="auto" w:fill="auto"/>
                  <w:vAlign w:val="center"/>
                </w:tcPr>
                <w:p w14:paraId="65ECC704">
                  <w:pPr>
                    <w:widowControl/>
                    <w:jc w:val="center"/>
                    <w:rPr>
                      <w:kern w:val="0"/>
                      <w:sz w:val="18"/>
                      <w:szCs w:val="18"/>
                    </w:rPr>
                  </w:pPr>
                  <w:r>
                    <w:rPr>
                      <w:kern w:val="0"/>
                      <w:sz w:val="18"/>
                      <w:szCs w:val="18"/>
                    </w:rPr>
                    <w:t>总氮</w:t>
                  </w:r>
                </w:p>
              </w:tc>
              <w:tc>
                <w:tcPr>
                  <w:tcW w:w="0" w:type="auto"/>
                  <w:vMerge w:val="continue"/>
                  <w:vAlign w:val="center"/>
                </w:tcPr>
                <w:p w14:paraId="479BC257">
                  <w:pPr>
                    <w:widowControl/>
                    <w:jc w:val="left"/>
                    <w:rPr>
                      <w:kern w:val="0"/>
                      <w:sz w:val="18"/>
                      <w:szCs w:val="18"/>
                    </w:rPr>
                  </w:pPr>
                </w:p>
              </w:tc>
              <w:tc>
                <w:tcPr>
                  <w:tcW w:w="961" w:type="dxa"/>
                  <w:vMerge w:val="continue"/>
                  <w:vAlign w:val="center"/>
                </w:tcPr>
                <w:p w14:paraId="3D7B4DEF">
                  <w:pPr>
                    <w:widowControl/>
                    <w:jc w:val="left"/>
                    <w:rPr>
                      <w:kern w:val="0"/>
                      <w:sz w:val="18"/>
                      <w:szCs w:val="18"/>
                    </w:rPr>
                  </w:pPr>
                </w:p>
              </w:tc>
              <w:tc>
                <w:tcPr>
                  <w:tcW w:w="906" w:type="dxa"/>
                  <w:vMerge w:val="continue"/>
                  <w:vAlign w:val="center"/>
                </w:tcPr>
                <w:p w14:paraId="3E69AADB">
                  <w:pPr>
                    <w:widowControl/>
                    <w:jc w:val="left"/>
                    <w:rPr>
                      <w:kern w:val="0"/>
                      <w:sz w:val="18"/>
                      <w:szCs w:val="18"/>
                    </w:rPr>
                  </w:pPr>
                </w:p>
              </w:tc>
              <w:tc>
                <w:tcPr>
                  <w:tcW w:w="863" w:type="dxa"/>
                  <w:vMerge w:val="continue"/>
                  <w:vAlign w:val="center"/>
                </w:tcPr>
                <w:p w14:paraId="76CC7603">
                  <w:pPr>
                    <w:widowControl/>
                    <w:jc w:val="left"/>
                    <w:rPr>
                      <w:kern w:val="0"/>
                      <w:sz w:val="18"/>
                      <w:szCs w:val="18"/>
                    </w:rPr>
                  </w:pPr>
                </w:p>
              </w:tc>
              <w:tc>
                <w:tcPr>
                  <w:tcW w:w="1134" w:type="dxa"/>
                  <w:vMerge w:val="continue"/>
                  <w:vAlign w:val="center"/>
                </w:tcPr>
                <w:p w14:paraId="1CD844DB">
                  <w:pPr>
                    <w:widowControl/>
                    <w:jc w:val="left"/>
                    <w:rPr>
                      <w:kern w:val="0"/>
                      <w:sz w:val="18"/>
                      <w:szCs w:val="18"/>
                    </w:rPr>
                  </w:pPr>
                </w:p>
              </w:tc>
              <w:tc>
                <w:tcPr>
                  <w:tcW w:w="567" w:type="dxa"/>
                  <w:vMerge w:val="continue"/>
                  <w:vAlign w:val="center"/>
                </w:tcPr>
                <w:p w14:paraId="2FD65176">
                  <w:pPr>
                    <w:widowControl/>
                    <w:jc w:val="left"/>
                    <w:rPr>
                      <w:kern w:val="0"/>
                      <w:sz w:val="18"/>
                      <w:szCs w:val="18"/>
                    </w:rPr>
                  </w:pPr>
                </w:p>
              </w:tc>
              <w:tc>
                <w:tcPr>
                  <w:tcW w:w="1101" w:type="dxa"/>
                  <w:vMerge w:val="continue"/>
                  <w:vAlign w:val="center"/>
                </w:tcPr>
                <w:p w14:paraId="4BFFF5C8">
                  <w:pPr>
                    <w:widowControl/>
                    <w:jc w:val="left"/>
                    <w:rPr>
                      <w:kern w:val="0"/>
                      <w:sz w:val="18"/>
                      <w:szCs w:val="18"/>
                    </w:rPr>
                  </w:pPr>
                </w:p>
              </w:tc>
              <w:tc>
                <w:tcPr>
                  <w:tcW w:w="0" w:type="auto"/>
                  <w:vMerge w:val="continue"/>
                  <w:vAlign w:val="center"/>
                </w:tcPr>
                <w:p w14:paraId="3584D24C">
                  <w:pPr>
                    <w:widowControl/>
                    <w:jc w:val="left"/>
                    <w:rPr>
                      <w:kern w:val="0"/>
                      <w:sz w:val="18"/>
                      <w:szCs w:val="18"/>
                    </w:rPr>
                  </w:pPr>
                </w:p>
              </w:tc>
            </w:tr>
            <w:tr w14:paraId="3CF4F0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vMerge w:val="continue"/>
                  <w:vAlign w:val="center"/>
                </w:tcPr>
                <w:p w14:paraId="4D9DC056">
                  <w:pPr>
                    <w:widowControl/>
                    <w:jc w:val="left"/>
                    <w:rPr>
                      <w:kern w:val="0"/>
                      <w:sz w:val="18"/>
                      <w:szCs w:val="18"/>
                    </w:rPr>
                  </w:pPr>
                </w:p>
              </w:tc>
              <w:tc>
                <w:tcPr>
                  <w:tcW w:w="0" w:type="auto"/>
                  <w:vMerge w:val="continue"/>
                  <w:vAlign w:val="center"/>
                </w:tcPr>
                <w:p w14:paraId="37E891D6">
                  <w:pPr>
                    <w:widowControl/>
                    <w:jc w:val="left"/>
                    <w:rPr>
                      <w:kern w:val="0"/>
                      <w:sz w:val="18"/>
                      <w:szCs w:val="18"/>
                    </w:rPr>
                  </w:pPr>
                </w:p>
              </w:tc>
              <w:tc>
                <w:tcPr>
                  <w:tcW w:w="0" w:type="auto"/>
                  <w:shd w:val="clear" w:color="auto" w:fill="auto"/>
                  <w:vAlign w:val="center"/>
                </w:tcPr>
                <w:p w14:paraId="702F9C7A">
                  <w:pPr>
                    <w:widowControl/>
                    <w:jc w:val="center"/>
                    <w:rPr>
                      <w:kern w:val="0"/>
                      <w:sz w:val="18"/>
                      <w:szCs w:val="18"/>
                    </w:rPr>
                  </w:pPr>
                  <w:r>
                    <w:rPr>
                      <w:kern w:val="0"/>
                      <w:sz w:val="18"/>
                      <w:szCs w:val="18"/>
                    </w:rPr>
                    <w:t>石油类</w:t>
                  </w:r>
                </w:p>
              </w:tc>
              <w:tc>
                <w:tcPr>
                  <w:tcW w:w="0" w:type="auto"/>
                  <w:vMerge w:val="continue"/>
                  <w:vAlign w:val="center"/>
                </w:tcPr>
                <w:p w14:paraId="6D92D713">
                  <w:pPr>
                    <w:widowControl/>
                    <w:jc w:val="left"/>
                    <w:rPr>
                      <w:kern w:val="0"/>
                      <w:sz w:val="18"/>
                      <w:szCs w:val="18"/>
                    </w:rPr>
                  </w:pPr>
                </w:p>
              </w:tc>
              <w:tc>
                <w:tcPr>
                  <w:tcW w:w="961" w:type="dxa"/>
                  <w:vMerge w:val="continue"/>
                  <w:vAlign w:val="center"/>
                </w:tcPr>
                <w:p w14:paraId="3551DD54">
                  <w:pPr>
                    <w:widowControl/>
                    <w:jc w:val="left"/>
                    <w:rPr>
                      <w:kern w:val="0"/>
                      <w:sz w:val="18"/>
                      <w:szCs w:val="18"/>
                    </w:rPr>
                  </w:pPr>
                </w:p>
              </w:tc>
              <w:tc>
                <w:tcPr>
                  <w:tcW w:w="906" w:type="dxa"/>
                  <w:vMerge w:val="continue"/>
                  <w:vAlign w:val="center"/>
                </w:tcPr>
                <w:p w14:paraId="20A4A8DF">
                  <w:pPr>
                    <w:widowControl/>
                    <w:jc w:val="left"/>
                    <w:rPr>
                      <w:kern w:val="0"/>
                      <w:sz w:val="18"/>
                      <w:szCs w:val="18"/>
                    </w:rPr>
                  </w:pPr>
                </w:p>
              </w:tc>
              <w:tc>
                <w:tcPr>
                  <w:tcW w:w="863" w:type="dxa"/>
                  <w:vMerge w:val="continue"/>
                  <w:vAlign w:val="center"/>
                </w:tcPr>
                <w:p w14:paraId="67EF462E">
                  <w:pPr>
                    <w:widowControl/>
                    <w:jc w:val="left"/>
                    <w:rPr>
                      <w:kern w:val="0"/>
                      <w:sz w:val="18"/>
                      <w:szCs w:val="18"/>
                    </w:rPr>
                  </w:pPr>
                </w:p>
              </w:tc>
              <w:tc>
                <w:tcPr>
                  <w:tcW w:w="1134" w:type="dxa"/>
                  <w:vMerge w:val="continue"/>
                  <w:vAlign w:val="center"/>
                </w:tcPr>
                <w:p w14:paraId="61644460">
                  <w:pPr>
                    <w:widowControl/>
                    <w:jc w:val="left"/>
                    <w:rPr>
                      <w:kern w:val="0"/>
                      <w:sz w:val="18"/>
                      <w:szCs w:val="18"/>
                    </w:rPr>
                  </w:pPr>
                </w:p>
              </w:tc>
              <w:tc>
                <w:tcPr>
                  <w:tcW w:w="567" w:type="dxa"/>
                  <w:vMerge w:val="continue"/>
                  <w:vAlign w:val="center"/>
                </w:tcPr>
                <w:p w14:paraId="5EA005C4">
                  <w:pPr>
                    <w:widowControl/>
                    <w:jc w:val="left"/>
                    <w:rPr>
                      <w:kern w:val="0"/>
                      <w:sz w:val="18"/>
                      <w:szCs w:val="18"/>
                    </w:rPr>
                  </w:pPr>
                </w:p>
              </w:tc>
              <w:tc>
                <w:tcPr>
                  <w:tcW w:w="1101" w:type="dxa"/>
                  <w:vMerge w:val="continue"/>
                  <w:vAlign w:val="center"/>
                </w:tcPr>
                <w:p w14:paraId="3C0A29D0">
                  <w:pPr>
                    <w:widowControl/>
                    <w:jc w:val="left"/>
                    <w:rPr>
                      <w:kern w:val="0"/>
                      <w:sz w:val="18"/>
                      <w:szCs w:val="18"/>
                    </w:rPr>
                  </w:pPr>
                </w:p>
              </w:tc>
              <w:tc>
                <w:tcPr>
                  <w:tcW w:w="0" w:type="auto"/>
                  <w:vMerge w:val="continue"/>
                  <w:vAlign w:val="center"/>
                </w:tcPr>
                <w:p w14:paraId="6CF2E2D5">
                  <w:pPr>
                    <w:widowControl/>
                    <w:jc w:val="left"/>
                    <w:rPr>
                      <w:kern w:val="0"/>
                      <w:sz w:val="18"/>
                      <w:szCs w:val="18"/>
                    </w:rPr>
                  </w:pPr>
                </w:p>
              </w:tc>
            </w:tr>
            <w:tr w14:paraId="0F2228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vMerge w:val="continue"/>
                  <w:vAlign w:val="center"/>
                </w:tcPr>
                <w:p w14:paraId="1BADDBDE">
                  <w:pPr>
                    <w:widowControl/>
                    <w:jc w:val="left"/>
                    <w:rPr>
                      <w:kern w:val="0"/>
                      <w:sz w:val="18"/>
                      <w:szCs w:val="18"/>
                    </w:rPr>
                  </w:pPr>
                </w:p>
              </w:tc>
              <w:tc>
                <w:tcPr>
                  <w:tcW w:w="0" w:type="auto"/>
                  <w:vMerge w:val="continue"/>
                  <w:vAlign w:val="center"/>
                </w:tcPr>
                <w:p w14:paraId="77D88300">
                  <w:pPr>
                    <w:widowControl/>
                    <w:jc w:val="left"/>
                    <w:rPr>
                      <w:kern w:val="0"/>
                      <w:sz w:val="18"/>
                      <w:szCs w:val="18"/>
                    </w:rPr>
                  </w:pPr>
                </w:p>
              </w:tc>
              <w:tc>
                <w:tcPr>
                  <w:tcW w:w="0" w:type="auto"/>
                  <w:shd w:val="clear" w:color="auto" w:fill="auto"/>
                  <w:vAlign w:val="center"/>
                </w:tcPr>
                <w:p w14:paraId="48268F69">
                  <w:pPr>
                    <w:widowControl/>
                    <w:jc w:val="center"/>
                    <w:rPr>
                      <w:kern w:val="0"/>
                      <w:sz w:val="18"/>
                      <w:szCs w:val="18"/>
                    </w:rPr>
                  </w:pPr>
                  <w:r>
                    <w:rPr>
                      <w:kern w:val="0"/>
                      <w:sz w:val="18"/>
                      <w:szCs w:val="18"/>
                    </w:rPr>
                    <w:t>动植物油</w:t>
                  </w:r>
                </w:p>
              </w:tc>
              <w:tc>
                <w:tcPr>
                  <w:tcW w:w="0" w:type="auto"/>
                  <w:vMerge w:val="continue"/>
                  <w:vAlign w:val="center"/>
                </w:tcPr>
                <w:p w14:paraId="0A588517">
                  <w:pPr>
                    <w:widowControl/>
                    <w:jc w:val="left"/>
                    <w:rPr>
                      <w:kern w:val="0"/>
                      <w:sz w:val="18"/>
                      <w:szCs w:val="18"/>
                    </w:rPr>
                  </w:pPr>
                </w:p>
              </w:tc>
              <w:tc>
                <w:tcPr>
                  <w:tcW w:w="961" w:type="dxa"/>
                  <w:vMerge w:val="continue"/>
                  <w:vAlign w:val="center"/>
                </w:tcPr>
                <w:p w14:paraId="00F683F3">
                  <w:pPr>
                    <w:widowControl/>
                    <w:jc w:val="left"/>
                    <w:rPr>
                      <w:kern w:val="0"/>
                      <w:sz w:val="18"/>
                      <w:szCs w:val="18"/>
                    </w:rPr>
                  </w:pPr>
                </w:p>
              </w:tc>
              <w:tc>
                <w:tcPr>
                  <w:tcW w:w="906" w:type="dxa"/>
                  <w:vMerge w:val="continue"/>
                  <w:vAlign w:val="center"/>
                </w:tcPr>
                <w:p w14:paraId="0C30A46C">
                  <w:pPr>
                    <w:widowControl/>
                    <w:jc w:val="left"/>
                    <w:rPr>
                      <w:kern w:val="0"/>
                      <w:sz w:val="18"/>
                      <w:szCs w:val="18"/>
                    </w:rPr>
                  </w:pPr>
                </w:p>
              </w:tc>
              <w:tc>
                <w:tcPr>
                  <w:tcW w:w="863" w:type="dxa"/>
                  <w:vMerge w:val="continue"/>
                  <w:vAlign w:val="center"/>
                </w:tcPr>
                <w:p w14:paraId="41207DFB">
                  <w:pPr>
                    <w:widowControl/>
                    <w:jc w:val="left"/>
                    <w:rPr>
                      <w:kern w:val="0"/>
                      <w:sz w:val="18"/>
                      <w:szCs w:val="18"/>
                    </w:rPr>
                  </w:pPr>
                </w:p>
              </w:tc>
              <w:tc>
                <w:tcPr>
                  <w:tcW w:w="1134" w:type="dxa"/>
                  <w:vMerge w:val="continue"/>
                  <w:vAlign w:val="center"/>
                </w:tcPr>
                <w:p w14:paraId="168DD4C0">
                  <w:pPr>
                    <w:widowControl/>
                    <w:jc w:val="left"/>
                    <w:rPr>
                      <w:kern w:val="0"/>
                      <w:sz w:val="18"/>
                      <w:szCs w:val="18"/>
                    </w:rPr>
                  </w:pPr>
                </w:p>
              </w:tc>
              <w:tc>
                <w:tcPr>
                  <w:tcW w:w="567" w:type="dxa"/>
                  <w:vMerge w:val="continue"/>
                  <w:vAlign w:val="center"/>
                </w:tcPr>
                <w:p w14:paraId="5A277B5A">
                  <w:pPr>
                    <w:widowControl/>
                    <w:jc w:val="left"/>
                    <w:rPr>
                      <w:kern w:val="0"/>
                      <w:sz w:val="18"/>
                      <w:szCs w:val="18"/>
                    </w:rPr>
                  </w:pPr>
                </w:p>
              </w:tc>
              <w:tc>
                <w:tcPr>
                  <w:tcW w:w="1101" w:type="dxa"/>
                  <w:vMerge w:val="continue"/>
                  <w:vAlign w:val="center"/>
                </w:tcPr>
                <w:p w14:paraId="37B40EFA">
                  <w:pPr>
                    <w:widowControl/>
                    <w:jc w:val="left"/>
                    <w:rPr>
                      <w:kern w:val="0"/>
                      <w:sz w:val="18"/>
                      <w:szCs w:val="18"/>
                    </w:rPr>
                  </w:pPr>
                </w:p>
              </w:tc>
              <w:tc>
                <w:tcPr>
                  <w:tcW w:w="0" w:type="auto"/>
                  <w:vMerge w:val="continue"/>
                  <w:vAlign w:val="center"/>
                </w:tcPr>
                <w:p w14:paraId="11AF5A26">
                  <w:pPr>
                    <w:widowControl/>
                    <w:jc w:val="left"/>
                    <w:rPr>
                      <w:kern w:val="0"/>
                      <w:sz w:val="18"/>
                      <w:szCs w:val="18"/>
                    </w:rPr>
                  </w:pPr>
                </w:p>
              </w:tc>
            </w:tr>
            <w:tr w14:paraId="0AC00D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0" w:hRule="atLeast"/>
              </w:trPr>
              <w:tc>
                <w:tcPr>
                  <w:tcW w:w="0" w:type="auto"/>
                  <w:vMerge w:val="continue"/>
                  <w:vAlign w:val="center"/>
                </w:tcPr>
                <w:p w14:paraId="2C7ED8D3">
                  <w:pPr>
                    <w:widowControl/>
                    <w:jc w:val="left"/>
                    <w:rPr>
                      <w:kern w:val="0"/>
                      <w:sz w:val="18"/>
                      <w:szCs w:val="18"/>
                    </w:rPr>
                  </w:pPr>
                </w:p>
              </w:tc>
              <w:tc>
                <w:tcPr>
                  <w:tcW w:w="0" w:type="auto"/>
                  <w:vMerge w:val="continue"/>
                  <w:vAlign w:val="center"/>
                </w:tcPr>
                <w:p w14:paraId="1950F30B">
                  <w:pPr>
                    <w:widowControl/>
                    <w:jc w:val="left"/>
                    <w:rPr>
                      <w:kern w:val="0"/>
                      <w:sz w:val="18"/>
                      <w:szCs w:val="18"/>
                    </w:rPr>
                  </w:pPr>
                </w:p>
              </w:tc>
              <w:tc>
                <w:tcPr>
                  <w:tcW w:w="0" w:type="auto"/>
                  <w:shd w:val="clear" w:color="auto" w:fill="auto"/>
                  <w:vAlign w:val="center"/>
                </w:tcPr>
                <w:p w14:paraId="51889F0C">
                  <w:pPr>
                    <w:widowControl/>
                    <w:jc w:val="center"/>
                    <w:rPr>
                      <w:kern w:val="0"/>
                      <w:sz w:val="18"/>
                      <w:szCs w:val="18"/>
                    </w:rPr>
                  </w:pPr>
                  <w:r>
                    <w:rPr>
                      <w:kern w:val="0"/>
                      <w:sz w:val="18"/>
                      <w:szCs w:val="18"/>
                    </w:rPr>
                    <w:t>总锑</w:t>
                  </w:r>
                </w:p>
              </w:tc>
              <w:tc>
                <w:tcPr>
                  <w:tcW w:w="0" w:type="auto"/>
                  <w:vMerge w:val="continue"/>
                  <w:vAlign w:val="center"/>
                </w:tcPr>
                <w:p w14:paraId="014A7617">
                  <w:pPr>
                    <w:widowControl/>
                    <w:jc w:val="left"/>
                    <w:rPr>
                      <w:kern w:val="0"/>
                      <w:sz w:val="18"/>
                      <w:szCs w:val="18"/>
                    </w:rPr>
                  </w:pPr>
                </w:p>
              </w:tc>
              <w:tc>
                <w:tcPr>
                  <w:tcW w:w="961" w:type="dxa"/>
                  <w:vMerge w:val="continue"/>
                  <w:vAlign w:val="center"/>
                </w:tcPr>
                <w:p w14:paraId="20A104F5">
                  <w:pPr>
                    <w:widowControl/>
                    <w:jc w:val="left"/>
                    <w:rPr>
                      <w:kern w:val="0"/>
                      <w:sz w:val="18"/>
                      <w:szCs w:val="18"/>
                    </w:rPr>
                  </w:pPr>
                </w:p>
              </w:tc>
              <w:tc>
                <w:tcPr>
                  <w:tcW w:w="906" w:type="dxa"/>
                  <w:vMerge w:val="continue"/>
                  <w:vAlign w:val="center"/>
                </w:tcPr>
                <w:p w14:paraId="5C47F21C">
                  <w:pPr>
                    <w:widowControl/>
                    <w:jc w:val="left"/>
                    <w:rPr>
                      <w:kern w:val="0"/>
                      <w:sz w:val="18"/>
                      <w:szCs w:val="18"/>
                    </w:rPr>
                  </w:pPr>
                </w:p>
              </w:tc>
              <w:tc>
                <w:tcPr>
                  <w:tcW w:w="863" w:type="dxa"/>
                  <w:vMerge w:val="continue"/>
                  <w:vAlign w:val="center"/>
                </w:tcPr>
                <w:p w14:paraId="4F200FF9">
                  <w:pPr>
                    <w:widowControl/>
                    <w:jc w:val="left"/>
                    <w:rPr>
                      <w:kern w:val="0"/>
                      <w:sz w:val="18"/>
                      <w:szCs w:val="18"/>
                    </w:rPr>
                  </w:pPr>
                </w:p>
              </w:tc>
              <w:tc>
                <w:tcPr>
                  <w:tcW w:w="1134" w:type="dxa"/>
                  <w:vMerge w:val="continue"/>
                  <w:vAlign w:val="center"/>
                </w:tcPr>
                <w:p w14:paraId="1C11A5EA">
                  <w:pPr>
                    <w:widowControl/>
                    <w:jc w:val="left"/>
                    <w:rPr>
                      <w:kern w:val="0"/>
                      <w:sz w:val="18"/>
                      <w:szCs w:val="18"/>
                    </w:rPr>
                  </w:pPr>
                </w:p>
              </w:tc>
              <w:tc>
                <w:tcPr>
                  <w:tcW w:w="567" w:type="dxa"/>
                  <w:vMerge w:val="continue"/>
                  <w:vAlign w:val="center"/>
                </w:tcPr>
                <w:p w14:paraId="6C16CF68">
                  <w:pPr>
                    <w:widowControl/>
                    <w:jc w:val="left"/>
                    <w:rPr>
                      <w:kern w:val="0"/>
                      <w:sz w:val="18"/>
                      <w:szCs w:val="18"/>
                    </w:rPr>
                  </w:pPr>
                </w:p>
              </w:tc>
              <w:tc>
                <w:tcPr>
                  <w:tcW w:w="1101" w:type="dxa"/>
                  <w:vMerge w:val="continue"/>
                  <w:vAlign w:val="center"/>
                </w:tcPr>
                <w:p w14:paraId="421FBAF9">
                  <w:pPr>
                    <w:widowControl/>
                    <w:jc w:val="left"/>
                    <w:rPr>
                      <w:kern w:val="0"/>
                      <w:sz w:val="18"/>
                      <w:szCs w:val="18"/>
                    </w:rPr>
                  </w:pPr>
                </w:p>
              </w:tc>
              <w:tc>
                <w:tcPr>
                  <w:tcW w:w="0" w:type="auto"/>
                  <w:vMerge w:val="continue"/>
                  <w:vAlign w:val="center"/>
                </w:tcPr>
                <w:p w14:paraId="5654B567">
                  <w:pPr>
                    <w:widowControl/>
                    <w:jc w:val="left"/>
                    <w:rPr>
                      <w:kern w:val="0"/>
                      <w:sz w:val="18"/>
                      <w:szCs w:val="18"/>
                    </w:rPr>
                  </w:pPr>
                </w:p>
              </w:tc>
            </w:tr>
          </w:tbl>
          <w:p w14:paraId="04C6729C">
            <w:pPr>
              <w:spacing w:line="500" w:lineRule="exact"/>
              <w:contextualSpacing/>
              <w:jc w:val="center"/>
              <w:rPr>
                <w:b/>
                <w:bCs/>
                <w:sz w:val="24"/>
              </w:rPr>
            </w:pPr>
            <w:r>
              <w:rPr>
                <w:b/>
                <w:bCs/>
                <w:sz w:val="24"/>
              </w:rPr>
              <w:t>表4-10  废水间接排放口基本情况表</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2"/>
              <w:gridCol w:w="786"/>
              <w:gridCol w:w="1258"/>
              <w:gridCol w:w="1168"/>
              <w:gridCol w:w="711"/>
              <w:gridCol w:w="576"/>
              <w:gridCol w:w="576"/>
              <w:gridCol w:w="554"/>
              <w:gridCol w:w="576"/>
              <w:gridCol w:w="1084"/>
              <w:gridCol w:w="868"/>
            </w:tblGrid>
            <w:tr w14:paraId="3B6D1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75" w:type="pct"/>
                  <w:vMerge w:val="restart"/>
                  <w:shd w:val="clear" w:color="auto" w:fill="auto"/>
                  <w:vAlign w:val="center"/>
                </w:tcPr>
                <w:p w14:paraId="4C27766E">
                  <w:pPr>
                    <w:widowControl/>
                    <w:jc w:val="center"/>
                    <w:rPr>
                      <w:b/>
                      <w:bCs/>
                      <w:kern w:val="0"/>
                      <w:sz w:val="18"/>
                      <w:szCs w:val="18"/>
                    </w:rPr>
                  </w:pPr>
                  <w:r>
                    <w:rPr>
                      <w:b/>
                      <w:bCs/>
                      <w:kern w:val="0"/>
                      <w:sz w:val="18"/>
                      <w:szCs w:val="18"/>
                    </w:rPr>
                    <w:t>序号</w:t>
                  </w:r>
                </w:p>
              </w:tc>
              <w:tc>
                <w:tcPr>
                  <w:tcW w:w="456" w:type="pct"/>
                  <w:vMerge w:val="restart"/>
                  <w:shd w:val="clear" w:color="auto" w:fill="auto"/>
                  <w:vAlign w:val="center"/>
                </w:tcPr>
                <w:p w14:paraId="20F736CD">
                  <w:pPr>
                    <w:widowControl/>
                    <w:jc w:val="center"/>
                    <w:rPr>
                      <w:b/>
                      <w:bCs/>
                      <w:kern w:val="0"/>
                      <w:sz w:val="18"/>
                      <w:szCs w:val="18"/>
                    </w:rPr>
                  </w:pPr>
                  <w:r>
                    <w:rPr>
                      <w:b/>
                      <w:bCs/>
                      <w:kern w:val="0"/>
                      <w:sz w:val="18"/>
                      <w:szCs w:val="18"/>
                    </w:rPr>
                    <w:t>排放编号</w:t>
                  </w:r>
                </w:p>
              </w:tc>
              <w:tc>
                <w:tcPr>
                  <w:tcW w:w="882" w:type="pct"/>
                  <w:gridSpan w:val="2"/>
                  <w:shd w:val="clear" w:color="auto" w:fill="auto"/>
                  <w:vAlign w:val="center"/>
                </w:tcPr>
                <w:p w14:paraId="46FE0BF9">
                  <w:pPr>
                    <w:widowControl/>
                    <w:jc w:val="center"/>
                    <w:rPr>
                      <w:b/>
                      <w:bCs/>
                      <w:kern w:val="0"/>
                      <w:sz w:val="18"/>
                      <w:szCs w:val="18"/>
                    </w:rPr>
                  </w:pPr>
                  <w:r>
                    <w:rPr>
                      <w:b/>
                      <w:bCs/>
                      <w:kern w:val="0"/>
                      <w:sz w:val="18"/>
                      <w:szCs w:val="18"/>
                    </w:rPr>
                    <w:t>排放口位置</w:t>
                  </w:r>
                </w:p>
              </w:tc>
              <w:tc>
                <w:tcPr>
                  <w:tcW w:w="412" w:type="pct"/>
                  <w:vMerge w:val="restart"/>
                  <w:shd w:val="clear" w:color="auto" w:fill="auto"/>
                  <w:vAlign w:val="center"/>
                </w:tcPr>
                <w:p w14:paraId="1B1E1D76">
                  <w:pPr>
                    <w:widowControl/>
                    <w:jc w:val="center"/>
                    <w:rPr>
                      <w:b/>
                      <w:bCs/>
                      <w:kern w:val="0"/>
                      <w:sz w:val="18"/>
                      <w:szCs w:val="18"/>
                    </w:rPr>
                  </w:pPr>
                  <w:r>
                    <w:rPr>
                      <w:b/>
                      <w:bCs/>
                      <w:kern w:val="0"/>
                      <w:sz w:val="18"/>
                      <w:szCs w:val="18"/>
                    </w:rPr>
                    <w:t>废水排放量（万吨/年）</w:t>
                  </w:r>
                </w:p>
              </w:tc>
              <w:tc>
                <w:tcPr>
                  <w:tcW w:w="437" w:type="pct"/>
                  <w:vMerge w:val="restart"/>
                  <w:shd w:val="clear" w:color="auto" w:fill="auto"/>
                  <w:vAlign w:val="center"/>
                </w:tcPr>
                <w:p w14:paraId="6D5CEEB6">
                  <w:pPr>
                    <w:widowControl/>
                    <w:jc w:val="center"/>
                    <w:rPr>
                      <w:b/>
                      <w:bCs/>
                      <w:kern w:val="0"/>
                      <w:sz w:val="18"/>
                      <w:szCs w:val="18"/>
                    </w:rPr>
                  </w:pPr>
                  <w:r>
                    <w:rPr>
                      <w:b/>
                      <w:bCs/>
                      <w:kern w:val="0"/>
                      <w:sz w:val="18"/>
                      <w:szCs w:val="18"/>
                    </w:rPr>
                    <w:t>排放去向</w:t>
                  </w:r>
                </w:p>
              </w:tc>
              <w:tc>
                <w:tcPr>
                  <w:tcW w:w="411" w:type="pct"/>
                  <w:vMerge w:val="restart"/>
                  <w:shd w:val="clear" w:color="auto" w:fill="auto"/>
                  <w:vAlign w:val="center"/>
                </w:tcPr>
                <w:p w14:paraId="213EBAD3">
                  <w:pPr>
                    <w:widowControl/>
                    <w:jc w:val="center"/>
                    <w:rPr>
                      <w:b/>
                      <w:bCs/>
                      <w:kern w:val="0"/>
                      <w:sz w:val="18"/>
                      <w:szCs w:val="18"/>
                    </w:rPr>
                  </w:pPr>
                  <w:r>
                    <w:rPr>
                      <w:b/>
                      <w:bCs/>
                      <w:kern w:val="0"/>
                      <w:sz w:val="18"/>
                      <w:szCs w:val="18"/>
                    </w:rPr>
                    <w:t>排放规律</w:t>
                  </w:r>
                </w:p>
              </w:tc>
              <w:tc>
                <w:tcPr>
                  <w:tcW w:w="459" w:type="pct"/>
                  <w:vMerge w:val="restart"/>
                  <w:shd w:val="clear" w:color="auto" w:fill="auto"/>
                  <w:vAlign w:val="center"/>
                </w:tcPr>
                <w:p w14:paraId="7E91EA1E">
                  <w:pPr>
                    <w:widowControl/>
                    <w:jc w:val="center"/>
                    <w:rPr>
                      <w:b/>
                      <w:bCs/>
                      <w:kern w:val="0"/>
                      <w:sz w:val="18"/>
                      <w:szCs w:val="18"/>
                    </w:rPr>
                  </w:pPr>
                  <w:r>
                    <w:rPr>
                      <w:b/>
                      <w:bCs/>
                      <w:kern w:val="0"/>
                      <w:sz w:val="18"/>
                      <w:szCs w:val="18"/>
                    </w:rPr>
                    <w:t>间歇排放时间段</w:t>
                  </w:r>
                </w:p>
              </w:tc>
              <w:tc>
                <w:tcPr>
                  <w:tcW w:w="1568" w:type="pct"/>
                  <w:gridSpan w:val="3"/>
                  <w:shd w:val="clear" w:color="auto" w:fill="auto"/>
                  <w:vAlign w:val="center"/>
                </w:tcPr>
                <w:p w14:paraId="3ECF8D51">
                  <w:pPr>
                    <w:widowControl/>
                    <w:jc w:val="center"/>
                    <w:rPr>
                      <w:b/>
                      <w:bCs/>
                      <w:kern w:val="0"/>
                      <w:sz w:val="18"/>
                      <w:szCs w:val="18"/>
                    </w:rPr>
                  </w:pPr>
                  <w:r>
                    <w:rPr>
                      <w:b/>
                      <w:bCs/>
                      <w:kern w:val="0"/>
                      <w:sz w:val="18"/>
                      <w:szCs w:val="18"/>
                    </w:rPr>
                    <w:t>受纳污水厂信息</w:t>
                  </w:r>
                </w:p>
              </w:tc>
            </w:tr>
            <w:tr w14:paraId="40122C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375" w:type="pct"/>
                  <w:vMerge w:val="continue"/>
                  <w:vAlign w:val="center"/>
                </w:tcPr>
                <w:p w14:paraId="64524835">
                  <w:pPr>
                    <w:widowControl/>
                    <w:jc w:val="left"/>
                    <w:rPr>
                      <w:b/>
                      <w:bCs/>
                      <w:kern w:val="0"/>
                      <w:sz w:val="18"/>
                      <w:szCs w:val="18"/>
                    </w:rPr>
                  </w:pPr>
                </w:p>
              </w:tc>
              <w:tc>
                <w:tcPr>
                  <w:tcW w:w="456" w:type="pct"/>
                  <w:vMerge w:val="continue"/>
                  <w:vAlign w:val="center"/>
                </w:tcPr>
                <w:p w14:paraId="43A8F5F1">
                  <w:pPr>
                    <w:widowControl/>
                    <w:jc w:val="left"/>
                    <w:rPr>
                      <w:b/>
                      <w:bCs/>
                      <w:kern w:val="0"/>
                      <w:sz w:val="18"/>
                      <w:szCs w:val="18"/>
                    </w:rPr>
                  </w:pPr>
                </w:p>
              </w:tc>
              <w:tc>
                <w:tcPr>
                  <w:tcW w:w="428" w:type="pct"/>
                  <w:shd w:val="clear" w:color="auto" w:fill="auto"/>
                  <w:vAlign w:val="center"/>
                </w:tcPr>
                <w:p w14:paraId="43EFEC7A">
                  <w:pPr>
                    <w:widowControl/>
                    <w:jc w:val="center"/>
                    <w:rPr>
                      <w:b/>
                      <w:bCs/>
                      <w:kern w:val="0"/>
                      <w:sz w:val="18"/>
                      <w:szCs w:val="18"/>
                    </w:rPr>
                  </w:pPr>
                  <w:r>
                    <w:rPr>
                      <w:b/>
                      <w:bCs/>
                      <w:kern w:val="0"/>
                      <w:sz w:val="18"/>
                      <w:szCs w:val="18"/>
                    </w:rPr>
                    <w:t>经度</w:t>
                  </w:r>
                </w:p>
              </w:tc>
              <w:tc>
                <w:tcPr>
                  <w:tcW w:w="454" w:type="pct"/>
                  <w:shd w:val="clear" w:color="auto" w:fill="auto"/>
                  <w:vAlign w:val="center"/>
                </w:tcPr>
                <w:p w14:paraId="664FDA90">
                  <w:pPr>
                    <w:widowControl/>
                    <w:jc w:val="center"/>
                    <w:rPr>
                      <w:b/>
                      <w:bCs/>
                      <w:kern w:val="0"/>
                      <w:sz w:val="18"/>
                      <w:szCs w:val="18"/>
                    </w:rPr>
                  </w:pPr>
                  <w:r>
                    <w:rPr>
                      <w:b/>
                      <w:bCs/>
                      <w:kern w:val="0"/>
                      <w:sz w:val="18"/>
                      <w:szCs w:val="18"/>
                    </w:rPr>
                    <w:t>纬度</w:t>
                  </w:r>
                </w:p>
              </w:tc>
              <w:tc>
                <w:tcPr>
                  <w:tcW w:w="412" w:type="pct"/>
                  <w:vMerge w:val="continue"/>
                  <w:vAlign w:val="center"/>
                </w:tcPr>
                <w:p w14:paraId="2080A2C7">
                  <w:pPr>
                    <w:widowControl/>
                    <w:jc w:val="left"/>
                    <w:rPr>
                      <w:b/>
                      <w:bCs/>
                      <w:kern w:val="0"/>
                      <w:sz w:val="18"/>
                      <w:szCs w:val="18"/>
                    </w:rPr>
                  </w:pPr>
                </w:p>
              </w:tc>
              <w:tc>
                <w:tcPr>
                  <w:tcW w:w="437" w:type="pct"/>
                  <w:vMerge w:val="continue"/>
                  <w:vAlign w:val="center"/>
                </w:tcPr>
                <w:p w14:paraId="01F16551">
                  <w:pPr>
                    <w:widowControl/>
                    <w:jc w:val="left"/>
                    <w:rPr>
                      <w:b/>
                      <w:bCs/>
                      <w:kern w:val="0"/>
                      <w:sz w:val="18"/>
                      <w:szCs w:val="18"/>
                    </w:rPr>
                  </w:pPr>
                </w:p>
              </w:tc>
              <w:tc>
                <w:tcPr>
                  <w:tcW w:w="411" w:type="pct"/>
                  <w:vMerge w:val="continue"/>
                  <w:vAlign w:val="center"/>
                </w:tcPr>
                <w:p w14:paraId="24C890AC">
                  <w:pPr>
                    <w:widowControl/>
                    <w:jc w:val="left"/>
                    <w:rPr>
                      <w:b/>
                      <w:bCs/>
                      <w:kern w:val="0"/>
                      <w:sz w:val="18"/>
                      <w:szCs w:val="18"/>
                    </w:rPr>
                  </w:pPr>
                </w:p>
              </w:tc>
              <w:tc>
                <w:tcPr>
                  <w:tcW w:w="459" w:type="pct"/>
                  <w:vMerge w:val="continue"/>
                  <w:vAlign w:val="center"/>
                </w:tcPr>
                <w:p w14:paraId="3D62CB76">
                  <w:pPr>
                    <w:widowControl/>
                    <w:jc w:val="left"/>
                    <w:rPr>
                      <w:b/>
                      <w:bCs/>
                      <w:kern w:val="0"/>
                      <w:sz w:val="18"/>
                      <w:szCs w:val="18"/>
                    </w:rPr>
                  </w:pPr>
                </w:p>
              </w:tc>
              <w:tc>
                <w:tcPr>
                  <w:tcW w:w="334" w:type="pct"/>
                  <w:shd w:val="clear" w:color="auto" w:fill="auto"/>
                  <w:vAlign w:val="center"/>
                </w:tcPr>
                <w:p w14:paraId="12244875">
                  <w:pPr>
                    <w:widowControl/>
                    <w:jc w:val="center"/>
                    <w:rPr>
                      <w:b/>
                      <w:bCs/>
                      <w:kern w:val="0"/>
                      <w:sz w:val="18"/>
                      <w:szCs w:val="18"/>
                    </w:rPr>
                  </w:pPr>
                  <w:r>
                    <w:rPr>
                      <w:b/>
                      <w:bCs/>
                      <w:kern w:val="0"/>
                      <w:sz w:val="18"/>
                      <w:szCs w:val="18"/>
                    </w:rPr>
                    <w:t>名称</w:t>
                  </w:r>
                </w:p>
              </w:tc>
              <w:tc>
                <w:tcPr>
                  <w:tcW w:w="731" w:type="pct"/>
                  <w:shd w:val="clear" w:color="auto" w:fill="auto"/>
                  <w:vAlign w:val="center"/>
                </w:tcPr>
                <w:p w14:paraId="14FC7B23">
                  <w:pPr>
                    <w:widowControl/>
                    <w:jc w:val="center"/>
                    <w:rPr>
                      <w:b/>
                      <w:bCs/>
                      <w:kern w:val="0"/>
                      <w:sz w:val="18"/>
                      <w:szCs w:val="18"/>
                    </w:rPr>
                  </w:pPr>
                  <w:r>
                    <w:rPr>
                      <w:b/>
                      <w:bCs/>
                      <w:kern w:val="0"/>
                      <w:sz w:val="18"/>
                      <w:szCs w:val="18"/>
                    </w:rPr>
                    <w:t>污染物种类</w:t>
                  </w:r>
                </w:p>
              </w:tc>
              <w:tc>
                <w:tcPr>
                  <w:tcW w:w="503" w:type="pct"/>
                  <w:shd w:val="clear" w:color="auto" w:fill="auto"/>
                  <w:vAlign w:val="center"/>
                </w:tcPr>
                <w:p w14:paraId="350C9DE5">
                  <w:pPr>
                    <w:widowControl/>
                    <w:jc w:val="center"/>
                    <w:rPr>
                      <w:b/>
                      <w:bCs/>
                      <w:kern w:val="0"/>
                      <w:sz w:val="18"/>
                      <w:szCs w:val="18"/>
                    </w:rPr>
                  </w:pPr>
                  <w:r>
                    <w:rPr>
                      <w:b/>
                      <w:bCs/>
                      <w:kern w:val="0"/>
                      <w:sz w:val="18"/>
                      <w:szCs w:val="18"/>
                    </w:rPr>
                    <w:t>污水处理厂污染物排放标准浓度限值（mg/L)</w:t>
                  </w:r>
                </w:p>
              </w:tc>
            </w:tr>
            <w:tr w14:paraId="0D9106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375" w:type="pct"/>
                  <w:vMerge w:val="restart"/>
                  <w:shd w:val="clear" w:color="auto" w:fill="auto"/>
                  <w:vAlign w:val="center"/>
                </w:tcPr>
                <w:p w14:paraId="14351629">
                  <w:pPr>
                    <w:widowControl/>
                    <w:jc w:val="center"/>
                    <w:rPr>
                      <w:kern w:val="0"/>
                      <w:sz w:val="18"/>
                      <w:szCs w:val="18"/>
                    </w:rPr>
                  </w:pPr>
                  <w:r>
                    <w:rPr>
                      <w:kern w:val="0"/>
                      <w:sz w:val="18"/>
                      <w:szCs w:val="18"/>
                    </w:rPr>
                    <w:t>1</w:t>
                  </w:r>
                </w:p>
              </w:tc>
              <w:tc>
                <w:tcPr>
                  <w:tcW w:w="456" w:type="pct"/>
                  <w:vMerge w:val="restart"/>
                  <w:shd w:val="clear" w:color="auto" w:fill="auto"/>
                  <w:vAlign w:val="center"/>
                </w:tcPr>
                <w:p w14:paraId="539FE0A2">
                  <w:pPr>
                    <w:widowControl/>
                    <w:jc w:val="center"/>
                    <w:rPr>
                      <w:kern w:val="0"/>
                      <w:sz w:val="18"/>
                      <w:szCs w:val="18"/>
                    </w:rPr>
                  </w:pPr>
                  <w:r>
                    <w:rPr>
                      <w:kern w:val="0"/>
                      <w:sz w:val="18"/>
                      <w:szCs w:val="18"/>
                    </w:rPr>
                    <w:t>DW001</w:t>
                  </w:r>
                </w:p>
              </w:tc>
              <w:tc>
                <w:tcPr>
                  <w:tcW w:w="428" w:type="pct"/>
                  <w:vMerge w:val="restart"/>
                  <w:shd w:val="clear" w:color="auto" w:fill="auto"/>
                  <w:vAlign w:val="center"/>
                </w:tcPr>
                <w:p w14:paraId="37799A77">
                  <w:pPr>
                    <w:widowControl/>
                    <w:jc w:val="center"/>
                    <w:rPr>
                      <w:kern w:val="0"/>
                      <w:sz w:val="18"/>
                      <w:szCs w:val="18"/>
                    </w:rPr>
                  </w:pPr>
                  <w:r>
                    <w:rPr>
                      <w:kern w:val="0"/>
                      <w:sz w:val="18"/>
                      <w:szCs w:val="18"/>
                    </w:rPr>
                    <w:t>118°38′16.22″</w:t>
                  </w:r>
                </w:p>
              </w:tc>
              <w:tc>
                <w:tcPr>
                  <w:tcW w:w="454" w:type="pct"/>
                  <w:vMerge w:val="restart"/>
                  <w:shd w:val="clear" w:color="auto" w:fill="auto"/>
                  <w:vAlign w:val="center"/>
                </w:tcPr>
                <w:p w14:paraId="4F27AB7C">
                  <w:pPr>
                    <w:widowControl/>
                    <w:jc w:val="center"/>
                    <w:rPr>
                      <w:kern w:val="0"/>
                      <w:sz w:val="18"/>
                      <w:szCs w:val="18"/>
                    </w:rPr>
                  </w:pPr>
                  <w:r>
                    <w:rPr>
                      <w:kern w:val="0"/>
                      <w:sz w:val="18"/>
                      <w:szCs w:val="18"/>
                    </w:rPr>
                    <w:t>33°41′10.25″</w:t>
                  </w:r>
                </w:p>
              </w:tc>
              <w:tc>
                <w:tcPr>
                  <w:tcW w:w="412" w:type="pct"/>
                  <w:vMerge w:val="restart"/>
                  <w:shd w:val="clear" w:color="auto" w:fill="auto"/>
                  <w:vAlign w:val="center"/>
                </w:tcPr>
                <w:p w14:paraId="3FEA8F3C">
                  <w:pPr>
                    <w:widowControl/>
                    <w:jc w:val="center"/>
                    <w:rPr>
                      <w:kern w:val="0"/>
                      <w:sz w:val="18"/>
                      <w:szCs w:val="18"/>
                    </w:rPr>
                  </w:pPr>
                  <w:r>
                    <w:rPr>
                      <w:kern w:val="0"/>
                      <w:sz w:val="18"/>
                      <w:szCs w:val="18"/>
                    </w:rPr>
                    <w:t>7.2885</w:t>
                  </w:r>
                </w:p>
              </w:tc>
              <w:tc>
                <w:tcPr>
                  <w:tcW w:w="437" w:type="pct"/>
                  <w:vMerge w:val="restart"/>
                  <w:shd w:val="clear" w:color="auto" w:fill="auto"/>
                  <w:vAlign w:val="center"/>
                </w:tcPr>
                <w:p w14:paraId="2485CCD0">
                  <w:pPr>
                    <w:widowControl/>
                    <w:jc w:val="center"/>
                    <w:rPr>
                      <w:kern w:val="0"/>
                      <w:sz w:val="18"/>
                      <w:szCs w:val="18"/>
                    </w:rPr>
                  </w:pPr>
                  <w:r>
                    <w:rPr>
                      <w:kern w:val="0"/>
                      <w:sz w:val="18"/>
                      <w:szCs w:val="18"/>
                    </w:rPr>
                    <w:t>泗阳高新区污水处理厂（一期）</w:t>
                  </w:r>
                </w:p>
              </w:tc>
              <w:tc>
                <w:tcPr>
                  <w:tcW w:w="411" w:type="pct"/>
                  <w:vMerge w:val="restart"/>
                  <w:shd w:val="clear" w:color="auto" w:fill="auto"/>
                  <w:vAlign w:val="center"/>
                </w:tcPr>
                <w:p w14:paraId="3C0EFD23">
                  <w:pPr>
                    <w:widowControl/>
                    <w:jc w:val="center"/>
                    <w:rPr>
                      <w:kern w:val="0"/>
                      <w:sz w:val="18"/>
                      <w:szCs w:val="18"/>
                    </w:rPr>
                  </w:pPr>
                  <w:r>
                    <w:rPr>
                      <w:kern w:val="0"/>
                      <w:sz w:val="18"/>
                      <w:szCs w:val="18"/>
                    </w:rPr>
                    <w:t>间断排放，排放期间流量不稳定，但有周期性规律</w:t>
                  </w:r>
                </w:p>
              </w:tc>
              <w:tc>
                <w:tcPr>
                  <w:tcW w:w="459" w:type="pct"/>
                  <w:vMerge w:val="restart"/>
                  <w:shd w:val="clear" w:color="auto" w:fill="auto"/>
                  <w:vAlign w:val="center"/>
                </w:tcPr>
                <w:p w14:paraId="2611FCAF">
                  <w:pPr>
                    <w:widowControl/>
                    <w:jc w:val="center"/>
                    <w:rPr>
                      <w:kern w:val="0"/>
                      <w:sz w:val="18"/>
                      <w:szCs w:val="18"/>
                    </w:rPr>
                  </w:pPr>
                  <w:r>
                    <w:rPr>
                      <w:kern w:val="0"/>
                      <w:sz w:val="18"/>
                      <w:szCs w:val="18"/>
                    </w:rPr>
                    <w:t>不定时排放</w:t>
                  </w:r>
                </w:p>
              </w:tc>
              <w:tc>
                <w:tcPr>
                  <w:tcW w:w="334" w:type="pct"/>
                  <w:vMerge w:val="restart"/>
                  <w:shd w:val="clear" w:color="auto" w:fill="auto"/>
                  <w:vAlign w:val="center"/>
                </w:tcPr>
                <w:p w14:paraId="1B179EAB">
                  <w:pPr>
                    <w:widowControl/>
                    <w:jc w:val="center"/>
                    <w:rPr>
                      <w:kern w:val="0"/>
                      <w:sz w:val="18"/>
                      <w:szCs w:val="18"/>
                    </w:rPr>
                  </w:pPr>
                  <w:r>
                    <w:rPr>
                      <w:kern w:val="0"/>
                      <w:sz w:val="18"/>
                      <w:szCs w:val="18"/>
                    </w:rPr>
                    <w:t>泗阳高新区污水处理厂（一期）</w:t>
                  </w:r>
                </w:p>
              </w:tc>
              <w:tc>
                <w:tcPr>
                  <w:tcW w:w="731" w:type="pct"/>
                  <w:shd w:val="clear" w:color="auto" w:fill="auto"/>
                  <w:vAlign w:val="center"/>
                </w:tcPr>
                <w:p w14:paraId="742EB878">
                  <w:pPr>
                    <w:widowControl/>
                    <w:jc w:val="center"/>
                    <w:rPr>
                      <w:kern w:val="0"/>
                      <w:sz w:val="18"/>
                      <w:szCs w:val="18"/>
                    </w:rPr>
                  </w:pPr>
                  <w:r>
                    <w:rPr>
                      <w:kern w:val="0"/>
                      <w:sz w:val="18"/>
                      <w:szCs w:val="18"/>
                    </w:rPr>
                    <w:t>悬浮物</w:t>
                  </w:r>
                </w:p>
              </w:tc>
              <w:tc>
                <w:tcPr>
                  <w:tcW w:w="503" w:type="pct"/>
                  <w:shd w:val="clear" w:color="auto" w:fill="auto"/>
                  <w:vAlign w:val="center"/>
                </w:tcPr>
                <w:p w14:paraId="3F67D632">
                  <w:pPr>
                    <w:widowControl/>
                    <w:jc w:val="center"/>
                    <w:rPr>
                      <w:kern w:val="0"/>
                      <w:sz w:val="18"/>
                      <w:szCs w:val="18"/>
                    </w:rPr>
                  </w:pPr>
                  <w:r>
                    <w:rPr>
                      <w:kern w:val="0"/>
                      <w:sz w:val="18"/>
                      <w:szCs w:val="18"/>
                    </w:rPr>
                    <w:t>10</w:t>
                  </w:r>
                </w:p>
              </w:tc>
            </w:tr>
            <w:tr w14:paraId="4713D3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5" w:type="pct"/>
                  <w:vMerge w:val="continue"/>
                  <w:vAlign w:val="center"/>
                </w:tcPr>
                <w:p w14:paraId="0FBB906C">
                  <w:pPr>
                    <w:widowControl/>
                    <w:jc w:val="left"/>
                    <w:rPr>
                      <w:kern w:val="0"/>
                      <w:sz w:val="18"/>
                      <w:szCs w:val="18"/>
                    </w:rPr>
                  </w:pPr>
                </w:p>
              </w:tc>
              <w:tc>
                <w:tcPr>
                  <w:tcW w:w="456" w:type="pct"/>
                  <w:vMerge w:val="continue"/>
                  <w:vAlign w:val="center"/>
                </w:tcPr>
                <w:p w14:paraId="29A02EF7">
                  <w:pPr>
                    <w:widowControl/>
                    <w:jc w:val="left"/>
                    <w:rPr>
                      <w:kern w:val="0"/>
                      <w:sz w:val="18"/>
                      <w:szCs w:val="18"/>
                    </w:rPr>
                  </w:pPr>
                </w:p>
              </w:tc>
              <w:tc>
                <w:tcPr>
                  <w:tcW w:w="428" w:type="pct"/>
                  <w:vMerge w:val="continue"/>
                  <w:vAlign w:val="center"/>
                </w:tcPr>
                <w:p w14:paraId="01368842">
                  <w:pPr>
                    <w:widowControl/>
                    <w:jc w:val="left"/>
                    <w:rPr>
                      <w:kern w:val="0"/>
                      <w:sz w:val="18"/>
                      <w:szCs w:val="18"/>
                    </w:rPr>
                  </w:pPr>
                </w:p>
              </w:tc>
              <w:tc>
                <w:tcPr>
                  <w:tcW w:w="454" w:type="pct"/>
                  <w:vMerge w:val="continue"/>
                  <w:vAlign w:val="center"/>
                </w:tcPr>
                <w:p w14:paraId="24160D3E">
                  <w:pPr>
                    <w:widowControl/>
                    <w:jc w:val="left"/>
                    <w:rPr>
                      <w:kern w:val="0"/>
                      <w:sz w:val="18"/>
                      <w:szCs w:val="18"/>
                    </w:rPr>
                  </w:pPr>
                </w:p>
              </w:tc>
              <w:tc>
                <w:tcPr>
                  <w:tcW w:w="412" w:type="pct"/>
                  <w:vMerge w:val="continue"/>
                  <w:vAlign w:val="center"/>
                </w:tcPr>
                <w:p w14:paraId="7D06BF04">
                  <w:pPr>
                    <w:widowControl/>
                    <w:jc w:val="left"/>
                    <w:rPr>
                      <w:kern w:val="0"/>
                      <w:sz w:val="18"/>
                      <w:szCs w:val="18"/>
                    </w:rPr>
                  </w:pPr>
                </w:p>
              </w:tc>
              <w:tc>
                <w:tcPr>
                  <w:tcW w:w="437" w:type="pct"/>
                  <w:vMerge w:val="continue"/>
                  <w:vAlign w:val="center"/>
                </w:tcPr>
                <w:p w14:paraId="06DAEA57">
                  <w:pPr>
                    <w:widowControl/>
                    <w:jc w:val="left"/>
                    <w:rPr>
                      <w:kern w:val="0"/>
                      <w:sz w:val="18"/>
                      <w:szCs w:val="18"/>
                    </w:rPr>
                  </w:pPr>
                </w:p>
              </w:tc>
              <w:tc>
                <w:tcPr>
                  <w:tcW w:w="411" w:type="pct"/>
                  <w:vMerge w:val="continue"/>
                  <w:vAlign w:val="center"/>
                </w:tcPr>
                <w:p w14:paraId="175CBA70">
                  <w:pPr>
                    <w:widowControl/>
                    <w:jc w:val="left"/>
                    <w:rPr>
                      <w:kern w:val="0"/>
                      <w:sz w:val="18"/>
                      <w:szCs w:val="18"/>
                    </w:rPr>
                  </w:pPr>
                </w:p>
              </w:tc>
              <w:tc>
                <w:tcPr>
                  <w:tcW w:w="459" w:type="pct"/>
                  <w:vMerge w:val="continue"/>
                  <w:vAlign w:val="center"/>
                </w:tcPr>
                <w:p w14:paraId="5B692251">
                  <w:pPr>
                    <w:widowControl/>
                    <w:jc w:val="left"/>
                    <w:rPr>
                      <w:kern w:val="0"/>
                      <w:sz w:val="18"/>
                      <w:szCs w:val="18"/>
                    </w:rPr>
                  </w:pPr>
                </w:p>
              </w:tc>
              <w:tc>
                <w:tcPr>
                  <w:tcW w:w="334" w:type="pct"/>
                  <w:vMerge w:val="continue"/>
                  <w:vAlign w:val="center"/>
                </w:tcPr>
                <w:p w14:paraId="6B567024">
                  <w:pPr>
                    <w:widowControl/>
                    <w:jc w:val="left"/>
                    <w:rPr>
                      <w:kern w:val="0"/>
                      <w:sz w:val="18"/>
                      <w:szCs w:val="18"/>
                    </w:rPr>
                  </w:pPr>
                </w:p>
              </w:tc>
              <w:tc>
                <w:tcPr>
                  <w:tcW w:w="731" w:type="pct"/>
                  <w:shd w:val="clear" w:color="auto" w:fill="auto"/>
                  <w:vAlign w:val="center"/>
                </w:tcPr>
                <w:p w14:paraId="6E18F270">
                  <w:pPr>
                    <w:widowControl/>
                    <w:jc w:val="center"/>
                    <w:rPr>
                      <w:kern w:val="0"/>
                      <w:sz w:val="18"/>
                      <w:szCs w:val="18"/>
                    </w:rPr>
                  </w:pPr>
                  <w:r>
                    <w:rPr>
                      <w:kern w:val="0"/>
                      <w:sz w:val="18"/>
                      <w:szCs w:val="18"/>
                    </w:rPr>
                    <w:t>总锑</w:t>
                  </w:r>
                </w:p>
              </w:tc>
              <w:tc>
                <w:tcPr>
                  <w:tcW w:w="503" w:type="pct"/>
                  <w:shd w:val="clear" w:color="auto" w:fill="auto"/>
                  <w:vAlign w:val="center"/>
                </w:tcPr>
                <w:p w14:paraId="4E19991D">
                  <w:pPr>
                    <w:widowControl/>
                    <w:jc w:val="center"/>
                    <w:rPr>
                      <w:kern w:val="0"/>
                      <w:sz w:val="18"/>
                      <w:szCs w:val="18"/>
                    </w:rPr>
                  </w:pPr>
                  <w:r>
                    <w:rPr>
                      <w:kern w:val="0"/>
                      <w:sz w:val="18"/>
                      <w:szCs w:val="18"/>
                    </w:rPr>
                    <w:t>/</w:t>
                  </w:r>
                </w:p>
              </w:tc>
            </w:tr>
            <w:tr w14:paraId="2E5BC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5" w:type="pct"/>
                  <w:vMerge w:val="continue"/>
                  <w:vAlign w:val="center"/>
                </w:tcPr>
                <w:p w14:paraId="5E94EB5F">
                  <w:pPr>
                    <w:widowControl/>
                    <w:jc w:val="left"/>
                    <w:rPr>
                      <w:kern w:val="0"/>
                      <w:sz w:val="18"/>
                      <w:szCs w:val="18"/>
                    </w:rPr>
                  </w:pPr>
                </w:p>
              </w:tc>
              <w:tc>
                <w:tcPr>
                  <w:tcW w:w="456" w:type="pct"/>
                  <w:vMerge w:val="continue"/>
                  <w:vAlign w:val="center"/>
                </w:tcPr>
                <w:p w14:paraId="12167E32">
                  <w:pPr>
                    <w:widowControl/>
                    <w:jc w:val="left"/>
                    <w:rPr>
                      <w:kern w:val="0"/>
                      <w:sz w:val="18"/>
                      <w:szCs w:val="18"/>
                    </w:rPr>
                  </w:pPr>
                </w:p>
              </w:tc>
              <w:tc>
                <w:tcPr>
                  <w:tcW w:w="428" w:type="pct"/>
                  <w:vMerge w:val="continue"/>
                  <w:vAlign w:val="center"/>
                </w:tcPr>
                <w:p w14:paraId="03F4001C">
                  <w:pPr>
                    <w:widowControl/>
                    <w:jc w:val="left"/>
                    <w:rPr>
                      <w:kern w:val="0"/>
                      <w:sz w:val="18"/>
                      <w:szCs w:val="18"/>
                    </w:rPr>
                  </w:pPr>
                </w:p>
              </w:tc>
              <w:tc>
                <w:tcPr>
                  <w:tcW w:w="454" w:type="pct"/>
                  <w:vMerge w:val="continue"/>
                  <w:vAlign w:val="center"/>
                </w:tcPr>
                <w:p w14:paraId="42B4F1A3">
                  <w:pPr>
                    <w:widowControl/>
                    <w:jc w:val="left"/>
                    <w:rPr>
                      <w:kern w:val="0"/>
                      <w:sz w:val="18"/>
                      <w:szCs w:val="18"/>
                    </w:rPr>
                  </w:pPr>
                </w:p>
              </w:tc>
              <w:tc>
                <w:tcPr>
                  <w:tcW w:w="412" w:type="pct"/>
                  <w:vMerge w:val="continue"/>
                  <w:vAlign w:val="center"/>
                </w:tcPr>
                <w:p w14:paraId="32A6CE49">
                  <w:pPr>
                    <w:widowControl/>
                    <w:jc w:val="left"/>
                    <w:rPr>
                      <w:kern w:val="0"/>
                      <w:sz w:val="18"/>
                      <w:szCs w:val="18"/>
                    </w:rPr>
                  </w:pPr>
                </w:p>
              </w:tc>
              <w:tc>
                <w:tcPr>
                  <w:tcW w:w="437" w:type="pct"/>
                  <w:vMerge w:val="continue"/>
                  <w:vAlign w:val="center"/>
                </w:tcPr>
                <w:p w14:paraId="444498B7">
                  <w:pPr>
                    <w:widowControl/>
                    <w:jc w:val="left"/>
                    <w:rPr>
                      <w:kern w:val="0"/>
                      <w:sz w:val="18"/>
                      <w:szCs w:val="18"/>
                    </w:rPr>
                  </w:pPr>
                </w:p>
              </w:tc>
              <w:tc>
                <w:tcPr>
                  <w:tcW w:w="411" w:type="pct"/>
                  <w:vMerge w:val="continue"/>
                  <w:vAlign w:val="center"/>
                </w:tcPr>
                <w:p w14:paraId="16A3884A">
                  <w:pPr>
                    <w:widowControl/>
                    <w:jc w:val="left"/>
                    <w:rPr>
                      <w:kern w:val="0"/>
                      <w:sz w:val="18"/>
                      <w:szCs w:val="18"/>
                    </w:rPr>
                  </w:pPr>
                </w:p>
              </w:tc>
              <w:tc>
                <w:tcPr>
                  <w:tcW w:w="459" w:type="pct"/>
                  <w:vMerge w:val="continue"/>
                  <w:vAlign w:val="center"/>
                </w:tcPr>
                <w:p w14:paraId="1AB03043">
                  <w:pPr>
                    <w:widowControl/>
                    <w:jc w:val="left"/>
                    <w:rPr>
                      <w:kern w:val="0"/>
                      <w:sz w:val="18"/>
                      <w:szCs w:val="18"/>
                    </w:rPr>
                  </w:pPr>
                </w:p>
              </w:tc>
              <w:tc>
                <w:tcPr>
                  <w:tcW w:w="334" w:type="pct"/>
                  <w:vMerge w:val="continue"/>
                  <w:vAlign w:val="center"/>
                </w:tcPr>
                <w:p w14:paraId="743848B6">
                  <w:pPr>
                    <w:widowControl/>
                    <w:jc w:val="left"/>
                    <w:rPr>
                      <w:kern w:val="0"/>
                      <w:sz w:val="18"/>
                      <w:szCs w:val="18"/>
                    </w:rPr>
                  </w:pPr>
                </w:p>
              </w:tc>
              <w:tc>
                <w:tcPr>
                  <w:tcW w:w="731" w:type="pct"/>
                  <w:shd w:val="clear" w:color="auto" w:fill="auto"/>
                  <w:vAlign w:val="center"/>
                </w:tcPr>
                <w:p w14:paraId="2E4A6E2C">
                  <w:pPr>
                    <w:widowControl/>
                    <w:jc w:val="center"/>
                    <w:rPr>
                      <w:kern w:val="0"/>
                      <w:sz w:val="18"/>
                      <w:szCs w:val="18"/>
                    </w:rPr>
                  </w:pPr>
                  <w:r>
                    <w:rPr>
                      <w:kern w:val="0"/>
                      <w:sz w:val="18"/>
                      <w:szCs w:val="18"/>
                    </w:rPr>
                    <w:t>五日生化需氧量</w:t>
                  </w:r>
                </w:p>
              </w:tc>
              <w:tc>
                <w:tcPr>
                  <w:tcW w:w="503" w:type="pct"/>
                  <w:shd w:val="clear" w:color="auto" w:fill="auto"/>
                  <w:vAlign w:val="center"/>
                </w:tcPr>
                <w:p w14:paraId="787151CB">
                  <w:pPr>
                    <w:widowControl/>
                    <w:jc w:val="center"/>
                    <w:rPr>
                      <w:kern w:val="0"/>
                      <w:sz w:val="18"/>
                      <w:szCs w:val="18"/>
                    </w:rPr>
                  </w:pPr>
                  <w:r>
                    <w:rPr>
                      <w:kern w:val="0"/>
                      <w:sz w:val="18"/>
                      <w:szCs w:val="18"/>
                    </w:rPr>
                    <w:t>10</w:t>
                  </w:r>
                </w:p>
              </w:tc>
            </w:tr>
            <w:tr w14:paraId="320282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375" w:type="pct"/>
                  <w:vMerge w:val="continue"/>
                  <w:vAlign w:val="center"/>
                </w:tcPr>
                <w:p w14:paraId="11153CB1">
                  <w:pPr>
                    <w:widowControl/>
                    <w:jc w:val="left"/>
                    <w:rPr>
                      <w:kern w:val="0"/>
                      <w:sz w:val="18"/>
                      <w:szCs w:val="18"/>
                    </w:rPr>
                  </w:pPr>
                </w:p>
              </w:tc>
              <w:tc>
                <w:tcPr>
                  <w:tcW w:w="456" w:type="pct"/>
                  <w:vMerge w:val="continue"/>
                  <w:vAlign w:val="center"/>
                </w:tcPr>
                <w:p w14:paraId="76C5FF1B">
                  <w:pPr>
                    <w:widowControl/>
                    <w:jc w:val="left"/>
                    <w:rPr>
                      <w:kern w:val="0"/>
                      <w:sz w:val="18"/>
                      <w:szCs w:val="18"/>
                    </w:rPr>
                  </w:pPr>
                </w:p>
              </w:tc>
              <w:tc>
                <w:tcPr>
                  <w:tcW w:w="428" w:type="pct"/>
                  <w:vMerge w:val="continue"/>
                  <w:vAlign w:val="center"/>
                </w:tcPr>
                <w:p w14:paraId="24D8A07A">
                  <w:pPr>
                    <w:widowControl/>
                    <w:jc w:val="left"/>
                    <w:rPr>
                      <w:kern w:val="0"/>
                      <w:sz w:val="18"/>
                      <w:szCs w:val="18"/>
                    </w:rPr>
                  </w:pPr>
                </w:p>
              </w:tc>
              <w:tc>
                <w:tcPr>
                  <w:tcW w:w="454" w:type="pct"/>
                  <w:vMerge w:val="continue"/>
                  <w:vAlign w:val="center"/>
                </w:tcPr>
                <w:p w14:paraId="259130EE">
                  <w:pPr>
                    <w:widowControl/>
                    <w:jc w:val="left"/>
                    <w:rPr>
                      <w:kern w:val="0"/>
                      <w:sz w:val="18"/>
                      <w:szCs w:val="18"/>
                    </w:rPr>
                  </w:pPr>
                </w:p>
              </w:tc>
              <w:tc>
                <w:tcPr>
                  <w:tcW w:w="412" w:type="pct"/>
                  <w:vMerge w:val="continue"/>
                  <w:vAlign w:val="center"/>
                </w:tcPr>
                <w:p w14:paraId="4E0ECE50">
                  <w:pPr>
                    <w:widowControl/>
                    <w:jc w:val="left"/>
                    <w:rPr>
                      <w:kern w:val="0"/>
                      <w:sz w:val="18"/>
                      <w:szCs w:val="18"/>
                    </w:rPr>
                  </w:pPr>
                </w:p>
              </w:tc>
              <w:tc>
                <w:tcPr>
                  <w:tcW w:w="437" w:type="pct"/>
                  <w:vMerge w:val="continue"/>
                  <w:vAlign w:val="center"/>
                </w:tcPr>
                <w:p w14:paraId="290DA137">
                  <w:pPr>
                    <w:widowControl/>
                    <w:jc w:val="left"/>
                    <w:rPr>
                      <w:kern w:val="0"/>
                      <w:sz w:val="18"/>
                      <w:szCs w:val="18"/>
                    </w:rPr>
                  </w:pPr>
                </w:p>
              </w:tc>
              <w:tc>
                <w:tcPr>
                  <w:tcW w:w="411" w:type="pct"/>
                  <w:vMerge w:val="continue"/>
                  <w:vAlign w:val="center"/>
                </w:tcPr>
                <w:p w14:paraId="0AEE7FC5">
                  <w:pPr>
                    <w:widowControl/>
                    <w:jc w:val="left"/>
                    <w:rPr>
                      <w:kern w:val="0"/>
                      <w:sz w:val="18"/>
                      <w:szCs w:val="18"/>
                    </w:rPr>
                  </w:pPr>
                </w:p>
              </w:tc>
              <w:tc>
                <w:tcPr>
                  <w:tcW w:w="459" w:type="pct"/>
                  <w:vMerge w:val="continue"/>
                  <w:vAlign w:val="center"/>
                </w:tcPr>
                <w:p w14:paraId="7AA8524C">
                  <w:pPr>
                    <w:widowControl/>
                    <w:jc w:val="left"/>
                    <w:rPr>
                      <w:kern w:val="0"/>
                      <w:sz w:val="18"/>
                      <w:szCs w:val="18"/>
                    </w:rPr>
                  </w:pPr>
                </w:p>
              </w:tc>
              <w:tc>
                <w:tcPr>
                  <w:tcW w:w="334" w:type="pct"/>
                  <w:vMerge w:val="continue"/>
                  <w:vAlign w:val="center"/>
                </w:tcPr>
                <w:p w14:paraId="266A347B">
                  <w:pPr>
                    <w:widowControl/>
                    <w:jc w:val="left"/>
                    <w:rPr>
                      <w:kern w:val="0"/>
                      <w:sz w:val="18"/>
                      <w:szCs w:val="18"/>
                    </w:rPr>
                  </w:pPr>
                </w:p>
              </w:tc>
              <w:tc>
                <w:tcPr>
                  <w:tcW w:w="731" w:type="pct"/>
                  <w:shd w:val="clear" w:color="auto" w:fill="auto"/>
                  <w:vAlign w:val="center"/>
                </w:tcPr>
                <w:p w14:paraId="536C2AB9">
                  <w:pPr>
                    <w:widowControl/>
                    <w:jc w:val="center"/>
                    <w:rPr>
                      <w:kern w:val="0"/>
                      <w:sz w:val="18"/>
                      <w:szCs w:val="18"/>
                    </w:rPr>
                  </w:pPr>
                  <w:r>
                    <w:rPr>
                      <w:kern w:val="0"/>
                      <w:sz w:val="18"/>
                      <w:szCs w:val="18"/>
                    </w:rPr>
                    <w:t>总氮（以N计）</w:t>
                  </w:r>
                </w:p>
              </w:tc>
              <w:tc>
                <w:tcPr>
                  <w:tcW w:w="503" w:type="pct"/>
                  <w:shd w:val="clear" w:color="auto" w:fill="auto"/>
                  <w:vAlign w:val="center"/>
                </w:tcPr>
                <w:p w14:paraId="77AFE574">
                  <w:pPr>
                    <w:widowControl/>
                    <w:jc w:val="center"/>
                    <w:rPr>
                      <w:kern w:val="0"/>
                      <w:sz w:val="18"/>
                      <w:szCs w:val="18"/>
                    </w:rPr>
                  </w:pPr>
                  <w:r>
                    <w:rPr>
                      <w:kern w:val="0"/>
                      <w:sz w:val="18"/>
                      <w:szCs w:val="18"/>
                    </w:rPr>
                    <w:t>15</w:t>
                  </w:r>
                </w:p>
              </w:tc>
            </w:tr>
            <w:tr w14:paraId="595A83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5" w:type="pct"/>
                  <w:vMerge w:val="continue"/>
                  <w:vAlign w:val="center"/>
                </w:tcPr>
                <w:p w14:paraId="255D456E">
                  <w:pPr>
                    <w:widowControl/>
                    <w:jc w:val="left"/>
                    <w:rPr>
                      <w:kern w:val="0"/>
                      <w:sz w:val="18"/>
                      <w:szCs w:val="18"/>
                    </w:rPr>
                  </w:pPr>
                </w:p>
              </w:tc>
              <w:tc>
                <w:tcPr>
                  <w:tcW w:w="456" w:type="pct"/>
                  <w:vMerge w:val="continue"/>
                  <w:vAlign w:val="center"/>
                </w:tcPr>
                <w:p w14:paraId="063D411D">
                  <w:pPr>
                    <w:widowControl/>
                    <w:jc w:val="left"/>
                    <w:rPr>
                      <w:kern w:val="0"/>
                      <w:sz w:val="18"/>
                      <w:szCs w:val="18"/>
                    </w:rPr>
                  </w:pPr>
                </w:p>
              </w:tc>
              <w:tc>
                <w:tcPr>
                  <w:tcW w:w="428" w:type="pct"/>
                  <w:vMerge w:val="continue"/>
                  <w:vAlign w:val="center"/>
                </w:tcPr>
                <w:p w14:paraId="76F7B931">
                  <w:pPr>
                    <w:widowControl/>
                    <w:jc w:val="left"/>
                    <w:rPr>
                      <w:kern w:val="0"/>
                      <w:sz w:val="18"/>
                      <w:szCs w:val="18"/>
                    </w:rPr>
                  </w:pPr>
                </w:p>
              </w:tc>
              <w:tc>
                <w:tcPr>
                  <w:tcW w:w="454" w:type="pct"/>
                  <w:vMerge w:val="continue"/>
                  <w:vAlign w:val="center"/>
                </w:tcPr>
                <w:p w14:paraId="18888DD4">
                  <w:pPr>
                    <w:widowControl/>
                    <w:jc w:val="left"/>
                    <w:rPr>
                      <w:kern w:val="0"/>
                      <w:sz w:val="18"/>
                      <w:szCs w:val="18"/>
                    </w:rPr>
                  </w:pPr>
                </w:p>
              </w:tc>
              <w:tc>
                <w:tcPr>
                  <w:tcW w:w="412" w:type="pct"/>
                  <w:vMerge w:val="continue"/>
                  <w:vAlign w:val="center"/>
                </w:tcPr>
                <w:p w14:paraId="49B5CFC3">
                  <w:pPr>
                    <w:widowControl/>
                    <w:jc w:val="left"/>
                    <w:rPr>
                      <w:kern w:val="0"/>
                      <w:sz w:val="18"/>
                      <w:szCs w:val="18"/>
                    </w:rPr>
                  </w:pPr>
                </w:p>
              </w:tc>
              <w:tc>
                <w:tcPr>
                  <w:tcW w:w="437" w:type="pct"/>
                  <w:vMerge w:val="continue"/>
                  <w:vAlign w:val="center"/>
                </w:tcPr>
                <w:p w14:paraId="5EF04C32">
                  <w:pPr>
                    <w:widowControl/>
                    <w:jc w:val="left"/>
                    <w:rPr>
                      <w:kern w:val="0"/>
                      <w:sz w:val="18"/>
                      <w:szCs w:val="18"/>
                    </w:rPr>
                  </w:pPr>
                </w:p>
              </w:tc>
              <w:tc>
                <w:tcPr>
                  <w:tcW w:w="411" w:type="pct"/>
                  <w:vMerge w:val="continue"/>
                  <w:vAlign w:val="center"/>
                </w:tcPr>
                <w:p w14:paraId="43A80AA2">
                  <w:pPr>
                    <w:widowControl/>
                    <w:jc w:val="left"/>
                    <w:rPr>
                      <w:kern w:val="0"/>
                      <w:sz w:val="18"/>
                      <w:szCs w:val="18"/>
                    </w:rPr>
                  </w:pPr>
                </w:p>
              </w:tc>
              <w:tc>
                <w:tcPr>
                  <w:tcW w:w="459" w:type="pct"/>
                  <w:vMerge w:val="continue"/>
                  <w:vAlign w:val="center"/>
                </w:tcPr>
                <w:p w14:paraId="20ACB4FB">
                  <w:pPr>
                    <w:widowControl/>
                    <w:jc w:val="left"/>
                    <w:rPr>
                      <w:kern w:val="0"/>
                      <w:sz w:val="18"/>
                      <w:szCs w:val="18"/>
                    </w:rPr>
                  </w:pPr>
                </w:p>
              </w:tc>
              <w:tc>
                <w:tcPr>
                  <w:tcW w:w="334" w:type="pct"/>
                  <w:vMerge w:val="continue"/>
                  <w:vAlign w:val="center"/>
                </w:tcPr>
                <w:p w14:paraId="1CA7C9A4">
                  <w:pPr>
                    <w:widowControl/>
                    <w:jc w:val="left"/>
                    <w:rPr>
                      <w:kern w:val="0"/>
                      <w:sz w:val="18"/>
                      <w:szCs w:val="18"/>
                    </w:rPr>
                  </w:pPr>
                </w:p>
              </w:tc>
              <w:tc>
                <w:tcPr>
                  <w:tcW w:w="731" w:type="pct"/>
                  <w:shd w:val="clear" w:color="auto" w:fill="auto"/>
                  <w:vAlign w:val="center"/>
                </w:tcPr>
                <w:p w14:paraId="6BEF64DA">
                  <w:pPr>
                    <w:widowControl/>
                    <w:jc w:val="center"/>
                    <w:rPr>
                      <w:kern w:val="0"/>
                      <w:sz w:val="18"/>
                      <w:szCs w:val="18"/>
                    </w:rPr>
                  </w:pPr>
                  <w:r>
                    <w:rPr>
                      <w:kern w:val="0"/>
                      <w:sz w:val="18"/>
                      <w:szCs w:val="18"/>
                    </w:rPr>
                    <w:t>化学需氧量</w:t>
                  </w:r>
                </w:p>
              </w:tc>
              <w:tc>
                <w:tcPr>
                  <w:tcW w:w="503" w:type="pct"/>
                  <w:shd w:val="clear" w:color="auto" w:fill="auto"/>
                  <w:vAlign w:val="center"/>
                </w:tcPr>
                <w:p w14:paraId="59FCFBF3">
                  <w:pPr>
                    <w:widowControl/>
                    <w:jc w:val="center"/>
                    <w:rPr>
                      <w:kern w:val="0"/>
                      <w:sz w:val="18"/>
                      <w:szCs w:val="18"/>
                    </w:rPr>
                  </w:pPr>
                  <w:r>
                    <w:rPr>
                      <w:kern w:val="0"/>
                      <w:sz w:val="18"/>
                      <w:szCs w:val="18"/>
                    </w:rPr>
                    <w:t>50</w:t>
                  </w:r>
                </w:p>
              </w:tc>
            </w:tr>
            <w:tr w14:paraId="6024EE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5" w:type="pct"/>
                  <w:vMerge w:val="continue"/>
                  <w:vAlign w:val="center"/>
                </w:tcPr>
                <w:p w14:paraId="007D3ADD">
                  <w:pPr>
                    <w:widowControl/>
                    <w:jc w:val="left"/>
                    <w:rPr>
                      <w:kern w:val="0"/>
                      <w:sz w:val="18"/>
                      <w:szCs w:val="18"/>
                    </w:rPr>
                  </w:pPr>
                </w:p>
              </w:tc>
              <w:tc>
                <w:tcPr>
                  <w:tcW w:w="456" w:type="pct"/>
                  <w:vMerge w:val="continue"/>
                  <w:vAlign w:val="center"/>
                </w:tcPr>
                <w:p w14:paraId="5F47E927">
                  <w:pPr>
                    <w:widowControl/>
                    <w:jc w:val="left"/>
                    <w:rPr>
                      <w:kern w:val="0"/>
                      <w:sz w:val="18"/>
                      <w:szCs w:val="18"/>
                    </w:rPr>
                  </w:pPr>
                </w:p>
              </w:tc>
              <w:tc>
                <w:tcPr>
                  <w:tcW w:w="428" w:type="pct"/>
                  <w:vMerge w:val="continue"/>
                  <w:vAlign w:val="center"/>
                </w:tcPr>
                <w:p w14:paraId="64C87833">
                  <w:pPr>
                    <w:widowControl/>
                    <w:jc w:val="left"/>
                    <w:rPr>
                      <w:kern w:val="0"/>
                      <w:sz w:val="18"/>
                      <w:szCs w:val="18"/>
                    </w:rPr>
                  </w:pPr>
                </w:p>
              </w:tc>
              <w:tc>
                <w:tcPr>
                  <w:tcW w:w="454" w:type="pct"/>
                  <w:vMerge w:val="continue"/>
                  <w:vAlign w:val="center"/>
                </w:tcPr>
                <w:p w14:paraId="79B82B91">
                  <w:pPr>
                    <w:widowControl/>
                    <w:jc w:val="left"/>
                    <w:rPr>
                      <w:kern w:val="0"/>
                      <w:sz w:val="18"/>
                      <w:szCs w:val="18"/>
                    </w:rPr>
                  </w:pPr>
                </w:p>
              </w:tc>
              <w:tc>
                <w:tcPr>
                  <w:tcW w:w="412" w:type="pct"/>
                  <w:vMerge w:val="continue"/>
                  <w:vAlign w:val="center"/>
                </w:tcPr>
                <w:p w14:paraId="296C6139">
                  <w:pPr>
                    <w:widowControl/>
                    <w:jc w:val="left"/>
                    <w:rPr>
                      <w:kern w:val="0"/>
                      <w:sz w:val="18"/>
                      <w:szCs w:val="18"/>
                    </w:rPr>
                  </w:pPr>
                </w:p>
              </w:tc>
              <w:tc>
                <w:tcPr>
                  <w:tcW w:w="437" w:type="pct"/>
                  <w:vMerge w:val="continue"/>
                  <w:vAlign w:val="center"/>
                </w:tcPr>
                <w:p w14:paraId="3DDA91D0">
                  <w:pPr>
                    <w:widowControl/>
                    <w:jc w:val="left"/>
                    <w:rPr>
                      <w:kern w:val="0"/>
                      <w:sz w:val="18"/>
                      <w:szCs w:val="18"/>
                    </w:rPr>
                  </w:pPr>
                </w:p>
              </w:tc>
              <w:tc>
                <w:tcPr>
                  <w:tcW w:w="411" w:type="pct"/>
                  <w:vMerge w:val="continue"/>
                  <w:vAlign w:val="center"/>
                </w:tcPr>
                <w:p w14:paraId="0518A4B2">
                  <w:pPr>
                    <w:widowControl/>
                    <w:jc w:val="left"/>
                    <w:rPr>
                      <w:kern w:val="0"/>
                      <w:sz w:val="18"/>
                      <w:szCs w:val="18"/>
                    </w:rPr>
                  </w:pPr>
                </w:p>
              </w:tc>
              <w:tc>
                <w:tcPr>
                  <w:tcW w:w="459" w:type="pct"/>
                  <w:vMerge w:val="continue"/>
                  <w:vAlign w:val="center"/>
                </w:tcPr>
                <w:p w14:paraId="1D72E2C2">
                  <w:pPr>
                    <w:widowControl/>
                    <w:jc w:val="left"/>
                    <w:rPr>
                      <w:kern w:val="0"/>
                      <w:sz w:val="18"/>
                      <w:szCs w:val="18"/>
                    </w:rPr>
                  </w:pPr>
                </w:p>
              </w:tc>
              <w:tc>
                <w:tcPr>
                  <w:tcW w:w="334" w:type="pct"/>
                  <w:vMerge w:val="continue"/>
                  <w:vAlign w:val="center"/>
                </w:tcPr>
                <w:p w14:paraId="5B71F8C1">
                  <w:pPr>
                    <w:widowControl/>
                    <w:jc w:val="left"/>
                    <w:rPr>
                      <w:kern w:val="0"/>
                      <w:sz w:val="18"/>
                      <w:szCs w:val="18"/>
                    </w:rPr>
                  </w:pPr>
                </w:p>
              </w:tc>
              <w:tc>
                <w:tcPr>
                  <w:tcW w:w="731" w:type="pct"/>
                  <w:shd w:val="clear" w:color="auto" w:fill="auto"/>
                  <w:vAlign w:val="center"/>
                </w:tcPr>
                <w:p w14:paraId="3E60DA82">
                  <w:pPr>
                    <w:widowControl/>
                    <w:jc w:val="center"/>
                    <w:rPr>
                      <w:kern w:val="0"/>
                      <w:sz w:val="18"/>
                      <w:szCs w:val="18"/>
                    </w:rPr>
                  </w:pPr>
                  <w:r>
                    <w:rPr>
                      <w:kern w:val="0"/>
                      <w:sz w:val="18"/>
                      <w:szCs w:val="18"/>
                    </w:rPr>
                    <w:t>总有机碳</w:t>
                  </w:r>
                </w:p>
              </w:tc>
              <w:tc>
                <w:tcPr>
                  <w:tcW w:w="503" w:type="pct"/>
                  <w:shd w:val="clear" w:color="auto" w:fill="auto"/>
                  <w:vAlign w:val="center"/>
                </w:tcPr>
                <w:p w14:paraId="24AB7143">
                  <w:pPr>
                    <w:widowControl/>
                    <w:jc w:val="center"/>
                    <w:rPr>
                      <w:kern w:val="0"/>
                      <w:sz w:val="18"/>
                      <w:szCs w:val="18"/>
                    </w:rPr>
                  </w:pPr>
                  <w:r>
                    <w:rPr>
                      <w:kern w:val="0"/>
                      <w:sz w:val="18"/>
                      <w:szCs w:val="18"/>
                    </w:rPr>
                    <w:t>/</w:t>
                  </w:r>
                </w:p>
              </w:tc>
            </w:tr>
            <w:tr w14:paraId="5F4608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5" w:type="pct"/>
                  <w:vMerge w:val="continue"/>
                  <w:vAlign w:val="center"/>
                </w:tcPr>
                <w:p w14:paraId="03DDC80B">
                  <w:pPr>
                    <w:widowControl/>
                    <w:jc w:val="left"/>
                    <w:rPr>
                      <w:kern w:val="0"/>
                      <w:sz w:val="18"/>
                      <w:szCs w:val="18"/>
                    </w:rPr>
                  </w:pPr>
                </w:p>
              </w:tc>
              <w:tc>
                <w:tcPr>
                  <w:tcW w:w="456" w:type="pct"/>
                  <w:vMerge w:val="continue"/>
                  <w:vAlign w:val="center"/>
                </w:tcPr>
                <w:p w14:paraId="6E4FFBED">
                  <w:pPr>
                    <w:widowControl/>
                    <w:jc w:val="left"/>
                    <w:rPr>
                      <w:kern w:val="0"/>
                      <w:sz w:val="18"/>
                      <w:szCs w:val="18"/>
                    </w:rPr>
                  </w:pPr>
                </w:p>
              </w:tc>
              <w:tc>
                <w:tcPr>
                  <w:tcW w:w="428" w:type="pct"/>
                  <w:vMerge w:val="continue"/>
                  <w:vAlign w:val="center"/>
                </w:tcPr>
                <w:p w14:paraId="0D809A34">
                  <w:pPr>
                    <w:widowControl/>
                    <w:jc w:val="left"/>
                    <w:rPr>
                      <w:kern w:val="0"/>
                      <w:sz w:val="18"/>
                      <w:szCs w:val="18"/>
                    </w:rPr>
                  </w:pPr>
                </w:p>
              </w:tc>
              <w:tc>
                <w:tcPr>
                  <w:tcW w:w="454" w:type="pct"/>
                  <w:vMerge w:val="continue"/>
                  <w:vAlign w:val="center"/>
                </w:tcPr>
                <w:p w14:paraId="19A86DF9">
                  <w:pPr>
                    <w:widowControl/>
                    <w:jc w:val="left"/>
                    <w:rPr>
                      <w:kern w:val="0"/>
                      <w:sz w:val="18"/>
                      <w:szCs w:val="18"/>
                    </w:rPr>
                  </w:pPr>
                </w:p>
              </w:tc>
              <w:tc>
                <w:tcPr>
                  <w:tcW w:w="412" w:type="pct"/>
                  <w:vMerge w:val="continue"/>
                  <w:vAlign w:val="center"/>
                </w:tcPr>
                <w:p w14:paraId="6D8F9BF5">
                  <w:pPr>
                    <w:widowControl/>
                    <w:jc w:val="left"/>
                    <w:rPr>
                      <w:kern w:val="0"/>
                      <w:sz w:val="18"/>
                      <w:szCs w:val="18"/>
                    </w:rPr>
                  </w:pPr>
                </w:p>
              </w:tc>
              <w:tc>
                <w:tcPr>
                  <w:tcW w:w="437" w:type="pct"/>
                  <w:vMerge w:val="continue"/>
                  <w:vAlign w:val="center"/>
                </w:tcPr>
                <w:p w14:paraId="395EF02E">
                  <w:pPr>
                    <w:widowControl/>
                    <w:jc w:val="left"/>
                    <w:rPr>
                      <w:kern w:val="0"/>
                      <w:sz w:val="18"/>
                      <w:szCs w:val="18"/>
                    </w:rPr>
                  </w:pPr>
                </w:p>
              </w:tc>
              <w:tc>
                <w:tcPr>
                  <w:tcW w:w="411" w:type="pct"/>
                  <w:vMerge w:val="continue"/>
                  <w:vAlign w:val="center"/>
                </w:tcPr>
                <w:p w14:paraId="0A30D707">
                  <w:pPr>
                    <w:widowControl/>
                    <w:jc w:val="left"/>
                    <w:rPr>
                      <w:kern w:val="0"/>
                      <w:sz w:val="18"/>
                      <w:szCs w:val="18"/>
                    </w:rPr>
                  </w:pPr>
                </w:p>
              </w:tc>
              <w:tc>
                <w:tcPr>
                  <w:tcW w:w="459" w:type="pct"/>
                  <w:vMerge w:val="continue"/>
                  <w:vAlign w:val="center"/>
                </w:tcPr>
                <w:p w14:paraId="0EB5D182">
                  <w:pPr>
                    <w:widowControl/>
                    <w:jc w:val="left"/>
                    <w:rPr>
                      <w:kern w:val="0"/>
                      <w:sz w:val="18"/>
                      <w:szCs w:val="18"/>
                    </w:rPr>
                  </w:pPr>
                </w:p>
              </w:tc>
              <w:tc>
                <w:tcPr>
                  <w:tcW w:w="334" w:type="pct"/>
                  <w:vMerge w:val="continue"/>
                  <w:vAlign w:val="center"/>
                </w:tcPr>
                <w:p w14:paraId="703310E9">
                  <w:pPr>
                    <w:widowControl/>
                    <w:jc w:val="left"/>
                    <w:rPr>
                      <w:kern w:val="0"/>
                      <w:sz w:val="18"/>
                      <w:szCs w:val="18"/>
                    </w:rPr>
                  </w:pPr>
                </w:p>
              </w:tc>
              <w:tc>
                <w:tcPr>
                  <w:tcW w:w="731" w:type="pct"/>
                  <w:shd w:val="clear" w:color="auto" w:fill="auto"/>
                  <w:vAlign w:val="center"/>
                </w:tcPr>
                <w:p w14:paraId="721CACAF">
                  <w:pPr>
                    <w:widowControl/>
                    <w:jc w:val="center"/>
                    <w:rPr>
                      <w:kern w:val="0"/>
                      <w:sz w:val="18"/>
                      <w:szCs w:val="18"/>
                    </w:rPr>
                  </w:pPr>
                  <w:r>
                    <w:rPr>
                      <w:kern w:val="0"/>
                      <w:sz w:val="18"/>
                      <w:szCs w:val="18"/>
                    </w:rPr>
                    <w:t>石油类</w:t>
                  </w:r>
                </w:p>
              </w:tc>
              <w:tc>
                <w:tcPr>
                  <w:tcW w:w="503" w:type="pct"/>
                  <w:shd w:val="clear" w:color="auto" w:fill="auto"/>
                  <w:vAlign w:val="center"/>
                </w:tcPr>
                <w:p w14:paraId="5119A118">
                  <w:pPr>
                    <w:widowControl/>
                    <w:jc w:val="center"/>
                    <w:rPr>
                      <w:kern w:val="0"/>
                      <w:sz w:val="18"/>
                      <w:szCs w:val="18"/>
                    </w:rPr>
                  </w:pPr>
                  <w:r>
                    <w:rPr>
                      <w:kern w:val="0"/>
                      <w:sz w:val="18"/>
                      <w:szCs w:val="18"/>
                    </w:rPr>
                    <w:t>1</w:t>
                  </w:r>
                </w:p>
              </w:tc>
            </w:tr>
            <w:tr w14:paraId="41DF96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375" w:type="pct"/>
                  <w:vMerge w:val="continue"/>
                  <w:vAlign w:val="center"/>
                </w:tcPr>
                <w:p w14:paraId="1CC9E72C">
                  <w:pPr>
                    <w:widowControl/>
                    <w:jc w:val="left"/>
                    <w:rPr>
                      <w:kern w:val="0"/>
                      <w:sz w:val="18"/>
                      <w:szCs w:val="18"/>
                    </w:rPr>
                  </w:pPr>
                </w:p>
              </w:tc>
              <w:tc>
                <w:tcPr>
                  <w:tcW w:w="456" w:type="pct"/>
                  <w:vMerge w:val="continue"/>
                  <w:vAlign w:val="center"/>
                </w:tcPr>
                <w:p w14:paraId="08B6326B">
                  <w:pPr>
                    <w:widowControl/>
                    <w:jc w:val="left"/>
                    <w:rPr>
                      <w:kern w:val="0"/>
                      <w:sz w:val="18"/>
                      <w:szCs w:val="18"/>
                    </w:rPr>
                  </w:pPr>
                </w:p>
              </w:tc>
              <w:tc>
                <w:tcPr>
                  <w:tcW w:w="428" w:type="pct"/>
                  <w:vMerge w:val="continue"/>
                  <w:vAlign w:val="center"/>
                </w:tcPr>
                <w:p w14:paraId="50B8E586">
                  <w:pPr>
                    <w:widowControl/>
                    <w:jc w:val="left"/>
                    <w:rPr>
                      <w:kern w:val="0"/>
                      <w:sz w:val="18"/>
                      <w:szCs w:val="18"/>
                    </w:rPr>
                  </w:pPr>
                </w:p>
              </w:tc>
              <w:tc>
                <w:tcPr>
                  <w:tcW w:w="454" w:type="pct"/>
                  <w:vMerge w:val="continue"/>
                  <w:vAlign w:val="center"/>
                </w:tcPr>
                <w:p w14:paraId="604A176D">
                  <w:pPr>
                    <w:widowControl/>
                    <w:jc w:val="left"/>
                    <w:rPr>
                      <w:kern w:val="0"/>
                      <w:sz w:val="18"/>
                      <w:szCs w:val="18"/>
                    </w:rPr>
                  </w:pPr>
                </w:p>
              </w:tc>
              <w:tc>
                <w:tcPr>
                  <w:tcW w:w="412" w:type="pct"/>
                  <w:vMerge w:val="continue"/>
                  <w:vAlign w:val="center"/>
                </w:tcPr>
                <w:p w14:paraId="157190F5">
                  <w:pPr>
                    <w:widowControl/>
                    <w:jc w:val="left"/>
                    <w:rPr>
                      <w:kern w:val="0"/>
                      <w:sz w:val="18"/>
                      <w:szCs w:val="18"/>
                    </w:rPr>
                  </w:pPr>
                </w:p>
              </w:tc>
              <w:tc>
                <w:tcPr>
                  <w:tcW w:w="437" w:type="pct"/>
                  <w:vMerge w:val="continue"/>
                  <w:vAlign w:val="center"/>
                </w:tcPr>
                <w:p w14:paraId="40D2D11C">
                  <w:pPr>
                    <w:widowControl/>
                    <w:jc w:val="left"/>
                    <w:rPr>
                      <w:kern w:val="0"/>
                      <w:sz w:val="18"/>
                      <w:szCs w:val="18"/>
                    </w:rPr>
                  </w:pPr>
                </w:p>
              </w:tc>
              <w:tc>
                <w:tcPr>
                  <w:tcW w:w="411" w:type="pct"/>
                  <w:vMerge w:val="continue"/>
                  <w:vAlign w:val="center"/>
                </w:tcPr>
                <w:p w14:paraId="72ACEB4C">
                  <w:pPr>
                    <w:widowControl/>
                    <w:jc w:val="left"/>
                    <w:rPr>
                      <w:kern w:val="0"/>
                      <w:sz w:val="18"/>
                      <w:szCs w:val="18"/>
                    </w:rPr>
                  </w:pPr>
                </w:p>
              </w:tc>
              <w:tc>
                <w:tcPr>
                  <w:tcW w:w="459" w:type="pct"/>
                  <w:vMerge w:val="continue"/>
                  <w:vAlign w:val="center"/>
                </w:tcPr>
                <w:p w14:paraId="6ECBB16D">
                  <w:pPr>
                    <w:widowControl/>
                    <w:jc w:val="left"/>
                    <w:rPr>
                      <w:kern w:val="0"/>
                      <w:sz w:val="18"/>
                      <w:szCs w:val="18"/>
                    </w:rPr>
                  </w:pPr>
                </w:p>
              </w:tc>
              <w:tc>
                <w:tcPr>
                  <w:tcW w:w="334" w:type="pct"/>
                  <w:vMerge w:val="continue"/>
                  <w:vAlign w:val="center"/>
                </w:tcPr>
                <w:p w14:paraId="17629551">
                  <w:pPr>
                    <w:widowControl/>
                    <w:jc w:val="left"/>
                    <w:rPr>
                      <w:kern w:val="0"/>
                      <w:sz w:val="18"/>
                      <w:szCs w:val="18"/>
                    </w:rPr>
                  </w:pPr>
                </w:p>
              </w:tc>
              <w:tc>
                <w:tcPr>
                  <w:tcW w:w="731" w:type="pct"/>
                  <w:shd w:val="clear" w:color="auto" w:fill="auto"/>
                  <w:vAlign w:val="center"/>
                </w:tcPr>
                <w:p w14:paraId="3C06FB80">
                  <w:pPr>
                    <w:widowControl/>
                    <w:jc w:val="center"/>
                    <w:rPr>
                      <w:kern w:val="0"/>
                      <w:sz w:val="18"/>
                      <w:szCs w:val="18"/>
                    </w:rPr>
                  </w:pPr>
                  <w:r>
                    <w:rPr>
                      <w:kern w:val="0"/>
                      <w:sz w:val="18"/>
                      <w:szCs w:val="18"/>
                    </w:rPr>
                    <w:t>总磷（以P计）</w:t>
                  </w:r>
                </w:p>
              </w:tc>
              <w:tc>
                <w:tcPr>
                  <w:tcW w:w="503" w:type="pct"/>
                  <w:shd w:val="clear" w:color="auto" w:fill="auto"/>
                  <w:vAlign w:val="center"/>
                </w:tcPr>
                <w:p w14:paraId="72EB2461">
                  <w:pPr>
                    <w:widowControl/>
                    <w:jc w:val="center"/>
                    <w:rPr>
                      <w:kern w:val="0"/>
                      <w:sz w:val="18"/>
                      <w:szCs w:val="18"/>
                    </w:rPr>
                  </w:pPr>
                  <w:r>
                    <w:rPr>
                      <w:kern w:val="0"/>
                      <w:sz w:val="18"/>
                      <w:szCs w:val="18"/>
                    </w:rPr>
                    <w:t>0.5</w:t>
                  </w:r>
                </w:p>
              </w:tc>
            </w:tr>
            <w:tr w14:paraId="46EDAA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5" w:type="pct"/>
                  <w:vMerge w:val="continue"/>
                  <w:vAlign w:val="center"/>
                </w:tcPr>
                <w:p w14:paraId="39B094EC">
                  <w:pPr>
                    <w:widowControl/>
                    <w:jc w:val="left"/>
                    <w:rPr>
                      <w:kern w:val="0"/>
                      <w:sz w:val="18"/>
                      <w:szCs w:val="18"/>
                    </w:rPr>
                  </w:pPr>
                </w:p>
              </w:tc>
              <w:tc>
                <w:tcPr>
                  <w:tcW w:w="456" w:type="pct"/>
                  <w:vMerge w:val="continue"/>
                  <w:vAlign w:val="center"/>
                </w:tcPr>
                <w:p w14:paraId="464DE4DF">
                  <w:pPr>
                    <w:widowControl/>
                    <w:jc w:val="left"/>
                    <w:rPr>
                      <w:kern w:val="0"/>
                      <w:sz w:val="18"/>
                      <w:szCs w:val="18"/>
                    </w:rPr>
                  </w:pPr>
                </w:p>
              </w:tc>
              <w:tc>
                <w:tcPr>
                  <w:tcW w:w="428" w:type="pct"/>
                  <w:vMerge w:val="continue"/>
                  <w:vAlign w:val="center"/>
                </w:tcPr>
                <w:p w14:paraId="35520F43">
                  <w:pPr>
                    <w:widowControl/>
                    <w:jc w:val="left"/>
                    <w:rPr>
                      <w:kern w:val="0"/>
                      <w:sz w:val="18"/>
                      <w:szCs w:val="18"/>
                    </w:rPr>
                  </w:pPr>
                </w:p>
              </w:tc>
              <w:tc>
                <w:tcPr>
                  <w:tcW w:w="454" w:type="pct"/>
                  <w:vMerge w:val="continue"/>
                  <w:vAlign w:val="center"/>
                </w:tcPr>
                <w:p w14:paraId="2820456C">
                  <w:pPr>
                    <w:widowControl/>
                    <w:jc w:val="left"/>
                    <w:rPr>
                      <w:kern w:val="0"/>
                      <w:sz w:val="18"/>
                      <w:szCs w:val="18"/>
                    </w:rPr>
                  </w:pPr>
                </w:p>
              </w:tc>
              <w:tc>
                <w:tcPr>
                  <w:tcW w:w="412" w:type="pct"/>
                  <w:vMerge w:val="continue"/>
                  <w:vAlign w:val="center"/>
                </w:tcPr>
                <w:p w14:paraId="79141008">
                  <w:pPr>
                    <w:widowControl/>
                    <w:jc w:val="left"/>
                    <w:rPr>
                      <w:kern w:val="0"/>
                      <w:sz w:val="18"/>
                      <w:szCs w:val="18"/>
                    </w:rPr>
                  </w:pPr>
                </w:p>
              </w:tc>
              <w:tc>
                <w:tcPr>
                  <w:tcW w:w="437" w:type="pct"/>
                  <w:vMerge w:val="continue"/>
                  <w:vAlign w:val="center"/>
                </w:tcPr>
                <w:p w14:paraId="11B7EDE8">
                  <w:pPr>
                    <w:widowControl/>
                    <w:jc w:val="left"/>
                    <w:rPr>
                      <w:kern w:val="0"/>
                      <w:sz w:val="18"/>
                      <w:szCs w:val="18"/>
                    </w:rPr>
                  </w:pPr>
                </w:p>
              </w:tc>
              <w:tc>
                <w:tcPr>
                  <w:tcW w:w="411" w:type="pct"/>
                  <w:vMerge w:val="continue"/>
                  <w:vAlign w:val="center"/>
                </w:tcPr>
                <w:p w14:paraId="582E9F71">
                  <w:pPr>
                    <w:widowControl/>
                    <w:jc w:val="left"/>
                    <w:rPr>
                      <w:kern w:val="0"/>
                      <w:sz w:val="18"/>
                      <w:szCs w:val="18"/>
                    </w:rPr>
                  </w:pPr>
                </w:p>
              </w:tc>
              <w:tc>
                <w:tcPr>
                  <w:tcW w:w="459" w:type="pct"/>
                  <w:vMerge w:val="continue"/>
                  <w:vAlign w:val="center"/>
                </w:tcPr>
                <w:p w14:paraId="0FA79ACE">
                  <w:pPr>
                    <w:widowControl/>
                    <w:jc w:val="left"/>
                    <w:rPr>
                      <w:kern w:val="0"/>
                      <w:sz w:val="18"/>
                      <w:szCs w:val="18"/>
                    </w:rPr>
                  </w:pPr>
                </w:p>
              </w:tc>
              <w:tc>
                <w:tcPr>
                  <w:tcW w:w="334" w:type="pct"/>
                  <w:vMerge w:val="continue"/>
                  <w:vAlign w:val="center"/>
                </w:tcPr>
                <w:p w14:paraId="2BEA81C4">
                  <w:pPr>
                    <w:widowControl/>
                    <w:jc w:val="left"/>
                    <w:rPr>
                      <w:kern w:val="0"/>
                      <w:sz w:val="18"/>
                      <w:szCs w:val="18"/>
                    </w:rPr>
                  </w:pPr>
                </w:p>
              </w:tc>
              <w:tc>
                <w:tcPr>
                  <w:tcW w:w="731" w:type="pct"/>
                  <w:shd w:val="clear" w:color="auto" w:fill="auto"/>
                  <w:vAlign w:val="center"/>
                </w:tcPr>
                <w:p w14:paraId="5E810721">
                  <w:pPr>
                    <w:widowControl/>
                    <w:jc w:val="center"/>
                    <w:rPr>
                      <w:kern w:val="0"/>
                      <w:sz w:val="18"/>
                      <w:szCs w:val="18"/>
                    </w:rPr>
                  </w:pPr>
                  <w:r>
                    <w:rPr>
                      <w:kern w:val="0"/>
                      <w:sz w:val="18"/>
                      <w:szCs w:val="18"/>
                    </w:rPr>
                    <w:t>pH值</w:t>
                  </w:r>
                </w:p>
              </w:tc>
              <w:tc>
                <w:tcPr>
                  <w:tcW w:w="503" w:type="pct"/>
                  <w:shd w:val="clear" w:color="auto" w:fill="auto"/>
                  <w:vAlign w:val="center"/>
                </w:tcPr>
                <w:p w14:paraId="16FB6F68">
                  <w:pPr>
                    <w:widowControl/>
                    <w:jc w:val="center"/>
                    <w:rPr>
                      <w:kern w:val="0"/>
                      <w:sz w:val="18"/>
                      <w:szCs w:val="18"/>
                    </w:rPr>
                  </w:pPr>
                  <w:r>
                    <w:rPr>
                      <w:kern w:val="0"/>
                      <w:sz w:val="18"/>
                      <w:szCs w:val="18"/>
                    </w:rPr>
                    <w:t>6-9</w:t>
                  </w:r>
                </w:p>
              </w:tc>
            </w:tr>
            <w:tr w14:paraId="342620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5" w:type="pct"/>
                  <w:vMerge w:val="continue"/>
                  <w:vAlign w:val="center"/>
                </w:tcPr>
                <w:p w14:paraId="26A9E977">
                  <w:pPr>
                    <w:widowControl/>
                    <w:jc w:val="left"/>
                    <w:rPr>
                      <w:kern w:val="0"/>
                      <w:sz w:val="18"/>
                      <w:szCs w:val="18"/>
                    </w:rPr>
                  </w:pPr>
                </w:p>
              </w:tc>
              <w:tc>
                <w:tcPr>
                  <w:tcW w:w="456" w:type="pct"/>
                  <w:vMerge w:val="continue"/>
                  <w:vAlign w:val="center"/>
                </w:tcPr>
                <w:p w14:paraId="5F6E503F">
                  <w:pPr>
                    <w:widowControl/>
                    <w:jc w:val="left"/>
                    <w:rPr>
                      <w:kern w:val="0"/>
                      <w:sz w:val="18"/>
                      <w:szCs w:val="18"/>
                    </w:rPr>
                  </w:pPr>
                </w:p>
              </w:tc>
              <w:tc>
                <w:tcPr>
                  <w:tcW w:w="428" w:type="pct"/>
                  <w:vMerge w:val="continue"/>
                  <w:vAlign w:val="center"/>
                </w:tcPr>
                <w:p w14:paraId="26096ECF">
                  <w:pPr>
                    <w:widowControl/>
                    <w:jc w:val="left"/>
                    <w:rPr>
                      <w:kern w:val="0"/>
                      <w:sz w:val="18"/>
                      <w:szCs w:val="18"/>
                    </w:rPr>
                  </w:pPr>
                </w:p>
              </w:tc>
              <w:tc>
                <w:tcPr>
                  <w:tcW w:w="454" w:type="pct"/>
                  <w:vMerge w:val="continue"/>
                  <w:vAlign w:val="center"/>
                </w:tcPr>
                <w:p w14:paraId="52ECC095">
                  <w:pPr>
                    <w:widowControl/>
                    <w:jc w:val="left"/>
                    <w:rPr>
                      <w:kern w:val="0"/>
                      <w:sz w:val="18"/>
                      <w:szCs w:val="18"/>
                    </w:rPr>
                  </w:pPr>
                </w:p>
              </w:tc>
              <w:tc>
                <w:tcPr>
                  <w:tcW w:w="412" w:type="pct"/>
                  <w:vMerge w:val="continue"/>
                  <w:vAlign w:val="center"/>
                </w:tcPr>
                <w:p w14:paraId="5FA4F59C">
                  <w:pPr>
                    <w:widowControl/>
                    <w:jc w:val="left"/>
                    <w:rPr>
                      <w:kern w:val="0"/>
                      <w:sz w:val="18"/>
                      <w:szCs w:val="18"/>
                    </w:rPr>
                  </w:pPr>
                </w:p>
              </w:tc>
              <w:tc>
                <w:tcPr>
                  <w:tcW w:w="437" w:type="pct"/>
                  <w:vMerge w:val="continue"/>
                  <w:vAlign w:val="center"/>
                </w:tcPr>
                <w:p w14:paraId="566F4793">
                  <w:pPr>
                    <w:widowControl/>
                    <w:jc w:val="left"/>
                    <w:rPr>
                      <w:kern w:val="0"/>
                      <w:sz w:val="18"/>
                      <w:szCs w:val="18"/>
                    </w:rPr>
                  </w:pPr>
                </w:p>
              </w:tc>
              <w:tc>
                <w:tcPr>
                  <w:tcW w:w="411" w:type="pct"/>
                  <w:vMerge w:val="continue"/>
                  <w:vAlign w:val="center"/>
                </w:tcPr>
                <w:p w14:paraId="0619AD72">
                  <w:pPr>
                    <w:widowControl/>
                    <w:jc w:val="left"/>
                    <w:rPr>
                      <w:kern w:val="0"/>
                      <w:sz w:val="18"/>
                      <w:szCs w:val="18"/>
                    </w:rPr>
                  </w:pPr>
                </w:p>
              </w:tc>
              <w:tc>
                <w:tcPr>
                  <w:tcW w:w="459" w:type="pct"/>
                  <w:vMerge w:val="continue"/>
                  <w:vAlign w:val="center"/>
                </w:tcPr>
                <w:p w14:paraId="221F9621">
                  <w:pPr>
                    <w:widowControl/>
                    <w:jc w:val="left"/>
                    <w:rPr>
                      <w:kern w:val="0"/>
                      <w:sz w:val="18"/>
                      <w:szCs w:val="18"/>
                    </w:rPr>
                  </w:pPr>
                </w:p>
              </w:tc>
              <w:tc>
                <w:tcPr>
                  <w:tcW w:w="334" w:type="pct"/>
                  <w:vMerge w:val="continue"/>
                  <w:vAlign w:val="center"/>
                </w:tcPr>
                <w:p w14:paraId="30CF2DCE">
                  <w:pPr>
                    <w:widowControl/>
                    <w:jc w:val="left"/>
                    <w:rPr>
                      <w:kern w:val="0"/>
                      <w:sz w:val="18"/>
                      <w:szCs w:val="18"/>
                    </w:rPr>
                  </w:pPr>
                </w:p>
              </w:tc>
              <w:tc>
                <w:tcPr>
                  <w:tcW w:w="731" w:type="pct"/>
                  <w:shd w:val="clear" w:color="auto" w:fill="auto"/>
                  <w:vAlign w:val="center"/>
                </w:tcPr>
                <w:p w14:paraId="171D0C0F">
                  <w:pPr>
                    <w:widowControl/>
                    <w:jc w:val="center"/>
                    <w:rPr>
                      <w:kern w:val="0"/>
                      <w:sz w:val="18"/>
                      <w:szCs w:val="18"/>
                    </w:rPr>
                  </w:pPr>
                  <w:r>
                    <w:rPr>
                      <w:kern w:val="0"/>
                      <w:sz w:val="18"/>
                      <w:szCs w:val="18"/>
                    </w:rPr>
                    <w:t>氨氮（NH</w:t>
                  </w:r>
                  <w:r>
                    <w:rPr>
                      <w:kern w:val="0"/>
                      <w:sz w:val="18"/>
                      <w:szCs w:val="18"/>
                      <w:vertAlign w:val="subscript"/>
                    </w:rPr>
                    <w:t>3</w:t>
                  </w:r>
                  <w:r>
                    <w:rPr>
                      <w:kern w:val="0"/>
                      <w:sz w:val="18"/>
                      <w:szCs w:val="18"/>
                    </w:rPr>
                    <w:t>-N）</w:t>
                  </w:r>
                </w:p>
              </w:tc>
              <w:tc>
                <w:tcPr>
                  <w:tcW w:w="503" w:type="pct"/>
                  <w:shd w:val="clear" w:color="auto" w:fill="auto"/>
                  <w:vAlign w:val="center"/>
                </w:tcPr>
                <w:p w14:paraId="50645538">
                  <w:pPr>
                    <w:widowControl/>
                    <w:jc w:val="center"/>
                    <w:rPr>
                      <w:kern w:val="0"/>
                      <w:sz w:val="18"/>
                      <w:szCs w:val="18"/>
                    </w:rPr>
                  </w:pPr>
                  <w:r>
                    <w:rPr>
                      <w:kern w:val="0"/>
                      <w:sz w:val="18"/>
                      <w:szCs w:val="18"/>
                    </w:rPr>
                    <w:t>5</w:t>
                  </w:r>
                </w:p>
              </w:tc>
            </w:tr>
            <w:tr w14:paraId="2BE5C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375" w:type="pct"/>
                  <w:vMerge w:val="continue"/>
                  <w:vAlign w:val="center"/>
                </w:tcPr>
                <w:p w14:paraId="35C93CC6">
                  <w:pPr>
                    <w:widowControl/>
                    <w:jc w:val="left"/>
                    <w:rPr>
                      <w:kern w:val="0"/>
                      <w:sz w:val="18"/>
                      <w:szCs w:val="18"/>
                    </w:rPr>
                  </w:pPr>
                </w:p>
              </w:tc>
              <w:tc>
                <w:tcPr>
                  <w:tcW w:w="456" w:type="pct"/>
                  <w:vMerge w:val="continue"/>
                  <w:vAlign w:val="center"/>
                </w:tcPr>
                <w:p w14:paraId="042D3F44">
                  <w:pPr>
                    <w:widowControl/>
                    <w:jc w:val="left"/>
                    <w:rPr>
                      <w:kern w:val="0"/>
                      <w:sz w:val="18"/>
                      <w:szCs w:val="18"/>
                    </w:rPr>
                  </w:pPr>
                </w:p>
              </w:tc>
              <w:tc>
                <w:tcPr>
                  <w:tcW w:w="428" w:type="pct"/>
                  <w:vMerge w:val="continue"/>
                  <w:vAlign w:val="center"/>
                </w:tcPr>
                <w:p w14:paraId="56E0C42E">
                  <w:pPr>
                    <w:widowControl/>
                    <w:jc w:val="left"/>
                    <w:rPr>
                      <w:kern w:val="0"/>
                      <w:sz w:val="18"/>
                      <w:szCs w:val="18"/>
                    </w:rPr>
                  </w:pPr>
                </w:p>
              </w:tc>
              <w:tc>
                <w:tcPr>
                  <w:tcW w:w="454" w:type="pct"/>
                  <w:vMerge w:val="continue"/>
                  <w:vAlign w:val="center"/>
                </w:tcPr>
                <w:p w14:paraId="07D3068F">
                  <w:pPr>
                    <w:widowControl/>
                    <w:jc w:val="left"/>
                    <w:rPr>
                      <w:kern w:val="0"/>
                      <w:sz w:val="18"/>
                      <w:szCs w:val="18"/>
                    </w:rPr>
                  </w:pPr>
                </w:p>
              </w:tc>
              <w:tc>
                <w:tcPr>
                  <w:tcW w:w="412" w:type="pct"/>
                  <w:vMerge w:val="continue"/>
                  <w:vAlign w:val="center"/>
                </w:tcPr>
                <w:p w14:paraId="45AF5A5D">
                  <w:pPr>
                    <w:widowControl/>
                    <w:jc w:val="left"/>
                    <w:rPr>
                      <w:kern w:val="0"/>
                      <w:sz w:val="18"/>
                      <w:szCs w:val="18"/>
                    </w:rPr>
                  </w:pPr>
                </w:p>
              </w:tc>
              <w:tc>
                <w:tcPr>
                  <w:tcW w:w="437" w:type="pct"/>
                  <w:vMerge w:val="continue"/>
                  <w:vAlign w:val="center"/>
                </w:tcPr>
                <w:p w14:paraId="732A8763">
                  <w:pPr>
                    <w:widowControl/>
                    <w:jc w:val="left"/>
                    <w:rPr>
                      <w:kern w:val="0"/>
                      <w:sz w:val="18"/>
                      <w:szCs w:val="18"/>
                    </w:rPr>
                  </w:pPr>
                </w:p>
              </w:tc>
              <w:tc>
                <w:tcPr>
                  <w:tcW w:w="411" w:type="pct"/>
                  <w:vMerge w:val="continue"/>
                  <w:vAlign w:val="center"/>
                </w:tcPr>
                <w:p w14:paraId="4198C67E">
                  <w:pPr>
                    <w:widowControl/>
                    <w:jc w:val="left"/>
                    <w:rPr>
                      <w:kern w:val="0"/>
                      <w:sz w:val="18"/>
                      <w:szCs w:val="18"/>
                    </w:rPr>
                  </w:pPr>
                </w:p>
              </w:tc>
              <w:tc>
                <w:tcPr>
                  <w:tcW w:w="459" w:type="pct"/>
                  <w:vMerge w:val="continue"/>
                  <w:vAlign w:val="center"/>
                </w:tcPr>
                <w:p w14:paraId="1D03AE69">
                  <w:pPr>
                    <w:widowControl/>
                    <w:jc w:val="left"/>
                    <w:rPr>
                      <w:kern w:val="0"/>
                      <w:sz w:val="18"/>
                      <w:szCs w:val="18"/>
                    </w:rPr>
                  </w:pPr>
                </w:p>
              </w:tc>
              <w:tc>
                <w:tcPr>
                  <w:tcW w:w="334" w:type="pct"/>
                  <w:vMerge w:val="continue"/>
                  <w:vAlign w:val="center"/>
                </w:tcPr>
                <w:p w14:paraId="3146B56E">
                  <w:pPr>
                    <w:widowControl/>
                    <w:jc w:val="left"/>
                    <w:rPr>
                      <w:kern w:val="0"/>
                      <w:sz w:val="18"/>
                      <w:szCs w:val="18"/>
                    </w:rPr>
                  </w:pPr>
                </w:p>
              </w:tc>
              <w:tc>
                <w:tcPr>
                  <w:tcW w:w="731" w:type="pct"/>
                  <w:shd w:val="clear" w:color="auto" w:fill="auto"/>
                  <w:vAlign w:val="center"/>
                </w:tcPr>
                <w:p w14:paraId="00AB1B26">
                  <w:pPr>
                    <w:widowControl/>
                    <w:jc w:val="center"/>
                    <w:rPr>
                      <w:kern w:val="0"/>
                      <w:sz w:val="18"/>
                      <w:szCs w:val="18"/>
                    </w:rPr>
                  </w:pPr>
                  <w:r>
                    <w:rPr>
                      <w:kern w:val="0"/>
                      <w:sz w:val="18"/>
                      <w:szCs w:val="18"/>
                    </w:rPr>
                    <w:t>动植物油</w:t>
                  </w:r>
                </w:p>
              </w:tc>
              <w:tc>
                <w:tcPr>
                  <w:tcW w:w="503" w:type="pct"/>
                  <w:shd w:val="clear" w:color="auto" w:fill="auto"/>
                  <w:vAlign w:val="center"/>
                </w:tcPr>
                <w:p w14:paraId="3F3D40A5">
                  <w:pPr>
                    <w:widowControl/>
                    <w:jc w:val="center"/>
                    <w:rPr>
                      <w:kern w:val="0"/>
                      <w:sz w:val="18"/>
                      <w:szCs w:val="18"/>
                    </w:rPr>
                  </w:pPr>
                  <w:r>
                    <w:rPr>
                      <w:kern w:val="0"/>
                      <w:sz w:val="18"/>
                      <w:szCs w:val="18"/>
                    </w:rPr>
                    <w:t>1</w:t>
                  </w:r>
                </w:p>
              </w:tc>
            </w:tr>
          </w:tbl>
          <w:p w14:paraId="29960CD5">
            <w:pPr>
              <w:spacing w:line="500" w:lineRule="exact"/>
              <w:contextualSpacing/>
              <w:jc w:val="center"/>
              <w:rPr>
                <w:b/>
                <w:bCs/>
                <w:sz w:val="24"/>
              </w:rPr>
            </w:pPr>
            <w:r>
              <w:rPr>
                <w:b/>
                <w:bCs/>
                <w:sz w:val="24"/>
              </w:rPr>
              <w:t>表4-11 废水污染物排放信息表</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1045"/>
              <w:gridCol w:w="1056"/>
              <w:gridCol w:w="907"/>
              <w:gridCol w:w="1118"/>
              <w:gridCol w:w="1442"/>
              <w:gridCol w:w="1077"/>
              <w:gridCol w:w="1060"/>
            </w:tblGrid>
            <w:tr w14:paraId="71ACD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535" w:type="pct"/>
                  <w:shd w:val="clear" w:color="auto" w:fill="auto"/>
                  <w:vAlign w:val="center"/>
                </w:tcPr>
                <w:p w14:paraId="7C76FEAC">
                  <w:pPr>
                    <w:widowControl/>
                    <w:jc w:val="center"/>
                    <w:rPr>
                      <w:b/>
                      <w:bCs/>
                      <w:kern w:val="0"/>
                      <w:szCs w:val="21"/>
                    </w:rPr>
                  </w:pPr>
                  <w:r>
                    <w:rPr>
                      <w:b/>
                      <w:bCs/>
                      <w:kern w:val="0"/>
                      <w:szCs w:val="21"/>
                    </w:rPr>
                    <w:t>序号</w:t>
                  </w:r>
                </w:p>
              </w:tc>
              <w:tc>
                <w:tcPr>
                  <w:tcW w:w="575" w:type="pct"/>
                  <w:shd w:val="clear" w:color="auto" w:fill="auto"/>
                  <w:vAlign w:val="center"/>
                </w:tcPr>
                <w:p w14:paraId="7C150EA2">
                  <w:pPr>
                    <w:widowControl/>
                    <w:jc w:val="center"/>
                    <w:rPr>
                      <w:b/>
                      <w:bCs/>
                      <w:kern w:val="0"/>
                      <w:szCs w:val="21"/>
                    </w:rPr>
                  </w:pPr>
                  <w:r>
                    <w:rPr>
                      <w:b/>
                      <w:bCs/>
                      <w:kern w:val="0"/>
                      <w:szCs w:val="21"/>
                    </w:rPr>
                    <w:t>排放口编号</w:t>
                  </w:r>
                </w:p>
              </w:tc>
              <w:tc>
                <w:tcPr>
                  <w:tcW w:w="613" w:type="pct"/>
                  <w:shd w:val="clear" w:color="auto" w:fill="auto"/>
                  <w:vAlign w:val="center"/>
                </w:tcPr>
                <w:p w14:paraId="4EDF4A52">
                  <w:pPr>
                    <w:widowControl/>
                    <w:jc w:val="center"/>
                    <w:rPr>
                      <w:b/>
                      <w:bCs/>
                      <w:kern w:val="0"/>
                      <w:szCs w:val="21"/>
                    </w:rPr>
                  </w:pPr>
                  <w:r>
                    <w:rPr>
                      <w:b/>
                      <w:bCs/>
                      <w:kern w:val="0"/>
                      <w:szCs w:val="21"/>
                    </w:rPr>
                    <w:t>污染物种类</w:t>
                  </w:r>
                </w:p>
              </w:tc>
              <w:tc>
                <w:tcPr>
                  <w:tcW w:w="535" w:type="pct"/>
                  <w:shd w:val="clear" w:color="auto" w:fill="auto"/>
                  <w:vAlign w:val="center"/>
                </w:tcPr>
                <w:p w14:paraId="67331429">
                  <w:pPr>
                    <w:widowControl/>
                    <w:jc w:val="center"/>
                    <w:rPr>
                      <w:b/>
                      <w:bCs/>
                      <w:kern w:val="0"/>
                      <w:szCs w:val="21"/>
                    </w:rPr>
                  </w:pPr>
                  <w:r>
                    <w:rPr>
                      <w:b/>
                      <w:bCs/>
                      <w:kern w:val="0"/>
                      <w:szCs w:val="21"/>
                    </w:rPr>
                    <w:t>排放浓度/(mg/L)</w:t>
                  </w:r>
                </w:p>
              </w:tc>
              <w:tc>
                <w:tcPr>
                  <w:tcW w:w="653" w:type="pct"/>
                  <w:shd w:val="clear" w:color="auto" w:fill="auto"/>
                  <w:vAlign w:val="center"/>
                </w:tcPr>
                <w:p w14:paraId="2D996A13">
                  <w:pPr>
                    <w:widowControl/>
                    <w:jc w:val="center"/>
                    <w:rPr>
                      <w:b/>
                      <w:bCs/>
                      <w:kern w:val="0"/>
                      <w:szCs w:val="21"/>
                    </w:rPr>
                  </w:pPr>
                  <w:r>
                    <w:rPr>
                      <w:b/>
                      <w:bCs/>
                      <w:kern w:val="0"/>
                      <w:szCs w:val="21"/>
                    </w:rPr>
                    <w:t>新增日排放量/(kg/d）</w:t>
                  </w:r>
                  <w:r>
                    <w:rPr>
                      <w:rFonts w:ascii="Cambria Math" w:hAnsi="Cambria Math" w:cs="Cambria Math"/>
                      <w:b/>
                      <w:bCs/>
                      <w:kern w:val="0"/>
                      <w:szCs w:val="21"/>
                      <w:vertAlign w:val="superscript"/>
                    </w:rPr>
                    <w:t>①</w:t>
                  </w:r>
                </w:p>
              </w:tc>
              <w:tc>
                <w:tcPr>
                  <w:tcW w:w="841" w:type="pct"/>
                  <w:shd w:val="clear" w:color="auto" w:fill="auto"/>
                  <w:vAlign w:val="center"/>
                </w:tcPr>
                <w:p w14:paraId="71871412">
                  <w:pPr>
                    <w:widowControl/>
                    <w:jc w:val="center"/>
                    <w:rPr>
                      <w:b/>
                      <w:bCs/>
                      <w:kern w:val="0"/>
                      <w:szCs w:val="21"/>
                    </w:rPr>
                  </w:pPr>
                  <w:r>
                    <w:rPr>
                      <w:b/>
                      <w:bCs/>
                      <w:kern w:val="0"/>
                      <w:szCs w:val="21"/>
                    </w:rPr>
                    <w:t>全厂日排放量/（kg/d）</w:t>
                  </w:r>
                </w:p>
              </w:tc>
              <w:tc>
                <w:tcPr>
                  <w:tcW w:w="629" w:type="pct"/>
                  <w:shd w:val="clear" w:color="auto" w:fill="auto"/>
                  <w:vAlign w:val="center"/>
                </w:tcPr>
                <w:p w14:paraId="6619E714">
                  <w:pPr>
                    <w:widowControl/>
                    <w:jc w:val="center"/>
                    <w:rPr>
                      <w:b/>
                      <w:bCs/>
                      <w:kern w:val="0"/>
                      <w:szCs w:val="21"/>
                    </w:rPr>
                  </w:pPr>
                  <w:r>
                    <w:rPr>
                      <w:b/>
                      <w:bCs/>
                      <w:kern w:val="0"/>
                      <w:szCs w:val="21"/>
                    </w:rPr>
                    <w:t>新增年排放量（t/a）</w:t>
                  </w:r>
                  <w:r>
                    <w:rPr>
                      <w:rFonts w:ascii="Cambria Math" w:hAnsi="Cambria Math" w:cs="Cambria Math"/>
                      <w:b/>
                      <w:bCs/>
                      <w:kern w:val="0"/>
                      <w:szCs w:val="21"/>
                      <w:vertAlign w:val="superscript"/>
                    </w:rPr>
                    <w:t>①</w:t>
                  </w:r>
                </w:p>
              </w:tc>
              <w:tc>
                <w:tcPr>
                  <w:tcW w:w="620" w:type="pct"/>
                  <w:shd w:val="clear" w:color="auto" w:fill="auto"/>
                  <w:vAlign w:val="center"/>
                </w:tcPr>
                <w:p w14:paraId="0AC2E3E1">
                  <w:pPr>
                    <w:widowControl/>
                    <w:jc w:val="center"/>
                    <w:rPr>
                      <w:b/>
                      <w:bCs/>
                      <w:kern w:val="0"/>
                      <w:szCs w:val="21"/>
                    </w:rPr>
                  </w:pPr>
                  <w:r>
                    <w:rPr>
                      <w:b/>
                      <w:bCs/>
                      <w:kern w:val="0"/>
                      <w:szCs w:val="21"/>
                    </w:rPr>
                    <w:t>全厂年排放量/（t/a）</w:t>
                  </w:r>
                </w:p>
              </w:tc>
            </w:tr>
            <w:tr w14:paraId="1BCE72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35" w:type="pct"/>
                  <w:vMerge w:val="restart"/>
                  <w:shd w:val="clear" w:color="auto" w:fill="auto"/>
                  <w:noWrap/>
                  <w:vAlign w:val="center"/>
                </w:tcPr>
                <w:p w14:paraId="0F4CD6B8">
                  <w:pPr>
                    <w:widowControl/>
                    <w:jc w:val="center"/>
                    <w:rPr>
                      <w:kern w:val="0"/>
                      <w:szCs w:val="21"/>
                    </w:rPr>
                  </w:pPr>
                  <w:r>
                    <w:rPr>
                      <w:kern w:val="0"/>
                      <w:szCs w:val="21"/>
                    </w:rPr>
                    <w:t>1</w:t>
                  </w:r>
                </w:p>
              </w:tc>
              <w:tc>
                <w:tcPr>
                  <w:tcW w:w="575" w:type="pct"/>
                  <w:vMerge w:val="restart"/>
                  <w:shd w:val="clear" w:color="auto" w:fill="auto"/>
                  <w:noWrap/>
                  <w:vAlign w:val="center"/>
                </w:tcPr>
                <w:p w14:paraId="11D5FE2E">
                  <w:pPr>
                    <w:widowControl/>
                    <w:jc w:val="center"/>
                    <w:rPr>
                      <w:kern w:val="0"/>
                      <w:szCs w:val="21"/>
                    </w:rPr>
                  </w:pPr>
                  <w:r>
                    <w:rPr>
                      <w:kern w:val="0"/>
                      <w:szCs w:val="21"/>
                    </w:rPr>
                    <w:t>DW001</w:t>
                  </w:r>
                  <w:r>
                    <w:rPr>
                      <w:rFonts w:ascii="Cambria Math" w:hAnsi="Cambria Math" w:cs="Cambria Math"/>
                      <w:kern w:val="0"/>
                      <w:szCs w:val="21"/>
                      <w:vertAlign w:val="superscript"/>
                    </w:rPr>
                    <w:t>②</w:t>
                  </w:r>
                </w:p>
              </w:tc>
              <w:tc>
                <w:tcPr>
                  <w:tcW w:w="613" w:type="pct"/>
                  <w:shd w:val="clear" w:color="auto" w:fill="auto"/>
                  <w:vAlign w:val="center"/>
                </w:tcPr>
                <w:p w14:paraId="5984DA10">
                  <w:pPr>
                    <w:widowControl/>
                    <w:jc w:val="center"/>
                    <w:rPr>
                      <w:kern w:val="0"/>
                      <w:szCs w:val="21"/>
                    </w:rPr>
                  </w:pPr>
                  <w:r>
                    <w:rPr>
                      <w:kern w:val="0"/>
                      <w:szCs w:val="21"/>
                    </w:rPr>
                    <w:t>COD</w:t>
                  </w:r>
                </w:p>
              </w:tc>
              <w:tc>
                <w:tcPr>
                  <w:tcW w:w="535" w:type="pct"/>
                  <w:shd w:val="clear" w:color="auto" w:fill="auto"/>
                  <w:vAlign w:val="center"/>
                </w:tcPr>
                <w:p w14:paraId="58AE9039">
                  <w:pPr>
                    <w:widowControl/>
                    <w:jc w:val="center"/>
                    <w:rPr>
                      <w:kern w:val="0"/>
                      <w:szCs w:val="21"/>
                    </w:rPr>
                  </w:pPr>
                  <w:r>
                    <w:rPr>
                      <w:kern w:val="0"/>
                      <w:szCs w:val="21"/>
                    </w:rPr>
                    <w:t>400</w:t>
                  </w:r>
                </w:p>
              </w:tc>
              <w:tc>
                <w:tcPr>
                  <w:tcW w:w="653" w:type="pct"/>
                  <w:shd w:val="clear" w:color="auto" w:fill="auto"/>
                  <w:noWrap/>
                  <w:vAlign w:val="center"/>
                </w:tcPr>
                <w:p w14:paraId="3BDFB093">
                  <w:pPr>
                    <w:widowControl/>
                    <w:jc w:val="center"/>
                    <w:rPr>
                      <w:kern w:val="0"/>
                      <w:szCs w:val="21"/>
                    </w:rPr>
                  </w:pPr>
                  <w:r>
                    <w:rPr>
                      <w:kern w:val="0"/>
                      <w:szCs w:val="21"/>
                    </w:rPr>
                    <w:t>/</w:t>
                  </w:r>
                </w:p>
              </w:tc>
              <w:tc>
                <w:tcPr>
                  <w:tcW w:w="841" w:type="pct"/>
                  <w:shd w:val="clear" w:color="auto" w:fill="auto"/>
                  <w:noWrap/>
                  <w:vAlign w:val="center"/>
                </w:tcPr>
                <w:p w14:paraId="0F85D764">
                  <w:pPr>
                    <w:widowControl/>
                    <w:jc w:val="center"/>
                    <w:rPr>
                      <w:kern w:val="0"/>
                      <w:szCs w:val="21"/>
                    </w:rPr>
                  </w:pPr>
                  <w:r>
                    <w:rPr>
                      <w:kern w:val="0"/>
                      <w:szCs w:val="21"/>
                    </w:rPr>
                    <w:t>697.49</w:t>
                  </w:r>
                </w:p>
              </w:tc>
              <w:tc>
                <w:tcPr>
                  <w:tcW w:w="629" w:type="pct"/>
                  <w:shd w:val="clear" w:color="auto" w:fill="auto"/>
                  <w:noWrap/>
                  <w:vAlign w:val="center"/>
                </w:tcPr>
                <w:p w14:paraId="1CA4BE98">
                  <w:pPr>
                    <w:widowControl/>
                    <w:jc w:val="center"/>
                    <w:rPr>
                      <w:kern w:val="0"/>
                      <w:szCs w:val="21"/>
                    </w:rPr>
                  </w:pPr>
                  <w:r>
                    <w:rPr>
                      <w:kern w:val="0"/>
                      <w:szCs w:val="21"/>
                    </w:rPr>
                    <w:t>/</w:t>
                  </w:r>
                </w:p>
              </w:tc>
              <w:tc>
                <w:tcPr>
                  <w:tcW w:w="620" w:type="pct"/>
                  <w:shd w:val="clear" w:color="auto" w:fill="auto"/>
                  <w:noWrap/>
                  <w:vAlign w:val="center"/>
                </w:tcPr>
                <w:p w14:paraId="77308796">
                  <w:pPr>
                    <w:widowControl/>
                    <w:jc w:val="center"/>
                    <w:rPr>
                      <w:kern w:val="0"/>
                      <w:szCs w:val="21"/>
                    </w:rPr>
                  </w:pPr>
                  <w:r>
                    <w:rPr>
                      <w:kern w:val="0"/>
                      <w:szCs w:val="21"/>
                    </w:rPr>
                    <w:t>244.12</w:t>
                  </w:r>
                </w:p>
              </w:tc>
            </w:tr>
            <w:tr w14:paraId="3891B1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35" w:type="pct"/>
                  <w:vMerge w:val="continue"/>
                  <w:vAlign w:val="center"/>
                </w:tcPr>
                <w:p w14:paraId="5A0910B9">
                  <w:pPr>
                    <w:widowControl/>
                    <w:jc w:val="left"/>
                    <w:rPr>
                      <w:kern w:val="0"/>
                      <w:szCs w:val="21"/>
                    </w:rPr>
                  </w:pPr>
                </w:p>
              </w:tc>
              <w:tc>
                <w:tcPr>
                  <w:tcW w:w="575" w:type="pct"/>
                  <w:vMerge w:val="continue"/>
                  <w:vAlign w:val="center"/>
                </w:tcPr>
                <w:p w14:paraId="28D36179">
                  <w:pPr>
                    <w:widowControl/>
                    <w:jc w:val="left"/>
                    <w:rPr>
                      <w:kern w:val="0"/>
                      <w:szCs w:val="21"/>
                    </w:rPr>
                  </w:pPr>
                </w:p>
              </w:tc>
              <w:tc>
                <w:tcPr>
                  <w:tcW w:w="613" w:type="pct"/>
                  <w:shd w:val="clear" w:color="auto" w:fill="auto"/>
                  <w:vAlign w:val="center"/>
                </w:tcPr>
                <w:p w14:paraId="504F37BF">
                  <w:pPr>
                    <w:widowControl/>
                    <w:jc w:val="center"/>
                    <w:rPr>
                      <w:kern w:val="0"/>
                      <w:szCs w:val="21"/>
                    </w:rPr>
                  </w:pPr>
                  <w:r>
                    <w:rPr>
                      <w:kern w:val="0"/>
                      <w:szCs w:val="21"/>
                    </w:rPr>
                    <w:t>SS</w:t>
                  </w:r>
                </w:p>
              </w:tc>
              <w:tc>
                <w:tcPr>
                  <w:tcW w:w="535" w:type="pct"/>
                  <w:shd w:val="clear" w:color="auto" w:fill="auto"/>
                  <w:vAlign w:val="center"/>
                </w:tcPr>
                <w:p w14:paraId="0A1A7D98">
                  <w:pPr>
                    <w:widowControl/>
                    <w:jc w:val="center"/>
                    <w:rPr>
                      <w:kern w:val="0"/>
                      <w:szCs w:val="21"/>
                    </w:rPr>
                  </w:pPr>
                  <w:r>
                    <w:rPr>
                      <w:kern w:val="0"/>
                      <w:szCs w:val="21"/>
                    </w:rPr>
                    <w:t>280</w:t>
                  </w:r>
                </w:p>
              </w:tc>
              <w:tc>
                <w:tcPr>
                  <w:tcW w:w="653" w:type="pct"/>
                  <w:shd w:val="clear" w:color="auto" w:fill="auto"/>
                  <w:noWrap/>
                  <w:vAlign w:val="center"/>
                </w:tcPr>
                <w:p w14:paraId="3550F694">
                  <w:pPr>
                    <w:widowControl/>
                    <w:jc w:val="center"/>
                    <w:rPr>
                      <w:kern w:val="0"/>
                      <w:szCs w:val="21"/>
                    </w:rPr>
                  </w:pPr>
                  <w:r>
                    <w:rPr>
                      <w:kern w:val="0"/>
                      <w:szCs w:val="21"/>
                    </w:rPr>
                    <w:t>/</w:t>
                  </w:r>
                </w:p>
              </w:tc>
              <w:tc>
                <w:tcPr>
                  <w:tcW w:w="841" w:type="pct"/>
                  <w:shd w:val="clear" w:color="auto" w:fill="auto"/>
                  <w:noWrap/>
                  <w:vAlign w:val="center"/>
                </w:tcPr>
                <w:p w14:paraId="7E1054BE">
                  <w:pPr>
                    <w:widowControl/>
                    <w:jc w:val="center"/>
                    <w:rPr>
                      <w:kern w:val="0"/>
                      <w:szCs w:val="21"/>
                    </w:rPr>
                  </w:pPr>
                  <w:r>
                    <w:rPr>
                      <w:kern w:val="0"/>
                      <w:szCs w:val="21"/>
                    </w:rPr>
                    <w:t>488.23</w:t>
                  </w:r>
                </w:p>
              </w:tc>
              <w:tc>
                <w:tcPr>
                  <w:tcW w:w="629" w:type="pct"/>
                  <w:shd w:val="clear" w:color="auto" w:fill="auto"/>
                  <w:noWrap/>
                  <w:vAlign w:val="center"/>
                </w:tcPr>
                <w:p w14:paraId="538FFA14">
                  <w:pPr>
                    <w:widowControl/>
                    <w:jc w:val="center"/>
                    <w:rPr>
                      <w:kern w:val="0"/>
                      <w:szCs w:val="21"/>
                    </w:rPr>
                  </w:pPr>
                  <w:r>
                    <w:rPr>
                      <w:kern w:val="0"/>
                      <w:szCs w:val="21"/>
                    </w:rPr>
                    <w:t>/</w:t>
                  </w:r>
                </w:p>
              </w:tc>
              <w:tc>
                <w:tcPr>
                  <w:tcW w:w="620" w:type="pct"/>
                  <w:shd w:val="clear" w:color="auto" w:fill="auto"/>
                  <w:noWrap/>
                  <w:vAlign w:val="center"/>
                </w:tcPr>
                <w:p w14:paraId="5579B13F">
                  <w:pPr>
                    <w:widowControl/>
                    <w:jc w:val="center"/>
                    <w:rPr>
                      <w:kern w:val="0"/>
                      <w:szCs w:val="21"/>
                    </w:rPr>
                  </w:pPr>
                  <w:r>
                    <w:rPr>
                      <w:kern w:val="0"/>
                      <w:szCs w:val="21"/>
                    </w:rPr>
                    <w:t>170.88</w:t>
                  </w:r>
                </w:p>
              </w:tc>
            </w:tr>
            <w:tr w14:paraId="5C6F9C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35" w:type="pct"/>
                  <w:vMerge w:val="continue"/>
                  <w:vAlign w:val="center"/>
                </w:tcPr>
                <w:p w14:paraId="4861BF1B">
                  <w:pPr>
                    <w:widowControl/>
                    <w:jc w:val="left"/>
                    <w:rPr>
                      <w:kern w:val="0"/>
                      <w:szCs w:val="21"/>
                    </w:rPr>
                  </w:pPr>
                </w:p>
              </w:tc>
              <w:tc>
                <w:tcPr>
                  <w:tcW w:w="575" w:type="pct"/>
                  <w:vMerge w:val="continue"/>
                  <w:vAlign w:val="center"/>
                </w:tcPr>
                <w:p w14:paraId="68ED5BC1">
                  <w:pPr>
                    <w:widowControl/>
                    <w:jc w:val="left"/>
                    <w:rPr>
                      <w:kern w:val="0"/>
                      <w:szCs w:val="21"/>
                    </w:rPr>
                  </w:pPr>
                </w:p>
              </w:tc>
              <w:tc>
                <w:tcPr>
                  <w:tcW w:w="613" w:type="pct"/>
                  <w:shd w:val="clear" w:color="auto" w:fill="auto"/>
                  <w:vAlign w:val="center"/>
                </w:tcPr>
                <w:p w14:paraId="74E5D8FF">
                  <w:pPr>
                    <w:widowControl/>
                    <w:jc w:val="center"/>
                    <w:rPr>
                      <w:kern w:val="0"/>
                      <w:szCs w:val="21"/>
                    </w:rPr>
                  </w:pPr>
                  <w:r>
                    <w:rPr>
                      <w:kern w:val="0"/>
                      <w:szCs w:val="21"/>
                    </w:rPr>
                    <w:t>氨氮</w:t>
                  </w:r>
                </w:p>
              </w:tc>
              <w:tc>
                <w:tcPr>
                  <w:tcW w:w="535" w:type="pct"/>
                  <w:shd w:val="clear" w:color="auto" w:fill="auto"/>
                  <w:vAlign w:val="center"/>
                </w:tcPr>
                <w:p w14:paraId="30C29F55">
                  <w:pPr>
                    <w:widowControl/>
                    <w:jc w:val="center"/>
                    <w:rPr>
                      <w:kern w:val="0"/>
                      <w:szCs w:val="21"/>
                    </w:rPr>
                  </w:pPr>
                  <w:r>
                    <w:rPr>
                      <w:kern w:val="0"/>
                      <w:szCs w:val="21"/>
                    </w:rPr>
                    <w:t>25</w:t>
                  </w:r>
                </w:p>
              </w:tc>
              <w:tc>
                <w:tcPr>
                  <w:tcW w:w="653" w:type="pct"/>
                  <w:shd w:val="clear" w:color="auto" w:fill="auto"/>
                  <w:noWrap/>
                  <w:vAlign w:val="center"/>
                </w:tcPr>
                <w:p w14:paraId="35673A8C">
                  <w:pPr>
                    <w:widowControl/>
                    <w:jc w:val="center"/>
                    <w:rPr>
                      <w:kern w:val="0"/>
                      <w:szCs w:val="21"/>
                    </w:rPr>
                  </w:pPr>
                  <w:r>
                    <w:rPr>
                      <w:kern w:val="0"/>
                      <w:szCs w:val="21"/>
                    </w:rPr>
                    <w:t>/</w:t>
                  </w:r>
                </w:p>
              </w:tc>
              <w:tc>
                <w:tcPr>
                  <w:tcW w:w="841" w:type="pct"/>
                  <w:shd w:val="clear" w:color="auto" w:fill="auto"/>
                  <w:noWrap/>
                  <w:vAlign w:val="center"/>
                </w:tcPr>
                <w:p w14:paraId="543DEF50">
                  <w:pPr>
                    <w:widowControl/>
                    <w:jc w:val="center"/>
                    <w:rPr>
                      <w:kern w:val="0"/>
                      <w:szCs w:val="21"/>
                    </w:rPr>
                  </w:pPr>
                  <w:r>
                    <w:rPr>
                      <w:kern w:val="0"/>
                      <w:szCs w:val="21"/>
                    </w:rPr>
                    <w:t>43.60</w:t>
                  </w:r>
                </w:p>
              </w:tc>
              <w:tc>
                <w:tcPr>
                  <w:tcW w:w="629" w:type="pct"/>
                  <w:shd w:val="clear" w:color="auto" w:fill="auto"/>
                  <w:noWrap/>
                  <w:vAlign w:val="center"/>
                </w:tcPr>
                <w:p w14:paraId="6712C3D3">
                  <w:pPr>
                    <w:widowControl/>
                    <w:jc w:val="center"/>
                    <w:rPr>
                      <w:kern w:val="0"/>
                      <w:szCs w:val="21"/>
                    </w:rPr>
                  </w:pPr>
                  <w:r>
                    <w:rPr>
                      <w:kern w:val="0"/>
                      <w:szCs w:val="21"/>
                    </w:rPr>
                    <w:t>/</w:t>
                  </w:r>
                </w:p>
              </w:tc>
              <w:tc>
                <w:tcPr>
                  <w:tcW w:w="620" w:type="pct"/>
                  <w:shd w:val="clear" w:color="auto" w:fill="auto"/>
                  <w:noWrap/>
                  <w:vAlign w:val="center"/>
                </w:tcPr>
                <w:p w14:paraId="55EF67D8">
                  <w:pPr>
                    <w:widowControl/>
                    <w:jc w:val="center"/>
                    <w:rPr>
                      <w:kern w:val="0"/>
                      <w:szCs w:val="21"/>
                    </w:rPr>
                  </w:pPr>
                  <w:r>
                    <w:rPr>
                      <w:kern w:val="0"/>
                      <w:szCs w:val="21"/>
                    </w:rPr>
                    <w:t>15.26</w:t>
                  </w:r>
                </w:p>
              </w:tc>
            </w:tr>
            <w:tr w14:paraId="307009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35" w:type="pct"/>
                  <w:vMerge w:val="continue"/>
                  <w:vAlign w:val="center"/>
                </w:tcPr>
                <w:p w14:paraId="40D06B45">
                  <w:pPr>
                    <w:widowControl/>
                    <w:jc w:val="left"/>
                    <w:rPr>
                      <w:kern w:val="0"/>
                      <w:szCs w:val="21"/>
                    </w:rPr>
                  </w:pPr>
                </w:p>
              </w:tc>
              <w:tc>
                <w:tcPr>
                  <w:tcW w:w="575" w:type="pct"/>
                  <w:vMerge w:val="continue"/>
                  <w:vAlign w:val="center"/>
                </w:tcPr>
                <w:p w14:paraId="16B00AF7">
                  <w:pPr>
                    <w:widowControl/>
                    <w:jc w:val="left"/>
                    <w:rPr>
                      <w:kern w:val="0"/>
                      <w:szCs w:val="21"/>
                    </w:rPr>
                  </w:pPr>
                </w:p>
              </w:tc>
              <w:tc>
                <w:tcPr>
                  <w:tcW w:w="613" w:type="pct"/>
                  <w:shd w:val="clear" w:color="auto" w:fill="auto"/>
                  <w:vAlign w:val="center"/>
                </w:tcPr>
                <w:p w14:paraId="7AA1517C">
                  <w:pPr>
                    <w:widowControl/>
                    <w:jc w:val="center"/>
                    <w:rPr>
                      <w:kern w:val="0"/>
                      <w:szCs w:val="21"/>
                    </w:rPr>
                  </w:pPr>
                  <w:r>
                    <w:rPr>
                      <w:kern w:val="0"/>
                      <w:szCs w:val="21"/>
                    </w:rPr>
                    <w:t>TP</w:t>
                  </w:r>
                </w:p>
              </w:tc>
              <w:tc>
                <w:tcPr>
                  <w:tcW w:w="535" w:type="pct"/>
                  <w:shd w:val="clear" w:color="auto" w:fill="auto"/>
                  <w:vAlign w:val="center"/>
                </w:tcPr>
                <w:p w14:paraId="19C00540">
                  <w:pPr>
                    <w:widowControl/>
                    <w:jc w:val="center"/>
                    <w:rPr>
                      <w:kern w:val="0"/>
                      <w:szCs w:val="21"/>
                    </w:rPr>
                  </w:pPr>
                  <w:r>
                    <w:rPr>
                      <w:kern w:val="0"/>
                      <w:szCs w:val="21"/>
                    </w:rPr>
                    <w:t>2</w:t>
                  </w:r>
                </w:p>
              </w:tc>
              <w:tc>
                <w:tcPr>
                  <w:tcW w:w="653" w:type="pct"/>
                  <w:shd w:val="clear" w:color="auto" w:fill="auto"/>
                  <w:noWrap/>
                  <w:vAlign w:val="center"/>
                </w:tcPr>
                <w:p w14:paraId="76961DD2">
                  <w:pPr>
                    <w:widowControl/>
                    <w:jc w:val="center"/>
                    <w:rPr>
                      <w:kern w:val="0"/>
                      <w:szCs w:val="21"/>
                    </w:rPr>
                  </w:pPr>
                  <w:r>
                    <w:rPr>
                      <w:kern w:val="0"/>
                      <w:szCs w:val="21"/>
                    </w:rPr>
                    <w:t>/</w:t>
                  </w:r>
                </w:p>
              </w:tc>
              <w:tc>
                <w:tcPr>
                  <w:tcW w:w="841" w:type="pct"/>
                  <w:shd w:val="clear" w:color="auto" w:fill="auto"/>
                  <w:noWrap/>
                  <w:vAlign w:val="center"/>
                </w:tcPr>
                <w:p w14:paraId="7802FC9E">
                  <w:pPr>
                    <w:widowControl/>
                    <w:jc w:val="center"/>
                    <w:rPr>
                      <w:kern w:val="0"/>
                      <w:szCs w:val="21"/>
                    </w:rPr>
                  </w:pPr>
                  <w:r>
                    <w:rPr>
                      <w:kern w:val="0"/>
                      <w:szCs w:val="21"/>
                    </w:rPr>
                    <w:t>3.49</w:t>
                  </w:r>
                </w:p>
              </w:tc>
              <w:tc>
                <w:tcPr>
                  <w:tcW w:w="629" w:type="pct"/>
                  <w:shd w:val="clear" w:color="auto" w:fill="auto"/>
                  <w:noWrap/>
                  <w:vAlign w:val="center"/>
                </w:tcPr>
                <w:p w14:paraId="25A23901">
                  <w:pPr>
                    <w:widowControl/>
                    <w:jc w:val="center"/>
                    <w:rPr>
                      <w:kern w:val="0"/>
                      <w:szCs w:val="21"/>
                    </w:rPr>
                  </w:pPr>
                  <w:r>
                    <w:rPr>
                      <w:kern w:val="0"/>
                      <w:szCs w:val="21"/>
                    </w:rPr>
                    <w:t>/</w:t>
                  </w:r>
                </w:p>
              </w:tc>
              <w:tc>
                <w:tcPr>
                  <w:tcW w:w="620" w:type="pct"/>
                  <w:shd w:val="clear" w:color="auto" w:fill="auto"/>
                  <w:noWrap/>
                  <w:vAlign w:val="center"/>
                </w:tcPr>
                <w:p w14:paraId="5B719BBA">
                  <w:pPr>
                    <w:widowControl/>
                    <w:jc w:val="center"/>
                    <w:rPr>
                      <w:kern w:val="0"/>
                      <w:szCs w:val="21"/>
                    </w:rPr>
                  </w:pPr>
                  <w:r>
                    <w:rPr>
                      <w:kern w:val="0"/>
                      <w:szCs w:val="21"/>
                    </w:rPr>
                    <w:t>1.22</w:t>
                  </w:r>
                </w:p>
              </w:tc>
            </w:tr>
            <w:tr w14:paraId="7FF4C3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35" w:type="pct"/>
                  <w:vMerge w:val="continue"/>
                  <w:vAlign w:val="center"/>
                </w:tcPr>
                <w:p w14:paraId="552A93E0">
                  <w:pPr>
                    <w:widowControl/>
                    <w:jc w:val="left"/>
                    <w:rPr>
                      <w:kern w:val="0"/>
                      <w:szCs w:val="21"/>
                    </w:rPr>
                  </w:pPr>
                </w:p>
              </w:tc>
              <w:tc>
                <w:tcPr>
                  <w:tcW w:w="575" w:type="pct"/>
                  <w:vMerge w:val="continue"/>
                  <w:vAlign w:val="center"/>
                </w:tcPr>
                <w:p w14:paraId="5D77E0AC">
                  <w:pPr>
                    <w:widowControl/>
                    <w:jc w:val="left"/>
                    <w:rPr>
                      <w:kern w:val="0"/>
                      <w:szCs w:val="21"/>
                    </w:rPr>
                  </w:pPr>
                </w:p>
              </w:tc>
              <w:tc>
                <w:tcPr>
                  <w:tcW w:w="613" w:type="pct"/>
                  <w:shd w:val="clear" w:color="auto" w:fill="auto"/>
                  <w:noWrap/>
                  <w:vAlign w:val="center"/>
                </w:tcPr>
                <w:p w14:paraId="5AF320B1">
                  <w:pPr>
                    <w:widowControl/>
                    <w:jc w:val="center"/>
                    <w:rPr>
                      <w:kern w:val="0"/>
                      <w:szCs w:val="21"/>
                    </w:rPr>
                  </w:pPr>
                  <w:r>
                    <w:rPr>
                      <w:kern w:val="0"/>
                      <w:szCs w:val="21"/>
                    </w:rPr>
                    <w:t>总氮</w:t>
                  </w:r>
                </w:p>
              </w:tc>
              <w:tc>
                <w:tcPr>
                  <w:tcW w:w="535" w:type="pct"/>
                  <w:shd w:val="clear" w:color="auto" w:fill="auto"/>
                  <w:noWrap/>
                  <w:vAlign w:val="center"/>
                </w:tcPr>
                <w:p w14:paraId="3C3A09F5">
                  <w:pPr>
                    <w:widowControl/>
                    <w:jc w:val="center"/>
                    <w:rPr>
                      <w:kern w:val="0"/>
                      <w:szCs w:val="21"/>
                    </w:rPr>
                  </w:pPr>
                  <w:r>
                    <w:rPr>
                      <w:kern w:val="0"/>
                      <w:szCs w:val="21"/>
                    </w:rPr>
                    <w:t>35</w:t>
                  </w:r>
                </w:p>
              </w:tc>
              <w:tc>
                <w:tcPr>
                  <w:tcW w:w="653" w:type="pct"/>
                  <w:shd w:val="clear" w:color="auto" w:fill="auto"/>
                  <w:noWrap/>
                  <w:vAlign w:val="center"/>
                </w:tcPr>
                <w:p w14:paraId="199CC5D0">
                  <w:pPr>
                    <w:widowControl/>
                    <w:jc w:val="center"/>
                    <w:rPr>
                      <w:kern w:val="0"/>
                      <w:szCs w:val="21"/>
                    </w:rPr>
                  </w:pPr>
                  <w:r>
                    <w:rPr>
                      <w:kern w:val="0"/>
                      <w:szCs w:val="21"/>
                    </w:rPr>
                    <w:t>/</w:t>
                  </w:r>
                </w:p>
              </w:tc>
              <w:tc>
                <w:tcPr>
                  <w:tcW w:w="841" w:type="pct"/>
                  <w:shd w:val="clear" w:color="auto" w:fill="auto"/>
                  <w:noWrap/>
                  <w:vAlign w:val="center"/>
                </w:tcPr>
                <w:p w14:paraId="2E5D6CD1">
                  <w:pPr>
                    <w:widowControl/>
                    <w:jc w:val="center"/>
                    <w:rPr>
                      <w:kern w:val="0"/>
                      <w:szCs w:val="21"/>
                    </w:rPr>
                  </w:pPr>
                  <w:r>
                    <w:rPr>
                      <w:kern w:val="0"/>
                      <w:szCs w:val="21"/>
                    </w:rPr>
                    <w:t>61.03</w:t>
                  </w:r>
                </w:p>
              </w:tc>
              <w:tc>
                <w:tcPr>
                  <w:tcW w:w="629" w:type="pct"/>
                  <w:shd w:val="clear" w:color="auto" w:fill="auto"/>
                  <w:noWrap/>
                  <w:vAlign w:val="center"/>
                </w:tcPr>
                <w:p w14:paraId="512466DD">
                  <w:pPr>
                    <w:widowControl/>
                    <w:jc w:val="center"/>
                    <w:rPr>
                      <w:kern w:val="0"/>
                      <w:szCs w:val="21"/>
                    </w:rPr>
                  </w:pPr>
                  <w:r>
                    <w:rPr>
                      <w:kern w:val="0"/>
                      <w:szCs w:val="21"/>
                    </w:rPr>
                    <w:t>/</w:t>
                  </w:r>
                </w:p>
              </w:tc>
              <w:tc>
                <w:tcPr>
                  <w:tcW w:w="620" w:type="pct"/>
                  <w:shd w:val="clear" w:color="auto" w:fill="auto"/>
                  <w:noWrap/>
                  <w:vAlign w:val="center"/>
                </w:tcPr>
                <w:p w14:paraId="7C8B1D6C">
                  <w:pPr>
                    <w:widowControl/>
                    <w:jc w:val="center"/>
                    <w:rPr>
                      <w:kern w:val="0"/>
                      <w:szCs w:val="21"/>
                    </w:rPr>
                  </w:pPr>
                  <w:r>
                    <w:rPr>
                      <w:kern w:val="0"/>
                      <w:szCs w:val="21"/>
                    </w:rPr>
                    <w:t>21.36</w:t>
                  </w:r>
                </w:p>
              </w:tc>
            </w:tr>
            <w:tr w14:paraId="20084E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35" w:type="pct"/>
                  <w:vMerge w:val="continue"/>
                  <w:vAlign w:val="center"/>
                </w:tcPr>
                <w:p w14:paraId="6BECA011">
                  <w:pPr>
                    <w:widowControl/>
                    <w:jc w:val="left"/>
                    <w:rPr>
                      <w:kern w:val="0"/>
                      <w:szCs w:val="21"/>
                    </w:rPr>
                  </w:pPr>
                </w:p>
              </w:tc>
              <w:tc>
                <w:tcPr>
                  <w:tcW w:w="575" w:type="pct"/>
                  <w:vMerge w:val="continue"/>
                  <w:vAlign w:val="center"/>
                </w:tcPr>
                <w:p w14:paraId="6FC5A93A">
                  <w:pPr>
                    <w:widowControl/>
                    <w:jc w:val="left"/>
                    <w:rPr>
                      <w:kern w:val="0"/>
                      <w:szCs w:val="21"/>
                    </w:rPr>
                  </w:pPr>
                </w:p>
              </w:tc>
              <w:tc>
                <w:tcPr>
                  <w:tcW w:w="613" w:type="pct"/>
                  <w:shd w:val="clear" w:color="auto" w:fill="auto"/>
                  <w:vAlign w:val="center"/>
                </w:tcPr>
                <w:p w14:paraId="0CFA1C6C">
                  <w:pPr>
                    <w:widowControl/>
                    <w:jc w:val="center"/>
                    <w:rPr>
                      <w:kern w:val="0"/>
                      <w:szCs w:val="21"/>
                    </w:rPr>
                  </w:pPr>
                  <w:r>
                    <w:rPr>
                      <w:kern w:val="0"/>
                      <w:szCs w:val="21"/>
                    </w:rPr>
                    <w:t>石油类</w:t>
                  </w:r>
                </w:p>
              </w:tc>
              <w:tc>
                <w:tcPr>
                  <w:tcW w:w="535" w:type="pct"/>
                  <w:shd w:val="clear" w:color="auto" w:fill="auto"/>
                  <w:vAlign w:val="center"/>
                </w:tcPr>
                <w:p w14:paraId="72210292">
                  <w:pPr>
                    <w:widowControl/>
                    <w:jc w:val="center"/>
                    <w:rPr>
                      <w:kern w:val="0"/>
                      <w:szCs w:val="21"/>
                    </w:rPr>
                  </w:pPr>
                  <w:r>
                    <w:rPr>
                      <w:kern w:val="0"/>
                      <w:szCs w:val="21"/>
                    </w:rPr>
                    <w:t>5</w:t>
                  </w:r>
                </w:p>
              </w:tc>
              <w:tc>
                <w:tcPr>
                  <w:tcW w:w="653" w:type="pct"/>
                  <w:shd w:val="clear" w:color="auto" w:fill="auto"/>
                  <w:noWrap/>
                  <w:vAlign w:val="center"/>
                </w:tcPr>
                <w:p w14:paraId="776C82BD">
                  <w:pPr>
                    <w:widowControl/>
                    <w:jc w:val="center"/>
                    <w:rPr>
                      <w:kern w:val="0"/>
                      <w:szCs w:val="21"/>
                    </w:rPr>
                  </w:pPr>
                  <w:r>
                    <w:rPr>
                      <w:kern w:val="0"/>
                      <w:szCs w:val="21"/>
                    </w:rPr>
                    <w:t>/</w:t>
                  </w:r>
                </w:p>
              </w:tc>
              <w:tc>
                <w:tcPr>
                  <w:tcW w:w="841" w:type="pct"/>
                  <w:shd w:val="clear" w:color="auto" w:fill="auto"/>
                  <w:noWrap/>
                  <w:vAlign w:val="center"/>
                </w:tcPr>
                <w:p w14:paraId="18E0757D">
                  <w:pPr>
                    <w:widowControl/>
                    <w:jc w:val="center"/>
                    <w:rPr>
                      <w:kern w:val="0"/>
                      <w:szCs w:val="21"/>
                    </w:rPr>
                  </w:pPr>
                  <w:r>
                    <w:rPr>
                      <w:kern w:val="0"/>
                      <w:szCs w:val="21"/>
                    </w:rPr>
                    <w:t>8.71</w:t>
                  </w:r>
                </w:p>
              </w:tc>
              <w:tc>
                <w:tcPr>
                  <w:tcW w:w="629" w:type="pct"/>
                  <w:shd w:val="clear" w:color="auto" w:fill="auto"/>
                  <w:noWrap/>
                  <w:vAlign w:val="center"/>
                </w:tcPr>
                <w:p w14:paraId="7607F461">
                  <w:pPr>
                    <w:widowControl/>
                    <w:jc w:val="center"/>
                    <w:rPr>
                      <w:kern w:val="0"/>
                      <w:szCs w:val="21"/>
                    </w:rPr>
                  </w:pPr>
                  <w:r>
                    <w:rPr>
                      <w:kern w:val="0"/>
                      <w:szCs w:val="21"/>
                    </w:rPr>
                    <w:t>/</w:t>
                  </w:r>
                </w:p>
              </w:tc>
              <w:tc>
                <w:tcPr>
                  <w:tcW w:w="620" w:type="pct"/>
                  <w:shd w:val="clear" w:color="auto" w:fill="auto"/>
                  <w:noWrap/>
                  <w:vAlign w:val="center"/>
                </w:tcPr>
                <w:p w14:paraId="2A372161">
                  <w:pPr>
                    <w:widowControl/>
                    <w:jc w:val="center"/>
                    <w:rPr>
                      <w:kern w:val="0"/>
                      <w:szCs w:val="21"/>
                    </w:rPr>
                  </w:pPr>
                  <w:r>
                    <w:rPr>
                      <w:kern w:val="0"/>
                      <w:szCs w:val="21"/>
                    </w:rPr>
                    <w:t>3.05</w:t>
                  </w:r>
                </w:p>
              </w:tc>
            </w:tr>
            <w:tr w14:paraId="6B037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5" w:type="pct"/>
                  <w:vMerge w:val="continue"/>
                  <w:vAlign w:val="center"/>
                </w:tcPr>
                <w:p w14:paraId="79BFCEF0">
                  <w:pPr>
                    <w:widowControl/>
                    <w:jc w:val="left"/>
                    <w:rPr>
                      <w:kern w:val="0"/>
                      <w:szCs w:val="21"/>
                    </w:rPr>
                  </w:pPr>
                </w:p>
              </w:tc>
              <w:tc>
                <w:tcPr>
                  <w:tcW w:w="575" w:type="pct"/>
                  <w:vMerge w:val="continue"/>
                  <w:vAlign w:val="center"/>
                </w:tcPr>
                <w:p w14:paraId="4E72C9F1">
                  <w:pPr>
                    <w:widowControl/>
                    <w:jc w:val="left"/>
                    <w:rPr>
                      <w:kern w:val="0"/>
                      <w:szCs w:val="21"/>
                    </w:rPr>
                  </w:pPr>
                </w:p>
              </w:tc>
              <w:tc>
                <w:tcPr>
                  <w:tcW w:w="613" w:type="pct"/>
                  <w:shd w:val="clear" w:color="auto" w:fill="auto"/>
                  <w:noWrap/>
                  <w:vAlign w:val="center"/>
                </w:tcPr>
                <w:p w14:paraId="24BA0D07">
                  <w:pPr>
                    <w:widowControl/>
                    <w:jc w:val="center"/>
                    <w:rPr>
                      <w:kern w:val="0"/>
                      <w:szCs w:val="21"/>
                    </w:rPr>
                  </w:pPr>
                  <w:r>
                    <w:rPr>
                      <w:kern w:val="0"/>
                      <w:szCs w:val="21"/>
                    </w:rPr>
                    <w:t>动植物油</w:t>
                  </w:r>
                </w:p>
              </w:tc>
              <w:tc>
                <w:tcPr>
                  <w:tcW w:w="535" w:type="pct"/>
                  <w:shd w:val="clear" w:color="auto" w:fill="auto"/>
                  <w:noWrap/>
                  <w:vAlign w:val="center"/>
                </w:tcPr>
                <w:p w14:paraId="10927D4B">
                  <w:pPr>
                    <w:widowControl/>
                    <w:jc w:val="center"/>
                    <w:rPr>
                      <w:kern w:val="0"/>
                      <w:szCs w:val="21"/>
                    </w:rPr>
                  </w:pPr>
                  <w:r>
                    <w:rPr>
                      <w:kern w:val="0"/>
                      <w:szCs w:val="21"/>
                    </w:rPr>
                    <w:t>5</w:t>
                  </w:r>
                </w:p>
              </w:tc>
              <w:tc>
                <w:tcPr>
                  <w:tcW w:w="653" w:type="pct"/>
                  <w:shd w:val="clear" w:color="auto" w:fill="auto"/>
                  <w:noWrap/>
                  <w:vAlign w:val="center"/>
                </w:tcPr>
                <w:p w14:paraId="5EDD5F1D">
                  <w:pPr>
                    <w:widowControl/>
                    <w:jc w:val="center"/>
                    <w:rPr>
                      <w:kern w:val="0"/>
                      <w:szCs w:val="21"/>
                    </w:rPr>
                  </w:pPr>
                  <w:r>
                    <w:rPr>
                      <w:kern w:val="0"/>
                      <w:szCs w:val="21"/>
                    </w:rPr>
                    <w:t>/</w:t>
                  </w:r>
                </w:p>
              </w:tc>
              <w:tc>
                <w:tcPr>
                  <w:tcW w:w="841" w:type="pct"/>
                  <w:shd w:val="clear" w:color="auto" w:fill="auto"/>
                  <w:noWrap/>
                  <w:vAlign w:val="center"/>
                </w:tcPr>
                <w:p w14:paraId="6D96D691">
                  <w:pPr>
                    <w:widowControl/>
                    <w:jc w:val="center"/>
                    <w:rPr>
                      <w:kern w:val="0"/>
                      <w:szCs w:val="21"/>
                    </w:rPr>
                  </w:pPr>
                  <w:r>
                    <w:rPr>
                      <w:kern w:val="0"/>
                      <w:szCs w:val="21"/>
                    </w:rPr>
                    <w:t>8.71</w:t>
                  </w:r>
                </w:p>
              </w:tc>
              <w:tc>
                <w:tcPr>
                  <w:tcW w:w="629" w:type="pct"/>
                  <w:shd w:val="clear" w:color="auto" w:fill="auto"/>
                  <w:noWrap/>
                  <w:vAlign w:val="center"/>
                </w:tcPr>
                <w:p w14:paraId="4EB25C41">
                  <w:pPr>
                    <w:widowControl/>
                    <w:jc w:val="center"/>
                    <w:rPr>
                      <w:kern w:val="0"/>
                      <w:szCs w:val="21"/>
                    </w:rPr>
                  </w:pPr>
                  <w:r>
                    <w:rPr>
                      <w:kern w:val="0"/>
                      <w:szCs w:val="21"/>
                    </w:rPr>
                    <w:t>/</w:t>
                  </w:r>
                </w:p>
              </w:tc>
              <w:tc>
                <w:tcPr>
                  <w:tcW w:w="620" w:type="pct"/>
                  <w:shd w:val="clear" w:color="auto" w:fill="auto"/>
                  <w:noWrap/>
                  <w:vAlign w:val="center"/>
                </w:tcPr>
                <w:p w14:paraId="2B8A12E4">
                  <w:pPr>
                    <w:widowControl/>
                    <w:jc w:val="center"/>
                    <w:rPr>
                      <w:kern w:val="0"/>
                      <w:szCs w:val="21"/>
                    </w:rPr>
                  </w:pPr>
                  <w:r>
                    <w:rPr>
                      <w:kern w:val="0"/>
                      <w:szCs w:val="21"/>
                    </w:rPr>
                    <w:t>3.05</w:t>
                  </w:r>
                </w:p>
              </w:tc>
            </w:tr>
            <w:tr w14:paraId="4C4220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35" w:type="pct"/>
                  <w:vMerge w:val="continue"/>
                  <w:vAlign w:val="center"/>
                </w:tcPr>
                <w:p w14:paraId="7DF31C6D">
                  <w:pPr>
                    <w:widowControl/>
                    <w:jc w:val="left"/>
                    <w:rPr>
                      <w:kern w:val="0"/>
                      <w:szCs w:val="21"/>
                    </w:rPr>
                  </w:pPr>
                </w:p>
              </w:tc>
              <w:tc>
                <w:tcPr>
                  <w:tcW w:w="575" w:type="pct"/>
                  <w:vMerge w:val="continue"/>
                  <w:vAlign w:val="center"/>
                </w:tcPr>
                <w:p w14:paraId="729676B5">
                  <w:pPr>
                    <w:widowControl/>
                    <w:jc w:val="left"/>
                    <w:rPr>
                      <w:kern w:val="0"/>
                      <w:szCs w:val="21"/>
                    </w:rPr>
                  </w:pPr>
                </w:p>
              </w:tc>
              <w:tc>
                <w:tcPr>
                  <w:tcW w:w="613" w:type="pct"/>
                  <w:shd w:val="clear" w:color="auto" w:fill="auto"/>
                  <w:noWrap/>
                  <w:vAlign w:val="center"/>
                </w:tcPr>
                <w:p w14:paraId="1154FA5D">
                  <w:pPr>
                    <w:widowControl/>
                    <w:jc w:val="center"/>
                    <w:rPr>
                      <w:kern w:val="0"/>
                      <w:szCs w:val="21"/>
                    </w:rPr>
                  </w:pPr>
                  <w:r>
                    <w:rPr>
                      <w:kern w:val="0"/>
                      <w:szCs w:val="21"/>
                    </w:rPr>
                    <w:t>总锑</w:t>
                  </w:r>
                </w:p>
              </w:tc>
              <w:tc>
                <w:tcPr>
                  <w:tcW w:w="535" w:type="pct"/>
                  <w:shd w:val="clear" w:color="auto" w:fill="auto"/>
                  <w:noWrap/>
                  <w:vAlign w:val="center"/>
                </w:tcPr>
                <w:p w14:paraId="041577F6">
                  <w:pPr>
                    <w:widowControl/>
                    <w:jc w:val="center"/>
                    <w:rPr>
                      <w:kern w:val="0"/>
                      <w:szCs w:val="21"/>
                    </w:rPr>
                  </w:pPr>
                  <w:r>
                    <w:rPr>
                      <w:kern w:val="0"/>
                      <w:szCs w:val="21"/>
                    </w:rPr>
                    <w:t>0.1</w:t>
                  </w:r>
                </w:p>
              </w:tc>
              <w:tc>
                <w:tcPr>
                  <w:tcW w:w="653" w:type="pct"/>
                  <w:shd w:val="clear" w:color="auto" w:fill="auto"/>
                  <w:noWrap/>
                  <w:vAlign w:val="center"/>
                </w:tcPr>
                <w:p w14:paraId="46A7D85B">
                  <w:pPr>
                    <w:widowControl/>
                    <w:jc w:val="center"/>
                    <w:rPr>
                      <w:kern w:val="0"/>
                      <w:szCs w:val="21"/>
                    </w:rPr>
                  </w:pPr>
                  <w:r>
                    <w:rPr>
                      <w:kern w:val="0"/>
                      <w:szCs w:val="21"/>
                    </w:rPr>
                    <w:t>/</w:t>
                  </w:r>
                </w:p>
              </w:tc>
              <w:tc>
                <w:tcPr>
                  <w:tcW w:w="841" w:type="pct"/>
                  <w:shd w:val="clear" w:color="auto" w:fill="auto"/>
                  <w:noWrap/>
                  <w:vAlign w:val="center"/>
                </w:tcPr>
                <w:p w14:paraId="3023F98B">
                  <w:pPr>
                    <w:widowControl/>
                    <w:jc w:val="center"/>
                    <w:rPr>
                      <w:kern w:val="0"/>
                      <w:szCs w:val="21"/>
                    </w:rPr>
                  </w:pPr>
                  <w:r>
                    <w:rPr>
                      <w:kern w:val="0"/>
                      <w:szCs w:val="21"/>
                    </w:rPr>
                    <w:t>0.17</w:t>
                  </w:r>
                </w:p>
              </w:tc>
              <w:tc>
                <w:tcPr>
                  <w:tcW w:w="629" w:type="pct"/>
                  <w:shd w:val="clear" w:color="auto" w:fill="auto"/>
                  <w:noWrap/>
                  <w:vAlign w:val="center"/>
                </w:tcPr>
                <w:p w14:paraId="6F292535">
                  <w:pPr>
                    <w:widowControl/>
                    <w:jc w:val="center"/>
                    <w:rPr>
                      <w:kern w:val="0"/>
                      <w:szCs w:val="21"/>
                    </w:rPr>
                  </w:pPr>
                  <w:r>
                    <w:rPr>
                      <w:kern w:val="0"/>
                      <w:szCs w:val="21"/>
                    </w:rPr>
                    <w:t>/</w:t>
                  </w:r>
                </w:p>
              </w:tc>
              <w:tc>
                <w:tcPr>
                  <w:tcW w:w="620" w:type="pct"/>
                  <w:shd w:val="clear" w:color="auto" w:fill="auto"/>
                  <w:noWrap/>
                  <w:vAlign w:val="center"/>
                </w:tcPr>
                <w:p w14:paraId="188548AF">
                  <w:pPr>
                    <w:widowControl/>
                    <w:jc w:val="center"/>
                    <w:rPr>
                      <w:kern w:val="0"/>
                      <w:szCs w:val="21"/>
                    </w:rPr>
                  </w:pPr>
                  <w:r>
                    <w:rPr>
                      <w:kern w:val="0"/>
                      <w:szCs w:val="21"/>
                    </w:rPr>
                    <w:t>0.06</w:t>
                  </w:r>
                </w:p>
              </w:tc>
            </w:tr>
          </w:tbl>
          <w:p w14:paraId="1FEED139">
            <w:pPr>
              <w:contextualSpacing/>
              <w:rPr>
                <w:b/>
                <w:bCs/>
                <w:szCs w:val="21"/>
              </w:rPr>
            </w:pPr>
            <w:r>
              <w:rPr>
                <w:b/>
                <w:bCs/>
                <w:szCs w:val="21"/>
              </w:rPr>
              <w:t>注：</w:t>
            </w:r>
            <w:r>
              <w:rPr>
                <w:rFonts w:ascii="Cambria Math" w:hAnsi="Cambria Math" w:cs="Cambria Math"/>
                <w:b/>
                <w:bCs/>
                <w:szCs w:val="21"/>
              </w:rPr>
              <w:t>①</w:t>
            </w:r>
            <w:r>
              <w:rPr>
                <w:b/>
                <w:bCs/>
                <w:szCs w:val="21"/>
              </w:rPr>
              <w:t>本项目在现有300万吨已批内续建，聚酯不变，纺丝替代原有50万吨纺丝扩建55万吨纺丝，废水产污节点及产生量不变，总量仍在300万吨范围内，无需新增总量。</w:t>
            </w:r>
          </w:p>
          <w:p w14:paraId="27DD3407">
            <w:pPr>
              <w:contextualSpacing/>
              <w:jc w:val="left"/>
              <w:rPr>
                <w:b/>
                <w:bCs/>
                <w:szCs w:val="21"/>
              </w:rPr>
            </w:pPr>
            <w:r>
              <w:rPr>
                <w:rFonts w:ascii="Cambria Math" w:hAnsi="Cambria Math" w:cs="Cambria Math"/>
                <w:b/>
                <w:bCs/>
                <w:szCs w:val="21"/>
              </w:rPr>
              <w:t>②</w:t>
            </w:r>
            <w:r>
              <w:rPr>
                <w:b/>
                <w:bCs/>
                <w:szCs w:val="21"/>
              </w:rPr>
              <w:t>本项目仍依托芮邦科技污水处理站处理达标后，依托芮邦科技DW001排放。</w:t>
            </w:r>
          </w:p>
          <w:p w14:paraId="6C21AC7C">
            <w:pPr>
              <w:spacing w:line="500" w:lineRule="exact"/>
              <w:ind w:firstLine="482" w:firstLineChars="200"/>
              <w:contextualSpacing/>
              <w:rPr>
                <w:b/>
                <w:bCs/>
                <w:sz w:val="24"/>
              </w:rPr>
            </w:pPr>
            <w:r>
              <w:rPr>
                <w:b/>
                <w:bCs/>
                <w:sz w:val="24"/>
              </w:rPr>
              <w:t>（2）废水依托可行性</w:t>
            </w:r>
          </w:p>
          <w:p w14:paraId="62E2F6DF">
            <w:pPr>
              <w:pStyle w:val="285"/>
              <w:spacing w:line="500" w:lineRule="exact"/>
              <w:ind w:firstLine="480"/>
            </w:pPr>
            <w:r>
              <w:t>本项目废水依托现有芮邦污水处理站处理，本项目西侧厂区生产及生活废水处理依托芮邦建设的污水站及国望高科新建废水处理站，设计规模为7440m</w:t>
            </w:r>
            <w:r>
              <w:rPr>
                <w:vertAlign w:val="superscript"/>
              </w:rPr>
              <w:t>3</w:t>
            </w:r>
            <w:r>
              <w:t>/d，对芮邦厂内生产及生活污水进行处理，同时兼顾国望高科纤维（宿迁）厂区的生产及生活污水接纳量（国望高科成子河西侧地块），污水站设计时综合考虑了芮邦厂内及国望高科纤维（宿迁）厂内废水的水量和水质。芮邦科技污水处理站处理工艺为采用“活性污泥+兼氧好氧”的好氧生化处理工艺和“陶粒过滤+活性炭过滤+精密过滤+反渗透”中水回用深度处理工艺，活性炭过滤器出水中的 40%和反渗透淡水在清水池内混合后作为中水回用，中水回用率为 80%，反渗透浓水（占比 20%）经二级混凝处理后接入园区污水处理厂处理。本项目在污水处理站处理范围内，满足废水处理要求。不突破原有废水总量，因此具备可行性。</w:t>
            </w:r>
          </w:p>
          <w:p w14:paraId="3825C385">
            <w:pPr>
              <w:pStyle w:val="285"/>
              <w:ind w:firstLine="480"/>
            </w:pPr>
            <w:r>
              <w:drawing>
                <wp:inline distT="0" distB="0" distL="0" distR="0">
                  <wp:extent cx="4531360" cy="4984750"/>
                  <wp:effectExtent l="0" t="0" r="2540" b="6350"/>
                  <wp:docPr id="19048456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45636" name="图片 1"/>
                          <pic:cNvPicPr>
                            <a:picLocks noChangeAspect="1"/>
                          </pic:cNvPicPr>
                        </pic:nvPicPr>
                        <pic:blipFill>
                          <a:blip r:embed="rId24"/>
                          <a:stretch>
                            <a:fillRect/>
                          </a:stretch>
                        </pic:blipFill>
                        <pic:spPr>
                          <a:xfrm>
                            <a:off x="0" y="0"/>
                            <a:ext cx="4537477" cy="4991518"/>
                          </a:xfrm>
                          <a:prstGeom prst="rect">
                            <a:avLst/>
                          </a:prstGeom>
                        </pic:spPr>
                      </pic:pic>
                    </a:graphicData>
                  </a:graphic>
                </wp:inline>
              </w:drawing>
            </w:r>
          </w:p>
          <w:p w14:paraId="1BCA9E7C">
            <w:pPr>
              <w:spacing w:line="360" w:lineRule="auto"/>
              <w:contextualSpacing/>
              <w:jc w:val="center"/>
              <w:rPr>
                <w:b/>
                <w:bCs/>
                <w:sz w:val="24"/>
              </w:rPr>
            </w:pPr>
            <w:r>
              <w:rPr>
                <w:b/>
                <w:bCs/>
                <w:sz w:val="24"/>
              </w:rPr>
              <w:t>图4-1  废水处理站工艺流程</w:t>
            </w:r>
          </w:p>
          <w:p w14:paraId="472EB45E">
            <w:pPr>
              <w:pStyle w:val="2"/>
              <w:spacing w:before="0" w:after="0" w:line="500" w:lineRule="exact"/>
              <w:ind w:firstLine="480" w:firstLineChars="200"/>
              <w:rPr>
                <w:kern w:val="2"/>
                <w:sz w:val="24"/>
                <w:szCs w:val="24"/>
              </w:rPr>
            </w:pPr>
            <w:r>
              <w:rPr>
                <w:kern w:val="2"/>
                <w:sz w:val="24"/>
                <w:szCs w:val="24"/>
              </w:rPr>
              <w:t>此外，芮邦科技污水处理站稳定运行，根据验收期间监测数据（见下表），均能稳定达标排放，因此，本项目废水处理具备可行性。</w:t>
            </w:r>
          </w:p>
          <w:p w14:paraId="65CA5243">
            <w:pPr>
              <w:spacing w:line="500" w:lineRule="exact"/>
              <w:contextualSpacing/>
              <w:jc w:val="center"/>
              <w:rPr>
                <w:b/>
                <w:bCs/>
                <w:sz w:val="24"/>
              </w:rPr>
            </w:pPr>
            <w:r>
              <w:rPr>
                <w:b/>
                <w:bCs/>
                <w:sz w:val="24"/>
              </w:rPr>
              <w:t>表4-12 芮邦科技污水处理站验收期间运行数据</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689"/>
              <w:gridCol w:w="740"/>
              <w:gridCol w:w="546"/>
              <w:gridCol w:w="727"/>
              <w:gridCol w:w="734"/>
              <w:gridCol w:w="629"/>
              <w:gridCol w:w="591"/>
              <w:gridCol w:w="609"/>
              <w:gridCol w:w="740"/>
              <w:gridCol w:w="640"/>
              <w:gridCol w:w="676"/>
              <w:gridCol w:w="690"/>
            </w:tblGrid>
            <w:tr w14:paraId="011F7F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353" w:type="pct"/>
                  <w:vMerge w:val="restart"/>
                  <w:vAlign w:val="center"/>
                </w:tcPr>
                <w:p w14:paraId="1DC2C58F">
                  <w:pPr>
                    <w:widowControl/>
                    <w:jc w:val="center"/>
                    <w:rPr>
                      <w:rFonts w:eastAsiaTheme="minorEastAsia"/>
                      <w:b/>
                      <w:bCs/>
                      <w:kern w:val="0"/>
                      <w:szCs w:val="21"/>
                    </w:rPr>
                  </w:pPr>
                  <w:r>
                    <w:rPr>
                      <w:rFonts w:eastAsiaTheme="minorEastAsia"/>
                      <w:b/>
                      <w:bCs/>
                      <w:kern w:val="0"/>
                      <w:szCs w:val="21"/>
                    </w:rPr>
                    <w:t>监测点位</w:t>
                  </w:r>
                </w:p>
              </w:tc>
              <w:tc>
                <w:tcPr>
                  <w:tcW w:w="400" w:type="pct"/>
                  <w:vMerge w:val="restart"/>
                  <w:vAlign w:val="center"/>
                </w:tcPr>
                <w:p w14:paraId="5421C408">
                  <w:pPr>
                    <w:widowControl/>
                    <w:jc w:val="center"/>
                    <w:rPr>
                      <w:rFonts w:eastAsiaTheme="minorEastAsia"/>
                      <w:b/>
                      <w:bCs/>
                      <w:kern w:val="0"/>
                      <w:szCs w:val="21"/>
                    </w:rPr>
                  </w:pPr>
                  <w:r>
                    <w:rPr>
                      <w:rFonts w:eastAsiaTheme="minorEastAsia"/>
                      <w:b/>
                      <w:bCs/>
                      <w:kern w:val="0"/>
                      <w:szCs w:val="21"/>
                    </w:rPr>
                    <w:t>监测时间</w:t>
                  </w:r>
                </w:p>
              </w:tc>
              <w:tc>
                <w:tcPr>
                  <w:tcW w:w="429" w:type="pct"/>
                  <w:vMerge w:val="restart"/>
                  <w:vAlign w:val="center"/>
                </w:tcPr>
                <w:p w14:paraId="2E6A52E1">
                  <w:pPr>
                    <w:widowControl/>
                    <w:jc w:val="center"/>
                    <w:rPr>
                      <w:rFonts w:eastAsiaTheme="minorEastAsia"/>
                      <w:b/>
                      <w:bCs/>
                      <w:kern w:val="0"/>
                      <w:szCs w:val="21"/>
                    </w:rPr>
                  </w:pPr>
                  <w:r>
                    <w:rPr>
                      <w:rFonts w:eastAsiaTheme="minorEastAsia"/>
                      <w:b/>
                      <w:bCs/>
                      <w:kern w:val="0"/>
                      <w:szCs w:val="21"/>
                    </w:rPr>
                    <w:t>样品</w:t>
                  </w:r>
                </w:p>
              </w:tc>
              <w:tc>
                <w:tcPr>
                  <w:tcW w:w="3819" w:type="pct"/>
                  <w:gridSpan w:val="10"/>
                  <w:vAlign w:val="center"/>
                </w:tcPr>
                <w:p w14:paraId="3FFA51C3">
                  <w:pPr>
                    <w:widowControl/>
                    <w:jc w:val="center"/>
                    <w:rPr>
                      <w:rFonts w:eastAsiaTheme="minorEastAsia"/>
                      <w:b/>
                      <w:bCs/>
                      <w:kern w:val="0"/>
                      <w:szCs w:val="21"/>
                    </w:rPr>
                  </w:pPr>
                  <w:r>
                    <w:rPr>
                      <w:rFonts w:eastAsiaTheme="minorEastAsia"/>
                      <w:b/>
                      <w:bCs/>
                      <w:kern w:val="0"/>
                      <w:szCs w:val="21"/>
                    </w:rPr>
                    <w:t>检测结果（mg/L，pH无量纲）</w:t>
                  </w:r>
                </w:p>
              </w:tc>
            </w:tr>
            <w:tr w14:paraId="768732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4" w:hRule="atLeast"/>
                <w:tblHeader/>
              </w:trPr>
              <w:tc>
                <w:tcPr>
                  <w:tcW w:w="353" w:type="pct"/>
                  <w:vMerge w:val="continue"/>
                  <w:vAlign w:val="center"/>
                </w:tcPr>
                <w:p w14:paraId="30668867">
                  <w:pPr>
                    <w:widowControl/>
                    <w:jc w:val="center"/>
                    <w:rPr>
                      <w:rFonts w:eastAsiaTheme="minorEastAsia"/>
                      <w:b/>
                      <w:bCs/>
                      <w:kern w:val="0"/>
                      <w:szCs w:val="21"/>
                    </w:rPr>
                  </w:pPr>
                </w:p>
              </w:tc>
              <w:tc>
                <w:tcPr>
                  <w:tcW w:w="400" w:type="pct"/>
                  <w:vMerge w:val="continue"/>
                  <w:vAlign w:val="center"/>
                </w:tcPr>
                <w:p w14:paraId="688B9AED">
                  <w:pPr>
                    <w:widowControl/>
                    <w:jc w:val="center"/>
                    <w:rPr>
                      <w:rFonts w:eastAsiaTheme="minorEastAsia"/>
                      <w:b/>
                      <w:bCs/>
                      <w:kern w:val="0"/>
                      <w:szCs w:val="21"/>
                    </w:rPr>
                  </w:pPr>
                </w:p>
              </w:tc>
              <w:tc>
                <w:tcPr>
                  <w:tcW w:w="429" w:type="pct"/>
                  <w:vMerge w:val="continue"/>
                  <w:vAlign w:val="center"/>
                </w:tcPr>
                <w:p w14:paraId="4EC374B0">
                  <w:pPr>
                    <w:widowControl/>
                    <w:jc w:val="center"/>
                    <w:rPr>
                      <w:rFonts w:eastAsiaTheme="minorEastAsia"/>
                      <w:b/>
                      <w:bCs/>
                      <w:kern w:val="0"/>
                      <w:szCs w:val="21"/>
                    </w:rPr>
                  </w:pPr>
                </w:p>
              </w:tc>
              <w:tc>
                <w:tcPr>
                  <w:tcW w:w="317" w:type="pct"/>
                  <w:vAlign w:val="center"/>
                </w:tcPr>
                <w:p w14:paraId="3B606C63">
                  <w:pPr>
                    <w:widowControl/>
                    <w:jc w:val="center"/>
                    <w:rPr>
                      <w:rFonts w:eastAsiaTheme="minorEastAsia"/>
                      <w:b/>
                      <w:bCs/>
                      <w:kern w:val="0"/>
                      <w:szCs w:val="21"/>
                    </w:rPr>
                  </w:pPr>
                  <w:r>
                    <w:rPr>
                      <w:rFonts w:eastAsiaTheme="minorEastAsia"/>
                      <w:b/>
                      <w:bCs/>
                      <w:kern w:val="0"/>
                      <w:szCs w:val="21"/>
                    </w:rPr>
                    <w:t>pH</w:t>
                  </w:r>
                </w:p>
              </w:tc>
              <w:tc>
                <w:tcPr>
                  <w:tcW w:w="422" w:type="pct"/>
                  <w:vAlign w:val="center"/>
                </w:tcPr>
                <w:p w14:paraId="7D2AF3BE">
                  <w:pPr>
                    <w:widowControl/>
                    <w:jc w:val="center"/>
                    <w:rPr>
                      <w:rFonts w:eastAsiaTheme="minorEastAsia"/>
                      <w:b/>
                      <w:bCs/>
                      <w:kern w:val="0"/>
                      <w:szCs w:val="21"/>
                    </w:rPr>
                  </w:pPr>
                  <w:r>
                    <w:rPr>
                      <w:rFonts w:eastAsiaTheme="minorEastAsia"/>
                      <w:b/>
                      <w:bCs/>
                      <w:kern w:val="0"/>
                      <w:szCs w:val="21"/>
                    </w:rPr>
                    <w:t>化学需氧量</w:t>
                  </w:r>
                </w:p>
              </w:tc>
              <w:tc>
                <w:tcPr>
                  <w:tcW w:w="426" w:type="pct"/>
                  <w:vAlign w:val="center"/>
                </w:tcPr>
                <w:p w14:paraId="73D5C1CC">
                  <w:pPr>
                    <w:widowControl/>
                    <w:jc w:val="center"/>
                    <w:rPr>
                      <w:rFonts w:eastAsiaTheme="minorEastAsia"/>
                      <w:b/>
                      <w:bCs/>
                      <w:kern w:val="0"/>
                      <w:szCs w:val="21"/>
                    </w:rPr>
                  </w:pPr>
                  <w:r>
                    <w:rPr>
                      <w:rFonts w:eastAsiaTheme="minorEastAsia"/>
                      <w:b/>
                      <w:bCs/>
                      <w:kern w:val="0"/>
                      <w:szCs w:val="21"/>
                    </w:rPr>
                    <w:t>悬浮物</w:t>
                  </w:r>
                </w:p>
              </w:tc>
              <w:tc>
                <w:tcPr>
                  <w:tcW w:w="365" w:type="pct"/>
                  <w:vAlign w:val="center"/>
                </w:tcPr>
                <w:p w14:paraId="6A78A006">
                  <w:pPr>
                    <w:widowControl/>
                    <w:jc w:val="center"/>
                    <w:rPr>
                      <w:rFonts w:eastAsiaTheme="minorEastAsia"/>
                      <w:b/>
                      <w:bCs/>
                      <w:kern w:val="0"/>
                      <w:szCs w:val="21"/>
                    </w:rPr>
                  </w:pPr>
                  <w:r>
                    <w:rPr>
                      <w:rFonts w:eastAsiaTheme="minorEastAsia"/>
                      <w:b/>
                      <w:bCs/>
                      <w:kern w:val="0"/>
                      <w:szCs w:val="21"/>
                    </w:rPr>
                    <w:t>氨氮</w:t>
                  </w:r>
                </w:p>
              </w:tc>
              <w:tc>
                <w:tcPr>
                  <w:tcW w:w="343" w:type="pct"/>
                  <w:vAlign w:val="center"/>
                </w:tcPr>
                <w:p w14:paraId="309FFC31">
                  <w:pPr>
                    <w:widowControl/>
                    <w:jc w:val="center"/>
                    <w:rPr>
                      <w:rFonts w:eastAsiaTheme="minorEastAsia"/>
                      <w:b/>
                      <w:bCs/>
                      <w:kern w:val="0"/>
                      <w:szCs w:val="21"/>
                    </w:rPr>
                  </w:pPr>
                  <w:r>
                    <w:rPr>
                      <w:rFonts w:eastAsiaTheme="minorEastAsia"/>
                      <w:b/>
                      <w:bCs/>
                      <w:kern w:val="0"/>
                      <w:szCs w:val="21"/>
                    </w:rPr>
                    <w:t>总磷</w:t>
                  </w:r>
                </w:p>
              </w:tc>
              <w:tc>
                <w:tcPr>
                  <w:tcW w:w="353" w:type="pct"/>
                  <w:vAlign w:val="center"/>
                </w:tcPr>
                <w:p w14:paraId="049AC0DE">
                  <w:pPr>
                    <w:widowControl/>
                    <w:jc w:val="center"/>
                    <w:rPr>
                      <w:rFonts w:eastAsiaTheme="minorEastAsia"/>
                      <w:b/>
                      <w:bCs/>
                      <w:kern w:val="0"/>
                      <w:szCs w:val="21"/>
                    </w:rPr>
                  </w:pPr>
                  <w:r>
                    <w:rPr>
                      <w:rFonts w:eastAsiaTheme="minorEastAsia"/>
                      <w:b/>
                      <w:bCs/>
                      <w:kern w:val="0"/>
                      <w:szCs w:val="21"/>
                    </w:rPr>
                    <w:t>总氮</w:t>
                  </w:r>
                </w:p>
              </w:tc>
              <w:tc>
                <w:tcPr>
                  <w:tcW w:w="429" w:type="pct"/>
                  <w:vAlign w:val="center"/>
                </w:tcPr>
                <w:p w14:paraId="3FE5A8B0">
                  <w:pPr>
                    <w:widowControl/>
                    <w:jc w:val="center"/>
                    <w:rPr>
                      <w:rFonts w:eastAsiaTheme="minorEastAsia"/>
                      <w:b/>
                      <w:bCs/>
                      <w:kern w:val="0"/>
                      <w:szCs w:val="21"/>
                    </w:rPr>
                  </w:pPr>
                  <w:r>
                    <w:rPr>
                      <w:b/>
                      <w:bCs/>
                      <w:szCs w:val="21"/>
                    </w:rPr>
                    <w:t>石油类</w:t>
                  </w:r>
                </w:p>
              </w:tc>
              <w:tc>
                <w:tcPr>
                  <w:tcW w:w="371" w:type="pct"/>
                  <w:vAlign w:val="center"/>
                </w:tcPr>
                <w:p w14:paraId="68854FF0">
                  <w:pPr>
                    <w:widowControl/>
                    <w:jc w:val="center"/>
                    <w:rPr>
                      <w:b/>
                      <w:bCs/>
                      <w:szCs w:val="21"/>
                    </w:rPr>
                  </w:pPr>
                  <w:r>
                    <w:rPr>
                      <w:b/>
                      <w:bCs/>
                      <w:szCs w:val="21"/>
                    </w:rPr>
                    <w:t>溶解性固体</w:t>
                  </w:r>
                </w:p>
              </w:tc>
              <w:tc>
                <w:tcPr>
                  <w:tcW w:w="392" w:type="pct"/>
                  <w:vAlign w:val="center"/>
                </w:tcPr>
                <w:p w14:paraId="5D588885">
                  <w:pPr>
                    <w:widowControl/>
                    <w:jc w:val="center"/>
                    <w:rPr>
                      <w:rFonts w:eastAsiaTheme="minorEastAsia"/>
                      <w:b/>
                      <w:bCs/>
                      <w:kern w:val="0"/>
                      <w:szCs w:val="21"/>
                    </w:rPr>
                  </w:pPr>
                  <w:r>
                    <w:rPr>
                      <w:b/>
                      <w:bCs/>
                      <w:szCs w:val="21"/>
                    </w:rPr>
                    <w:t>BOD</w:t>
                  </w:r>
                </w:p>
              </w:tc>
              <w:tc>
                <w:tcPr>
                  <w:tcW w:w="400" w:type="pct"/>
                  <w:vAlign w:val="center"/>
                </w:tcPr>
                <w:p w14:paraId="287A4A75">
                  <w:pPr>
                    <w:widowControl/>
                    <w:jc w:val="center"/>
                    <w:rPr>
                      <w:b/>
                      <w:bCs/>
                      <w:szCs w:val="21"/>
                    </w:rPr>
                  </w:pPr>
                  <w:r>
                    <w:rPr>
                      <w:b/>
                      <w:bCs/>
                      <w:szCs w:val="21"/>
                    </w:rPr>
                    <w:t>锑</w:t>
                  </w:r>
                </w:p>
              </w:tc>
            </w:tr>
            <w:tr w14:paraId="692472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3" w:type="pct"/>
                  <w:vMerge w:val="restart"/>
                  <w:tcBorders>
                    <w:top w:val="single" w:color="auto" w:sz="4" w:space="0"/>
                    <w:right w:val="single" w:color="auto" w:sz="4" w:space="0"/>
                  </w:tcBorders>
                  <w:vAlign w:val="center"/>
                </w:tcPr>
                <w:p w14:paraId="3BB513E7">
                  <w:pPr>
                    <w:widowControl/>
                    <w:jc w:val="center"/>
                    <w:rPr>
                      <w:rFonts w:eastAsiaTheme="minorEastAsia"/>
                      <w:kern w:val="0"/>
                      <w:szCs w:val="21"/>
                    </w:rPr>
                  </w:pPr>
                  <w:r>
                    <w:rPr>
                      <w:kern w:val="0"/>
                      <w:szCs w:val="21"/>
                    </w:rPr>
                    <w:t>外排接管口</w:t>
                  </w:r>
                </w:p>
              </w:tc>
              <w:tc>
                <w:tcPr>
                  <w:tcW w:w="400" w:type="pct"/>
                  <w:vMerge w:val="restart"/>
                  <w:tcBorders>
                    <w:top w:val="single" w:color="auto" w:sz="4" w:space="0"/>
                    <w:left w:val="single" w:color="auto" w:sz="4" w:space="0"/>
                    <w:right w:val="single" w:color="auto" w:sz="4" w:space="0"/>
                  </w:tcBorders>
                  <w:vAlign w:val="center"/>
                </w:tcPr>
                <w:p w14:paraId="2CC9638E">
                  <w:pPr>
                    <w:widowControl/>
                    <w:jc w:val="center"/>
                    <w:rPr>
                      <w:rFonts w:eastAsia="等线"/>
                      <w:kern w:val="0"/>
                      <w:szCs w:val="21"/>
                    </w:rPr>
                  </w:pPr>
                  <w:r>
                    <w:rPr>
                      <w:rFonts w:eastAsia="等线"/>
                      <w:kern w:val="0"/>
                      <w:szCs w:val="21"/>
                    </w:rPr>
                    <w:t>2024.</w:t>
                  </w:r>
                </w:p>
                <w:p w14:paraId="44FD01DF">
                  <w:pPr>
                    <w:widowControl/>
                    <w:jc w:val="center"/>
                    <w:rPr>
                      <w:rFonts w:eastAsia="等线"/>
                      <w:kern w:val="0"/>
                      <w:szCs w:val="21"/>
                    </w:rPr>
                  </w:pPr>
                  <w:r>
                    <w:rPr>
                      <w:rFonts w:eastAsia="等线"/>
                      <w:kern w:val="0"/>
                      <w:szCs w:val="21"/>
                    </w:rPr>
                    <w:t>9.12</w:t>
                  </w:r>
                </w:p>
              </w:tc>
              <w:tc>
                <w:tcPr>
                  <w:tcW w:w="429" w:type="pct"/>
                  <w:tcBorders>
                    <w:top w:val="single" w:color="auto" w:sz="4" w:space="0"/>
                    <w:left w:val="single" w:color="auto" w:sz="4" w:space="0"/>
                    <w:bottom w:val="single" w:color="auto" w:sz="4" w:space="0"/>
                    <w:right w:val="single" w:color="auto" w:sz="4" w:space="0"/>
                  </w:tcBorders>
                  <w:vAlign w:val="center"/>
                </w:tcPr>
                <w:p w14:paraId="393DA633">
                  <w:pPr>
                    <w:widowControl/>
                    <w:jc w:val="center"/>
                    <w:rPr>
                      <w:kern w:val="0"/>
                      <w:szCs w:val="21"/>
                    </w:rPr>
                  </w:pPr>
                  <w:r>
                    <w:rPr>
                      <w:kern w:val="0"/>
                      <w:szCs w:val="21"/>
                    </w:rPr>
                    <w:t>第一次</w:t>
                  </w:r>
                </w:p>
              </w:tc>
              <w:tc>
                <w:tcPr>
                  <w:tcW w:w="317" w:type="pct"/>
                  <w:tcBorders>
                    <w:top w:val="single" w:color="auto" w:sz="4" w:space="0"/>
                    <w:left w:val="single" w:color="auto" w:sz="4" w:space="0"/>
                    <w:bottom w:val="single" w:color="auto" w:sz="4" w:space="0"/>
                    <w:right w:val="single" w:color="auto" w:sz="4" w:space="0"/>
                  </w:tcBorders>
                  <w:vAlign w:val="center"/>
                </w:tcPr>
                <w:p w14:paraId="0D1DB25F">
                  <w:pPr>
                    <w:widowControl/>
                    <w:jc w:val="center"/>
                    <w:rPr>
                      <w:rFonts w:eastAsia="等线"/>
                      <w:szCs w:val="21"/>
                    </w:rPr>
                  </w:pPr>
                  <w:r>
                    <w:rPr>
                      <w:rFonts w:eastAsia="等线"/>
                      <w:szCs w:val="21"/>
                    </w:rPr>
                    <w:t>7.2</w:t>
                  </w:r>
                </w:p>
              </w:tc>
              <w:tc>
                <w:tcPr>
                  <w:tcW w:w="422" w:type="pct"/>
                  <w:tcBorders>
                    <w:top w:val="single" w:color="auto" w:sz="4" w:space="0"/>
                    <w:left w:val="single" w:color="auto" w:sz="4" w:space="0"/>
                    <w:bottom w:val="single" w:color="auto" w:sz="4" w:space="0"/>
                    <w:right w:val="single" w:color="auto" w:sz="4" w:space="0"/>
                  </w:tcBorders>
                  <w:vAlign w:val="center"/>
                </w:tcPr>
                <w:p w14:paraId="475090B2">
                  <w:pPr>
                    <w:widowControl/>
                    <w:jc w:val="center"/>
                    <w:rPr>
                      <w:rFonts w:eastAsia="等线"/>
                      <w:szCs w:val="21"/>
                    </w:rPr>
                  </w:pPr>
                  <w:r>
                    <w:rPr>
                      <w:rFonts w:eastAsia="等线"/>
                      <w:szCs w:val="21"/>
                    </w:rPr>
                    <w:t>10</w:t>
                  </w:r>
                </w:p>
              </w:tc>
              <w:tc>
                <w:tcPr>
                  <w:tcW w:w="426" w:type="pct"/>
                  <w:tcBorders>
                    <w:top w:val="single" w:color="auto" w:sz="4" w:space="0"/>
                    <w:left w:val="single" w:color="auto" w:sz="4" w:space="0"/>
                    <w:bottom w:val="single" w:color="auto" w:sz="4" w:space="0"/>
                    <w:right w:val="single" w:color="auto" w:sz="4" w:space="0"/>
                  </w:tcBorders>
                  <w:vAlign w:val="center"/>
                </w:tcPr>
                <w:p w14:paraId="78CBE09E">
                  <w:pPr>
                    <w:widowControl/>
                    <w:jc w:val="center"/>
                    <w:rPr>
                      <w:rFonts w:eastAsia="等线"/>
                      <w:szCs w:val="21"/>
                    </w:rPr>
                  </w:pPr>
                  <w:r>
                    <w:rPr>
                      <w:rFonts w:eastAsia="等线"/>
                      <w:szCs w:val="21"/>
                    </w:rPr>
                    <w:t>7</w:t>
                  </w:r>
                </w:p>
              </w:tc>
              <w:tc>
                <w:tcPr>
                  <w:tcW w:w="365" w:type="pct"/>
                  <w:tcBorders>
                    <w:top w:val="single" w:color="auto" w:sz="4" w:space="0"/>
                    <w:left w:val="single" w:color="auto" w:sz="4" w:space="0"/>
                    <w:bottom w:val="single" w:color="auto" w:sz="4" w:space="0"/>
                    <w:right w:val="single" w:color="auto" w:sz="4" w:space="0"/>
                  </w:tcBorders>
                  <w:vAlign w:val="center"/>
                </w:tcPr>
                <w:p w14:paraId="4074F314">
                  <w:pPr>
                    <w:widowControl/>
                    <w:jc w:val="center"/>
                    <w:rPr>
                      <w:rFonts w:eastAsia="等线"/>
                      <w:szCs w:val="21"/>
                    </w:rPr>
                  </w:pPr>
                  <w:r>
                    <w:rPr>
                      <w:rFonts w:eastAsia="等线"/>
                      <w:szCs w:val="21"/>
                    </w:rPr>
                    <w:t>0.17</w:t>
                  </w:r>
                </w:p>
              </w:tc>
              <w:tc>
                <w:tcPr>
                  <w:tcW w:w="343" w:type="pct"/>
                  <w:tcBorders>
                    <w:top w:val="single" w:color="auto" w:sz="4" w:space="0"/>
                    <w:left w:val="single" w:color="auto" w:sz="4" w:space="0"/>
                    <w:bottom w:val="single" w:color="auto" w:sz="4" w:space="0"/>
                    <w:right w:val="single" w:color="auto" w:sz="4" w:space="0"/>
                  </w:tcBorders>
                  <w:vAlign w:val="center"/>
                </w:tcPr>
                <w:p w14:paraId="619E0C79">
                  <w:pPr>
                    <w:widowControl/>
                    <w:jc w:val="center"/>
                    <w:rPr>
                      <w:rFonts w:eastAsia="等线"/>
                      <w:szCs w:val="21"/>
                    </w:rPr>
                  </w:pPr>
                  <w:r>
                    <w:rPr>
                      <w:rFonts w:eastAsia="等线"/>
                      <w:szCs w:val="21"/>
                    </w:rPr>
                    <w:t>0.12</w:t>
                  </w:r>
                </w:p>
              </w:tc>
              <w:tc>
                <w:tcPr>
                  <w:tcW w:w="353" w:type="pct"/>
                  <w:tcBorders>
                    <w:top w:val="single" w:color="auto" w:sz="4" w:space="0"/>
                    <w:left w:val="single" w:color="auto" w:sz="4" w:space="0"/>
                    <w:bottom w:val="single" w:color="auto" w:sz="4" w:space="0"/>
                    <w:right w:val="single" w:color="auto" w:sz="4" w:space="0"/>
                  </w:tcBorders>
                  <w:vAlign w:val="center"/>
                </w:tcPr>
                <w:p w14:paraId="07515F5E">
                  <w:pPr>
                    <w:widowControl/>
                    <w:jc w:val="center"/>
                    <w:rPr>
                      <w:rFonts w:eastAsiaTheme="minorEastAsia"/>
                      <w:szCs w:val="21"/>
                    </w:rPr>
                  </w:pPr>
                  <w:r>
                    <w:rPr>
                      <w:rFonts w:eastAsia="等线"/>
                      <w:szCs w:val="21"/>
                    </w:rPr>
                    <w:t>0.49</w:t>
                  </w:r>
                </w:p>
              </w:tc>
              <w:tc>
                <w:tcPr>
                  <w:tcW w:w="429" w:type="pct"/>
                  <w:tcBorders>
                    <w:top w:val="single" w:color="auto" w:sz="4" w:space="0"/>
                    <w:left w:val="single" w:color="auto" w:sz="4" w:space="0"/>
                    <w:bottom w:val="single" w:color="auto" w:sz="4" w:space="0"/>
                    <w:right w:val="single" w:color="auto" w:sz="4" w:space="0"/>
                  </w:tcBorders>
                  <w:vAlign w:val="center"/>
                </w:tcPr>
                <w:p w14:paraId="57C451B8">
                  <w:pPr>
                    <w:widowControl/>
                    <w:jc w:val="center"/>
                    <w:rPr>
                      <w:rFonts w:eastAsia="等线"/>
                      <w:szCs w:val="21"/>
                    </w:rPr>
                  </w:pPr>
                  <w:r>
                    <w:rPr>
                      <w:rFonts w:eastAsia="等线"/>
                      <w:szCs w:val="21"/>
                    </w:rPr>
                    <w:t>0.18</w:t>
                  </w:r>
                </w:p>
              </w:tc>
              <w:tc>
                <w:tcPr>
                  <w:tcW w:w="371" w:type="pct"/>
                  <w:tcBorders>
                    <w:top w:val="single" w:color="auto" w:sz="4" w:space="0"/>
                    <w:left w:val="single" w:color="auto" w:sz="4" w:space="0"/>
                    <w:bottom w:val="single" w:color="auto" w:sz="4" w:space="0"/>
                    <w:right w:val="single" w:color="auto" w:sz="4" w:space="0"/>
                  </w:tcBorders>
                  <w:vAlign w:val="center"/>
                </w:tcPr>
                <w:p w14:paraId="217FDF01">
                  <w:pPr>
                    <w:widowControl/>
                    <w:jc w:val="center"/>
                    <w:rPr>
                      <w:rFonts w:eastAsia="等线"/>
                      <w:szCs w:val="21"/>
                    </w:rPr>
                  </w:pPr>
                  <w:r>
                    <w:rPr>
                      <w:rFonts w:eastAsiaTheme="minorEastAsia"/>
                      <w:szCs w:val="21"/>
                    </w:rPr>
                    <w:t>/</w:t>
                  </w:r>
                </w:p>
              </w:tc>
              <w:tc>
                <w:tcPr>
                  <w:tcW w:w="392" w:type="pct"/>
                  <w:tcBorders>
                    <w:top w:val="single" w:color="auto" w:sz="4" w:space="0"/>
                    <w:left w:val="single" w:color="auto" w:sz="4" w:space="0"/>
                    <w:bottom w:val="single" w:color="auto" w:sz="4" w:space="0"/>
                  </w:tcBorders>
                  <w:vAlign w:val="center"/>
                </w:tcPr>
                <w:p w14:paraId="419AF710">
                  <w:pPr>
                    <w:widowControl/>
                    <w:jc w:val="center"/>
                    <w:rPr>
                      <w:rFonts w:eastAsiaTheme="minorEastAsia"/>
                      <w:szCs w:val="21"/>
                    </w:rPr>
                  </w:pPr>
                  <w:r>
                    <w:rPr>
                      <w:rFonts w:eastAsia="等线"/>
                      <w:szCs w:val="21"/>
                    </w:rPr>
                    <w:t>2</w:t>
                  </w:r>
                </w:p>
              </w:tc>
              <w:tc>
                <w:tcPr>
                  <w:tcW w:w="400" w:type="pct"/>
                  <w:tcBorders>
                    <w:top w:val="single" w:color="auto" w:sz="4" w:space="0"/>
                    <w:left w:val="single" w:color="auto" w:sz="4" w:space="0"/>
                    <w:bottom w:val="single" w:color="auto" w:sz="4" w:space="0"/>
                  </w:tcBorders>
                  <w:vAlign w:val="center"/>
                </w:tcPr>
                <w:p w14:paraId="71050883">
                  <w:pPr>
                    <w:widowControl/>
                    <w:jc w:val="center"/>
                    <w:rPr>
                      <w:rFonts w:eastAsia="等线"/>
                      <w:szCs w:val="21"/>
                    </w:rPr>
                  </w:pPr>
                  <w:r>
                    <w:rPr>
                      <w:rFonts w:eastAsia="等线"/>
                      <w:szCs w:val="21"/>
                    </w:rPr>
                    <w:t>0.002</w:t>
                  </w:r>
                </w:p>
              </w:tc>
            </w:tr>
            <w:tr w14:paraId="0DE13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3" w:type="pct"/>
                  <w:vMerge w:val="continue"/>
                  <w:tcBorders>
                    <w:right w:val="single" w:color="auto" w:sz="4" w:space="0"/>
                  </w:tcBorders>
                  <w:vAlign w:val="center"/>
                </w:tcPr>
                <w:p w14:paraId="36462AD8">
                  <w:pPr>
                    <w:widowControl/>
                    <w:jc w:val="center"/>
                    <w:rPr>
                      <w:kern w:val="0"/>
                      <w:szCs w:val="21"/>
                    </w:rPr>
                  </w:pPr>
                </w:p>
              </w:tc>
              <w:tc>
                <w:tcPr>
                  <w:tcW w:w="400" w:type="pct"/>
                  <w:vMerge w:val="continue"/>
                  <w:tcBorders>
                    <w:left w:val="single" w:color="auto" w:sz="4" w:space="0"/>
                    <w:right w:val="single" w:color="auto" w:sz="4" w:space="0"/>
                  </w:tcBorders>
                  <w:vAlign w:val="center"/>
                </w:tcPr>
                <w:p w14:paraId="3CE66E3F">
                  <w:pPr>
                    <w:widowControl/>
                    <w:jc w:val="center"/>
                    <w:rPr>
                      <w:rFonts w:eastAsia="等线"/>
                      <w:kern w:val="0"/>
                      <w:szCs w:val="21"/>
                    </w:rPr>
                  </w:pPr>
                </w:p>
              </w:tc>
              <w:tc>
                <w:tcPr>
                  <w:tcW w:w="429" w:type="pct"/>
                  <w:tcBorders>
                    <w:top w:val="single" w:color="auto" w:sz="4" w:space="0"/>
                    <w:left w:val="single" w:color="auto" w:sz="4" w:space="0"/>
                    <w:bottom w:val="single" w:color="auto" w:sz="4" w:space="0"/>
                    <w:right w:val="single" w:color="auto" w:sz="4" w:space="0"/>
                  </w:tcBorders>
                  <w:vAlign w:val="center"/>
                </w:tcPr>
                <w:p w14:paraId="6F202F31">
                  <w:pPr>
                    <w:widowControl/>
                    <w:jc w:val="center"/>
                    <w:rPr>
                      <w:kern w:val="0"/>
                      <w:szCs w:val="21"/>
                    </w:rPr>
                  </w:pPr>
                  <w:r>
                    <w:rPr>
                      <w:kern w:val="0"/>
                      <w:szCs w:val="21"/>
                    </w:rPr>
                    <w:t>第二次</w:t>
                  </w:r>
                </w:p>
              </w:tc>
              <w:tc>
                <w:tcPr>
                  <w:tcW w:w="317" w:type="pct"/>
                  <w:tcBorders>
                    <w:top w:val="single" w:color="auto" w:sz="4" w:space="0"/>
                    <w:left w:val="single" w:color="auto" w:sz="4" w:space="0"/>
                    <w:bottom w:val="single" w:color="auto" w:sz="4" w:space="0"/>
                    <w:right w:val="single" w:color="auto" w:sz="4" w:space="0"/>
                  </w:tcBorders>
                  <w:vAlign w:val="center"/>
                </w:tcPr>
                <w:p w14:paraId="40BF4F81">
                  <w:pPr>
                    <w:widowControl/>
                    <w:jc w:val="center"/>
                    <w:rPr>
                      <w:rFonts w:eastAsia="等线"/>
                      <w:szCs w:val="21"/>
                    </w:rPr>
                  </w:pPr>
                  <w:r>
                    <w:rPr>
                      <w:rFonts w:eastAsia="等线"/>
                      <w:szCs w:val="21"/>
                    </w:rPr>
                    <w:t>7.4</w:t>
                  </w:r>
                </w:p>
              </w:tc>
              <w:tc>
                <w:tcPr>
                  <w:tcW w:w="422" w:type="pct"/>
                  <w:tcBorders>
                    <w:top w:val="single" w:color="auto" w:sz="4" w:space="0"/>
                    <w:left w:val="single" w:color="auto" w:sz="4" w:space="0"/>
                    <w:bottom w:val="single" w:color="auto" w:sz="4" w:space="0"/>
                    <w:right w:val="single" w:color="auto" w:sz="4" w:space="0"/>
                  </w:tcBorders>
                  <w:vAlign w:val="center"/>
                </w:tcPr>
                <w:p w14:paraId="0659E680">
                  <w:pPr>
                    <w:widowControl/>
                    <w:jc w:val="center"/>
                    <w:rPr>
                      <w:rFonts w:eastAsia="等线"/>
                      <w:szCs w:val="21"/>
                    </w:rPr>
                  </w:pPr>
                  <w:r>
                    <w:rPr>
                      <w:rFonts w:eastAsia="等线"/>
                      <w:szCs w:val="21"/>
                    </w:rPr>
                    <w:t>12</w:t>
                  </w:r>
                </w:p>
              </w:tc>
              <w:tc>
                <w:tcPr>
                  <w:tcW w:w="426" w:type="pct"/>
                  <w:tcBorders>
                    <w:top w:val="single" w:color="auto" w:sz="4" w:space="0"/>
                    <w:left w:val="single" w:color="auto" w:sz="4" w:space="0"/>
                    <w:bottom w:val="single" w:color="auto" w:sz="4" w:space="0"/>
                    <w:right w:val="single" w:color="auto" w:sz="4" w:space="0"/>
                  </w:tcBorders>
                  <w:vAlign w:val="center"/>
                </w:tcPr>
                <w:p w14:paraId="41EC7FC9">
                  <w:pPr>
                    <w:widowControl/>
                    <w:jc w:val="center"/>
                    <w:rPr>
                      <w:rFonts w:eastAsia="等线"/>
                      <w:szCs w:val="21"/>
                    </w:rPr>
                  </w:pPr>
                  <w:r>
                    <w:rPr>
                      <w:rFonts w:eastAsia="等线"/>
                      <w:szCs w:val="21"/>
                    </w:rPr>
                    <w:t>5</w:t>
                  </w:r>
                </w:p>
              </w:tc>
              <w:tc>
                <w:tcPr>
                  <w:tcW w:w="365" w:type="pct"/>
                  <w:tcBorders>
                    <w:top w:val="single" w:color="auto" w:sz="4" w:space="0"/>
                    <w:left w:val="single" w:color="auto" w:sz="4" w:space="0"/>
                    <w:bottom w:val="single" w:color="auto" w:sz="4" w:space="0"/>
                    <w:right w:val="single" w:color="auto" w:sz="4" w:space="0"/>
                  </w:tcBorders>
                  <w:vAlign w:val="center"/>
                </w:tcPr>
                <w:p w14:paraId="28EF2035">
                  <w:pPr>
                    <w:widowControl/>
                    <w:jc w:val="center"/>
                    <w:rPr>
                      <w:rFonts w:eastAsia="等线"/>
                      <w:szCs w:val="21"/>
                    </w:rPr>
                  </w:pPr>
                  <w:r>
                    <w:rPr>
                      <w:rFonts w:eastAsia="等线"/>
                      <w:szCs w:val="21"/>
                    </w:rPr>
                    <w:t>0.16</w:t>
                  </w:r>
                </w:p>
              </w:tc>
              <w:tc>
                <w:tcPr>
                  <w:tcW w:w="343" w:type="pct"/>
                  <w:tcBorders>
                    <w:top w:val="single" w:color="auto" w:sz="4" w:space="0"/>
                    <w:left w:val="single" w:color="auto" w:sz="4" w:space="0"/>
                    <w:bottom w:val="single" w:color="auto" w:sz="4" w:space="0"/>
                    <w:right w:val="single" w:color="auto" w:sz="4" w:space="0"/>
                  </w:tcBorders>
                  <w:vAlign w:val="center"/>
                </w:tcPr>
                <w:p w14:paraId="78B35117">
                  <w:pPr>
                    <w:widowControl/>
                    <w:jc w:val="center"/>
                    <w:rPr>
                      <w:rFonts w:eastAsia="等线"/>
                      <w:szCs w:val="21"/>
                    </w:rPr>
                  </w:pPr>
                  <w:r>
                    <w:rPr>
                      <w:rFonts w:eastAsia="等线"/>
                      <w:szCs w:val="21"/>
                    </w:rPr>
                    <w:t>0.14</w:t>
                  </w:r>
                </w:p>
              </w:tc>
              <w:tc>
                <w:tcPr>
                  <w:tcW w:w="353" w:type="pct"/>
                  <w:tcBorders>
                    <w:top w:val="single" w:color="auto" w:sz="4" w:space="0"/>
                    <w:left w:val="single" w:color="auto" w:sz="4" w:space="0"/>
                    <w:bottom w:val="single" w:color="auto" w:sz="4" w:space="0"/>
                    <w:right w:val="single" w:color="auto" w:sz="4" w:space="0"/>
                  </w:tcBorders>
                  <w:vAlign w:val="center"/>
                </w:tcPr>
                <w:p w14:paraId="123AD645">
                  <w:pPr>
                    <w:widowControl/>
                    <w:jc w:val="center"/>
                    <w:rPr>
                      <w:rFonts w:eastAsia="等线"/>
                      <w:szCs w:val="21"/>
                    </w:rPr>
                  </w:pPr>
                  <w:r>
                    <w:rPr>
                      <w:rFonts w:eastAsia="等线"/>
                      <w:szCs w:val="21"/>
                    </w:rPr>
                    <w:t>0.6</w:t>
                  </w:r>
                </w:p>
              </w:tc>
              <w:tc>
                <w:tcPr>
                  <w:tcW w:w="429" w:type="pct"/>
                  <w:tcBorders>
                    <w:top w:val="single" w:color="auto" w:sz="4" w:space="0"/>
                    <w:left w:val="single" w:color="auto" w:sz="4" w:space="0"/>
                    <w:bottom w:val="single" w:color="auto" w:sz="4" w:space="0"/>
                    <w:right w:val="single" w:color="auto" w:sz="4" w:space="0"/>
                  </w:tcBorders>
                  <w:vAlign w:val="center"/>
                </w:tcPr>
                <w:p w14:paraId="763AD2BB">
                  <w:pPr>
                    <w:widowControl/>
                    <w:jc w:val="center"/>
                    <w:rPr>
                      <w:rFonts w:eastAsia="等线"/>
                      <w:szCs w:val="21"/>
                    </w:rPr>
                  </w:pPr>
                  <w:r>
                    <w:rPr>
                      <w:rFonts w:eastAsia="等线"/>
                      <w:szCs w:val="21"/>
                    </w:rPr>
                    <w:t>0.14</w:t>
                  </w:r>
                </w:p>
              </w:tc>
              <w:tc>
                <w:tcPr>
                  <w:tcW w:w="371" w:type="pct"/>
                  <w:tcBorders>
                    <w:top w:val="single" w:color="auto" w:sz="4" w:space="0"/>
                    <w:left w:val="single" w:color="auto" w:sz="4" w:space="0"/>
                    <w:bottom w:val="single" w:color="auto" w:sz="4" w:space="0"/>
                    <w:right w:val="single" w:color="auto" w:sz="4" w:space="0"/>
                  </w:tcBorders>
                  <w:vAlign w:val="center"/>
                </w:tcPr>
                <w:p w14:paraId="49B33C94">
                  <w:pPr>
                    <w:widowControl/>
                    <w:jc w:val="center"/>
                    <w:rPr>
                      <w:rFonts w:eastAsia="等线"/>
                      <w:szCs w:val="21"/>
                    </w:rPr>
                  </w:pPr>
                  <w:r>
                    <w:rPr>
                      <w:rFonts w:eastAsiaTheme="minorEastAsia"/>
                      <w:szCs w:val="21"/>
                    </w:rPr>
                    <w:t>/</w:t>
                  </w:r>
                </w:p>
              </w:tc>
              <w:tc>
                <w:tcPr>
                  <w:tcW w:w="392" w:type="pct"/>
                  <w:tcBorders>
                    <w:top w:val="single" w:color="auto" w:sz="4" w:space="0"/>
                    <w:left w:val="single" w:color="auto" w:sz="4" w:space="0"/>
                    <w:bottom w:val="single" w:color="auto" w:sz="4" w:space="0"/>
                  </w:tcBorders>
                  <w:vAlign w:val="center"/>
                </w:tcPr>
                <w:p w14:paraId="7C27E24A">
                  <w:pPr>
                    <w:widowControl/>
                    <w:jc w:val="center"/>
                    <w:rPr>
                      <w:rFonts w:eastAsia="等线"/>
                      <w:szCs w:val="21"/>
                    </w:rPr>
                  </w:pPr>
                  <w:r>
                    <w:rPr>
                      <w:rFonts w:eastAsia="等线"/>
                      <w:szCs w:val="21"/>
                    </w:rPr>
                    <w:t>2.4</w:t>
                  </w:r>
                </w:p>
              </w:tc>
              <w:tc>
                <w:tcPr>
                  <w:tcW w:w="400" w:type="pct"/>
                  <w:tcBorders>
                    <w:top w:val="single" w:color="auto" w:sz="4" w:space="0"/>
                    <w:left w:val="single" w:color="auto" w:sz="4" w:space="0"/>
                    <w:bottom w:val="single" w:color="auto" w:sz="4" w:space="0"/>
                  </w:tcBorders>
                  <w:vAlign w:val="center"/>
                </w:tcPr>
                <w:p w14:paraId="212119A3">
                  <w:pPr>
                    <w:widowControl/>
                    <w:jc w:val="center"/>
                    <w:rPr>
                      <w:rFonts w:eastAsia="等线"/>
                      <w:szCs w:val="21"/>
                    </w:rPr>
                  </w:pPr>
                  <w:r>
                    <w:rPr>
                      <w:rFonts w:eastAsiaTheme="minorEastAsia"/>
                      <w:szCs w:val="21"/>
                    </w:rPr>
                    <w:t>/</w:t>
                  </w:r>
                </w:p>
              </w:tc>
            </w:tr>
            <w:tr w14:paraId="4A9180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3" w:type="pct"/>
                  <w:vMerge w:val="continue"/>
                  <w:tcBorders>
                    <w:right w:val="single" w:color="auto" w:sz="4" w:space="0"/>
                  </w:tcBorders>
                  <w:vAlign w:val="center"/>
                </w:tcPr>
                <w:p w14:paraId="13799D1D">
                  <w:pPr>
                    <w:widowControl/>
                    <w:jc w:val="center"/>
                    <w:rPr>
                      <w:kern w:val="0"/>
                      <w:szCs w:val="21"/>
                    </w:rPr>
                  </w:pPr>
                </w:p>
              </w:tc>
              <w:tc>
                <w:tcPr>
                  <w:tcW w:w="400" w:type="pct"/>
                  <w:vMerge w:val="continue"/>
                  <w:tcBorders>
                    <w:left w:val="single" w:color="auto" w:sz="4" w:space="0"/>
                    <w:right w:val="single" w:color="auto" w:sz="4" w:space="0"/>
                  </w:tcBorders>
                  <w:vAlign w:val="center"/>
                </w:tcPr>
                <w:p w14:paraId="3B8D2559">
                  <w:pPr>
                    <w:widowControl/>
                    <w:jc w:val="center"/>
                    <w:rPr>
                      <w:rFonts w:eastAsia="等线"/>
                      <w:kern w:val="0"/>
                      <w:szCs w:val="21"/>
                    </w:rPr>
                  </w:pPr>
                </w:p>
              </w:tc>
              <w:tc>
                <w:tcPr>
                  <w:tcW w:w="429" w:type="pct"/>
                  <w:tcBorders>
                    <w:top w:val="single" w:color="auto" w:sz="4" w:space="0"/>
                    <w:left w:val="single" w:color="auto" w:sz="4" w:space="0"/>
                    <w:bottom w:val="single" w:color="auto" w:sz="4" w:space="0"/>
                    <w:right w:val="single" w:color="auto" w:sz="4" w:space="0"/>
                  </w:tcBorders>
                  <w:vAlign w:val="center"/>
                </w:tcPr>
                <w:p w14:paraId="30DE8992">
                  <w:pPr>
                    <w:widowControl/>
                    <w:jc w:val="center"/>
                    <w:rPr>
                      <w:kern w:val="0"/>
                      <w:szCs w:val="21"/>
                    </w:rPr>
                  </w:pPr>
                  <w:r>
                    <w:rPr>
                      <w:kern w:val="0"/>
                      <w:szCs w:val="21"/>
                    </w:rPr>
                    <w:t>第三次</w:t>
                  </w:r>
                </w:p>
              </w:tc>
              <w:tc>
                <w:tcPr>
                  <w:tcW w:w="317" w:type="pct"/>
                  <w:tcBorders>
                    <w:top w:val="single" w:color="auto" w:sz="4" w:space="0"/>
                    <w:left w:val="single" w:color="auto" w:sz="4" w:space="0"/>
                    <w:bottom w:val="single" w:color="auto" w:sz="4" w:space="0"/>
                    <w:right w:val="single" w:color="auto" w:sz="4" w:space="0"/>
                  </w:tcBorders>
                  <w:vAlign w:val="center"/>
                </w:tcPr>
                <w:p w14:paraId="64506F64">
                  <w:pPr>
                    <w:widowControl/>
                    <w:jc w:val="center"/>
                    <w:rPr>
                      <w:rFonts w:eastAsia="等线"/>
                      <w:szCs w:val="21"/>
                    </w:rPr>
                  </w:pPr>
                  <w:r>
                    <w:rPr>
                      <w:rFonts w:eastAsia="等线"/>
                      <w:szCs w:val="21"/>
                    </w:rPr>
                    <w:t>7.3</w:t>
                  </w:r>
                </w:p>
              </w:tc>
              <w:tc>
                <w:tcPr>
                  <w:tcW w:w="422" w:type="pct"/>
                  <w:tcBorders>
                    <w:top w:val="single" w:color="auto" w:sz="4" w:space="0"/>
                    <w:left w:val="single" w:color="auto" w:sz="4" w:space="0"/>
                    <w:bottom w:val="single" w:color="auto" w:sz="4" w:space="0"/>
                    <w:right w:val="single" w:color="auto" w:sz="4" w:space="0"/>
                  </w:tcBorders>
                  <w:vAlign w:val="center"/>
                </w:tcPr>
                <w:p w14:paraId="7CCE48DC">
                  <w:pPr>
                    <w:widowControl/>
                    <w:jc w:val="center"/>
                    <w:rPr>
                      <w:rFonts w:eastAsia="等线"/>
                      <w:szCs w:val="21"/>
                    </w:rPr>
                  </w:pPr>
                  <w:r>
                    <w:rPr>
                      <w:rFonts w:eastAsia="等线"/>
                      <w:szCs w:val="21"/>
                    </w:rPr>
                    <w:t>13</w:t>
                  </w:r>
                </w:p>
              </w:tc>
              <w:tc>
                <w:tcPr>
                  <w:tcW w:w="426" w:type="pct"/>
                  <w:tcBorders>
                    <w:top w:val="single" w:color="auto" w:sz="4" w:space="0"/>
                    <w:left w:val="single" w:color="auto" w:sz="4" w:space="0"/>
                    <w:bottom w:val="single" w:color="auto" w:sz="4" w:space="0"/>
                    <w:right w:val="single" w:color="auto" w:sz="4" w:space="0"/>
                  </w:tcBorders>
                  <w:vAlign w:val="center"/>
                </w:tcPr>
                <w:p w14:paraId="10CE1197">
                  <w:pPr>
                    <w:widowControl/>
                    <w:jc w:val="center"/>
                    <w:rPr>
                      <w:rFonts w:eastAsia="等线"/>
                      <w:szCs w:val="21"/>
                    </w:rPr>
                  </w:pPr>
                  <w:r>
                    <w:rPr>
                      <w:rFonts w:eastAsia="等线"/>
                      <w:szCs w:val="21"/>
                    </w:rPr>
                    <w:t>8</w:t>
                  </w:r>
                </w:p>
              </w:tc>
              <w:tc>
                <w:tcPr>
                  <w:tcW w:w="365" w:type="pct"/>
                  <w:tcBorders>
                    <w:top w:val="single" w:color="auto" w:sz="4" w:space="0"/>
                    <w:left w:val="single" w:color="auto" w:sz="4" w:space="0"/>
                    <w:bottom w:val="single" w:color="auto" w:sz="4" w:space="0"/>
                    <w:right w:val="single" w:color="auto" w:sz="4" w:space="0"/>
                  </w:tcBorders>
                  <w:vAlign w:val="center"/>
                </w:tcPr>
                <w:p w14:paraId="4C859676">
                  <w:pPr>
                    <w:widowControl/>
                    <w:jc w:val="center"/>
                    <w:rPr>
                      <w:rFonts w:eastAsia="等线"/>
                      <w:szCs w:val="21"/>
                    </w:rPr>
                  </w:pPr>
                  <w:r>
                    <w:rPr>
                      <w:rFonts w:eastAsia="等线"/>
                      <w:szCs w:val="21"/>
                    </w:rPr>
                    <w:t>0.20</w:t>
                  </w:r>
                </w:p>
              </w:tc>
              <w:tc>
                <w:tcPr>
                  <w:tcW w:w="343" w:type="pct"/>
                  <w:tcBorders>
                    <w:top w:val="single" w:color="auto" w:sz="4" w:space="0"/>
                    <w:left w:val="single" w:color="auto" w:sz="4" w:space="0"/>
                    <w:bottom w:val="single" w:color="auto" w:sz="4" w:space="0"/>
                    <w:right w:val="single" w:color="auto" w:sz="4" w:space="0"/>
                  </w:tcBorders>
                  <w:vAlign w:val="center"/>
                </w:tcPr>
                <w:p w14:paraId="3BEA0715">
                  <w:pPr>
                    <w:widowControl/>
                    <w:jc w:val="center"/>
                    <w:rPr>
                      <w:rFonts w:eastAsia="等线"/>
                      <w:szCs w:val="21"/>
                    </w:rPr>
                  </w:pPr>
                  <w:r>
                    <w:rPr>
                      <w:rFonts w:eastAsia="等线"/>
                      <w:szCs w:val="21"/>
                    </w:rPr>
                    <w:t>0.12</w:t>
                  </w:r>
                </w:p>
              </w:tc>
              <w:tc>
                <w:tcPr>
                  <w:tcW w:w="353" w:type="pct"/>
                  <w:tcBorders>
                    <w:top w:val="single" w:color="auto" w:sz="4" w:space="0"/>
                    <w:left w:val="single" w:color="auto" w:sz="4" w:space="0"/>
                    <w:bottom w:val="single" w:color="auto" w:sz="4" w:space="0"/>
                    <w:right w:val="single" w:color="auto" w:sz="4" w:space="0"/>
                  </w:tcBorders>
                  <w:vAlign w:val="center"/>
                </w:tcPr>
                <w:p w14:paraId="1C1E7EC8">
                  <w:pPr>
                    <w:widowControl/>
                    <w:jc w:val="center"/>
                    <w:rPr>
                      <w:rFonts w:eastAsia="等线"/>
                      <w:szCs w:val="21"/>
                    </w:rPr>
                  </w:pPr>
                  <w:r>
                    <w:rPr>
                      <w:rFonts w:eastAsia="等线"/>
                      <w:szCs w:val="21"/>
                    </w:rPr>
                    <w:t>0.46</w:t>
                  </w:r>
                </w:p>
              </w:tc>
              <w:tc>
                <w:tcPr>
                  <w:tcW w:w="429" w:type="pct"/>
                  <w:tcBorders>
                    <w:top w:val="single" w:color="auto" w:sz="4" w:space="0"/>
                    <w:left w:val="single" w:color="auto" w:sz="4" w:space="0"/>
                    <w:bottom w:val="single" w:color="auto" w:sz="4" w:space="0"/>
                    <w:right w:val="single" w:color="auto" w:sz="4" w:space="0"/>
                  </w:tcBorders>
                  <w:vAlign w:val="center"/>
                </w:tcPr>
                <w:p w14:paraId="58F28370">
                  <w:pPr>
                    <w:widowControl/>
                    <w:jc w:val="center"/>
                    <w:rPr>
                      <w:rFonts w:eastAsia="等线"/>
                      <w:szCs w:val="21"/>
                    </w:rPr>
                  </w:pPr>
                  <w:r>
                    <w:rPr>
                      <w:rFonts w:eastAsia="等线"/>
                      <w:szCs w:val="21"/>
                    </w:rPr>
                    <w:t>0.11</w:t>
                  </w:r>
                </w:p>
              </w:tc>
              <w:tc>
                <w:tcPr>
                  <w:tcW w:w="371" w:type="pct"/>
                  <w:tcBorders>
                    <w:top w:val="single" w:color="auto" w:sz="4" w:space="0"/>
                    <w:left w:val="single" w:color="auto" w:sz="4" w:space="0"/>
                    <w:bottom w:val="single" w:color="auto" w:sz="4" w:space="0"/>
                    <w:right w:val="single" w:color="auto" w:sz="4" w:space="0"/>
                  </w:tcBorders>
                  <w:vAlign w:val="center"/>
                </w:tcPr>
                <w:p w14:paraId="6AA95626">
                  <w:pPr>
                    <w:widowControl/>
                    <w:jc w:val="center"/>
                    <w:rPr>
                      <w:rFonts w:eastAsia="等线"/>
                      <w:szCs w:val="21"/>
                    </w:rPr>
                  </w:pPr>
                  <w:r>
                    <w:rPr>
                      <w:rFonts w:eastAsiaTheme="minorEastAsia"/>
                      <w:szCs w:val="21"/>
                    </w:rPr>
                    <w:t>/</w:t>
                  </w:r>
                </w:p>
              </w:tc>
              <w:tc>
                <w:tcPr>
                  <w:tcW w:w="392" w:type="pct"/>
                  <w:tcBorders>
                    <w:top w:val="single" w:color="auto" w:sz="4" w:space="0"/>
                    <w:left w:val="single" w:color="auto" w:sz="4" w:space="0"/>
                    <w:bottom w:val="single" w:color="auto" w:sz="4" w:space="0"/>
                  </w:tcBorders>
                  <w:vAlign w:val="center"/>
                </w:tcPr>
                <w:p w14:paraId="7D5AD04F">
                  <w:pPr>
                    <w:widowControl/>
                    <w:jc w:val="center"/>
                    <w:rPr>
                      <w:rFonts w:eastAsia="等线"/>
                      <w:szCs w:val="21"/>
                    </w:rPr>
                  </w:pPr>
                  <w:r>
                    <w:rPr>
                      <w:rFonts w:eastAsia="等线"/>
                      <w:szCs w:val="21"/>
                    </w:rPr>
                    <w:t>2.5</w:t>
                  </w:r>
                </w:p>
              </w:tc>
              <w:tc>
                <w:tcPr>
                  <w:tcW w:w="400" w:type="pct"/>
                  <w:tcBorders>
                    <w:top w:val="single" w:color="auto" w:sz="4" w:space="0"/>
                    <w:left w:val="single" w:color="auto" w:sz="4" w:space="0"/>
                    <w:bottom w:val="single" w:color="auto" w:sz="4" w:space="0"/>
                  </w:tcBorders>
                  <w:vAlign w:val="center"/>
                </w:tcPr>
                <w:p w14:paraId="1FF6651B">
                  <w:pPr>
                    <w:widowControl/>
                    <w:jc w:val="center"/>
                    <w:rPr>
                      <w:rFonts w:eastAsia="等线"/>
                      <w:szCs w:val="21"/>
                    </w:rPr>
                  </w:pPr>
                  <w:r>
                    <w:rPr>
                      <w:rFonts w:eastAsiaTheme="minorEastAsia"/>
                      <w:szCs w:val="21"/>
                    </w:rPr>
                    <w:t>/</w:t>
                  </w:r>
                </w:p>
              </w:tc>
            </w:tr>
            <w:tr w14:paraId="0E307C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3" w:type="pct"/>
                  <w:vMerge w:val="continue"/>
                  <w:tcBorders>
                    <w:right w:val="single" w:color="auto" w:sz="4" w:space="0"/>
                  </w:tcBorders>
                  <w:vAlign w:val="center"/>
                </w:tcPr>
                <w:p w14:paraId="4B05D5BD">
                  <w:pPr>
                    <w:widowControl/>
                    <w:jc w:val="center"/>
                    <w:rPr>
                      <w:kern w:val="0"/>
                      <w:szCs w:val="21"/>
                    </w:rPr>
                  </w:pPr>
                </w:p>
              </w:tc>
              <w:tc>
                <w:tcPr>
                  <w:tcW w:w="400" w:type="pct"/>
                  <w:vMerge w:val="continue"/>
                  <w:tcBorders>
                    <w:left w:val="single" w:color="auto" w:sz="4" w:space="0"/>
                    <w:right w:val="single" w:color="auto" w:sz="4" w:space="0"/>
                  </w:tcBorders>
                  <w:vAlign w:val="center"/>
                </w:tcPr>
                <w:p w14:paraId="39E59B23">
                  <w:pPr>
                    <w:widowControl/>
                    <w:jc w:val="center"/>
                    <w:rPr>
                      <w:rFonts w:eastAsia="等线"/>
                      <w:kern w:val="0"/>
                      <w:szCs w:val="21"/>
                    </w:rPr>
                  </w:pPr>
                </w:p>
              </w:tc>
              <w:tc>
                <w:tcPr>
                  <w:tcW w:w="429" w:type="pct"/>
                  <w:tcBorders>
                    <w:top w:val="single" w:color="auto" w:sz="4" w:space="0"/>
                    <w:left w:val="single" w:color="auto" w:sz="4" w:space="0"/>
                    <w:bottom w:val="single" w:color="auto" w:sz="4" w:space="0"/>
                    <w:right w:val="single" w:color="auto" w:sz="4" w:space="0"/>
                  </w:tcBorders>
                  <w:vAlign w:val="center"/>
                </w:tcPr>
                <w:p w14:paraId="387D61A3">
                  <w:pPr>
                    <w:widowControl/>
                    <w:jc w:val="center"/>
                    <w:rPr>
                      <w:kern w:val="0"/>
                      <w:szCs w:val="21"/>
                    </w:rPr>
                  </w:pPr>
                  <w:r>
                    <w:rPr>
                      <w:kern w:val="0"/>
                      <w:szCs w:val="21"/>
                    </w:rPr>
                    <w:t>第四次</w:t>
                  </w:r>
                </w:p>
              </w:tc>
              <w:tc>
                <w:tcPr>
                  <w:tcW w:w="317" w:type="pct"/>
                  <w:tcBorders>
                    <w:top w:val="single" w:color="auto" w:sz="4" w:space="0"/>
                    <w:left w:val="single" w:color="auto" w:sz="4" w:space="0"/>
                    <w:bottom w:val="single" w:color="auto" w:sz="4" w:space="0"/>
                    <w:right w:val="single" w:color="auto" w:sz="4" w:space="0"/>
                  </w:tcBorders>
                  <w:vAlign w:val="center"/>
                </w:tcPr>
                <w:p w14:paraId="3D176E7A">
                  <w:pPr>
                    <w:widowControl/>
                    <w:jc w:val="center"/>
                    <w:rPr>
                      <w:rFonts w:eastAsia="等线"/>
                      <w:szCs w:val="21"/>
                    </w:rPr>
                  </w:pPr>
                  <w:r>
                    <w:rPr>
                      <w:rFonts w:eastAsia="等线"/>
                      <w:szCs w:val="21"/>
                    </w:rPr>
                    <w:t>7</w:t>
                  </w:r>
                </w:p>
              </w:tc>
              <w:tc>
                <w:tcPr>
                  <w:tcW w:w="422" w:type="pct"/>
                  <w:tcBorders>
                    <w:top w:val="single" w:color="auto" w:sz="4" w:space="0"/>
                    <w:left w:val="single" w:color="auto" w:sz="4" w:space="0"/>
                    <w:bottom w:val="single" w:color="auto" w:sz="4" w:space="0"/>
                    <w:right w:val="single" w:color="auto" w:sz="4" w:space="0"/>
                  </w:tcBorders>
                  <w:vAlign w:val="center"/>
                </w:tcPr>
                <w:p w14:paraId="46F60401">
                  <w:pPr>
                    <w:widowControl/>
                    <w:jc w:val="center"/>
                    <w:rPr>
                      <w:rFonts w:eastAsia="等线"/>
                      <w:szCs w:val="21"/>
                    </w:rPr>
                  </w:pPr>
                  <w:r>
                    <w:rPr>
                      <w:rFonts w:eastAsia="等线"/>
                      <w:szCs w:val="21"/>
                    </w:rPr>
                    <w:t>14</w:t>
                  </w:r>
                </w:p>
              </w:tc>
              <w:tc>
                <w:tcPr>
                  <w:tcW w:w="426" w:type="pct"/>
                  <w:tcBorders>
                    <w:top w:val="single" w:color="auto" w:sz="4" w:space="0"/>
                    <w:left w:val="single" w:color="auto" w:sz="4" w:space="0"/>
                    <w:bottom w:val="single" w:color="auto" w:sz="4" w:space="0"/>
                    <w:right w:val="single" w:color="auto" w:sz="4" w:space="0"/>
                  </w:tcBorders>
                  <w:vAlign w:val="center"/>
                </w:tcPr>
                <w:p w14:paraId="6704715A">
                  <w:pPr>
                    <w:widowControl/>
                    <w:jc w:val="center"/>
                    <w:rPr>
                      <w:rFonts w:eastAsia="等线"/>
                      <w:szCs w:val="21"/>
                    </w:rPr>
                  </w:pPr>
                  <w:r>
                    <w:rPr>
                      <w:rFonts w:eastAsia="等线"/>
                      <w:szCs w:val="21"/>
                    </w:rPr>
                    <w:t>6</w:t>
                  </w:r>
                </w:p>
              </w:tc>
              <w:tc>
                <w:tcPr>
                  <w:tcW w:w="365" w:type="pct"/>
                  <w:tcBorders>
                    <w:top w:val="single" w:color="auto" w:sz="4" w:space="0"/>
                    <w:left w:val="single" w:color="auto" w:sz="4" w:space="0"/>
                    <w:bottom w:val="single" w:color="auto" w:sz="4" w:space="0"/>
                    <w:right w:val="single" w:color="auto" w:sz="4" w:space="0"/>
                  </w:tcBorders>
                  <w:vAlign w:val="center"/>
                </w:tcPr>
                <w:p w14:paraId="307D857A">
                  <w:pPr>
                    <w:widowControl/>
                    <w:jc w:val="center"/>
                    <w:rPr>
                      <w:rFonts w:eastAsia="等线"/>
                      <w:szCs w:val="21"/>
                    </w:rPr>
                  </w:pPr>
                  <w:r>
                    <w:rPr>
                      <w:rFonts w:eastAsia="等线"/>
                      <w:szCs w:val="21"/>
                    </w:rPr>
                    <w:t>0.18</w:t>
                  </w:r>
                </w:p>
              </w:tc>
              <w:tc>
                <w:tcPr>
                  <w:tcW w:w="343" w:type="pct"/>
                  <w:tcBorders>
                    <w:top w:val="single" w:color="auto" w:sz="4" w:space="0"/>
                    <w:left w:val="single" w:color="auto" w:sz="4" w:space="0"/>
                    <w:bottom w:val="single" w:color="auto" w:sz="4" w:space="0"/>
                    <w:right w:val="single" w:color="auto" w:sz="4" w:space="0"/>
                  </w:tcBorders>
                  <w:vAlign w:val="center"/>
                </w:tcPr>
                <w:p w14:paraId="5A7675DB">
                  <w:pPr>
                    <w:widowControl/>
                    <w:jc w:val="center"/>
                    <w:rPr>
                      <w:rFonts w:eastAsia="等线"/>
                      <w:szCs w:val="21"/>
                    </w:rPr>
                  </w:pPr>
                  <w:r>
                    <w:rPr>
                      <w:rFonts w:eastAsia="等线"/>
                      <w:szCs w:val="21"/>
                    </w:rPr>
                    <w:t>0.15</w:t>
                  </w:r>
                </w:p>
              </w:tc>
              <w:tc>
                <w:tcPr>
                  <w:tcW w:w="353" w:type="pct"/>
                  <w:tcBorders>
                    <w:top w:val="single" w:color="auto" w:sz="4" w:space="0"/>
                    <w:left w:val="single" w:color="auto" w:sz="4" w:space="0"/>
                    <w:bottom w:val="single" w:color="auto" w:sz="4" w:space="0"/>
                    <w:right w:val="single" w:color="auto" w:sz="4" w:space="0"/>
                  </w:tcBorders>
                  <w:vAlign w:val="center"/>
                </w:tcPr>
                <w:p w14:paraId="0D9438EA">
                  <w:pPr>
                    <w:widowControl/>
                    <w:jc w:val="center"/>
                    <w:rPr>
                      <w:rFonts w:eastAsia="等线"/>
                      <w:szCs w:val="21"/>
                    </w:rPr>
                  </w:pPr>
                  <w:r>
                    <w:rPr>
                      <w:rFonts w:eastAsia="等线"/>
                      <w:szCs w:val="21"/>
                    </w:rPr>
                    <w:t>0.57</w:t>
                  </w:r>
                </w:p>
              </w:tc>
              <w:tc>
                <w:tcPr>
                  <w:tcW w:w="429" w:type="pct"/>
                  <w:tcBorders>
                    <w:top w:val="single" w:color="auto" w:sz="4" w:space="0"/>
                    <w:left w:val="single" w:color="auto" w:sz="4" w:space="0"/>
                    <w:bottom w:val="single" w:color="auto" w:sz="4" w:space="0"/>
                    <w:right w:val="single" w:color="auto" w:sz="4" w:space="0"/>
                  </w:tcBorders>
                  <w:vAlign w:val="center"/>
                </w:tcPr>
                <w:p w14:paraId="0A582122">
                  <w:pPr>
                    <w:widowControl/>
                    <w:jc w:val="center"/>
                    <w:rPr>
                      <w:rFonts w:eastAsia="等线"/>
                      <w:szCs w:val="21"/>
                    </w:rPr>
                  </w:pPr>
                  <w:r>
                    <w:rPr>
                      <w:rFonts w:eastAsia="等线"/>
                      <w:szCs w:val="21"/>
                    </w:rPr>
                    <w:t>0.1</w:t>
                  </w:r>
                </w:p>
              </w:tc>
              <w:tc>
                <w:tcPr>
                  <w:tcW w:w="371" w:type="pct"/>
                  <w:tcBorders>
                    <w:top w:val="single" w:color="auto" w:sz="4" w:space="0"/>
                    <w:left w:val="single" w:color="auto" w:sz="4" w:space="0"/>
                    <w:bottom w:val="single" w:color="auto" w:sz="4" w:space="0"/>
                    <w:right w:val="single" w:color="auto" w:sz="4" w:space="0"/>
                  </w:tcBorders>
                  <w:vAlign w:val="center"/>
                </w:tcPr>
                <w:p w14:paraId="71FBCAB3">
                  <w:pPr>
                    <w:widowControl/>
                    <w:jc w:val="center"/>
                    <w:rPr>
                      <w:rFonts w:eastAsia="等线"/>
                      <w:szCs w:val="21"/>
                    </w:rPr>
                  </w:pPr>
                  <w:r>
                    <w:rPr>
                      <w:rFonts w:eastAsiaTheme="minorEastAsia"/>
                      <w:szCs w:val="21"/>
                    </w:rPr>
                    <w:t>/</w:t>
                  </w:r>
                </w:p>
              </w:tc>
              <w:tc>
                <w:tcPr>
                  <w:tcW w:w="392" w:type="pct"/>
                  <w:tcBorders>
                    <w:top w:val="single" w:color="auto" w:sz="4" w:space="0"/>
                    <w:left w:val="single" w:color="auto" w:sz="4" w:space="0"/>
                    <w:bottom w:val="single" w:color="auto" w:sz="4" w:space="0"/>
                  </w:tcBorders>
                  <w:vAlign w:val="center"/>
                </w:tcPr>
                <w:p w14:paraId="639C1B74">
                  <w:pPr>
                    <w:widowControl/>
                    <w:jc w:val="center"/>
                    <w:rPr>
                      <w:rFonts w:eastAsia="等线"/>
                      <w:szCs w:val="21"/>
                    </w:rPr>
                  </w:pPr>
                  <w:r>
                    <w:rPr>
                      <w:rFonts w:eastAsia="等线"/>
                      <w:szCs w:val="21"/>
                    </w:rPr>
                    <w:t>2.8</w:t>
                  </w:r>
                </w:p>
              </w:tc>
              <w:tc>
                <w:tcPr>
                  <w:tcW w:w="400" w:type="pct"/>
                  <w:tcBorders>
                    <w:top w:val="single" w:color="auto" w:sz="4" w:space="0"/>
                    <w:left w:val="single" w:color="auto" w:sz="4" w:space="0"/>
                    <w:bottom w:val="single" w:color="auto" w:sz="4" w:space="0"/>
                  </w:tcBorders>
                  <w:vAlign w:val="center"/>
                </w:tcPr>
                <w:p w14:paraId="76D616AA">
                  <w:pPr>
                    <w:widowControl/>
                    <w:jc w:val="center"/>
                    <w:rPr>
                      <w:rFonts w:eastAsia="等线"/>
                      <w:szCs w:val="21"/>
                    </w:rPr>
                  </w:pPr>
                  <w:r>
                    <w:rPr>
                      <w:rFonts w:eastAsiaTheme="minorEastAsia"/>
                      <w:szCs w:val="21"/>
                    </w:rPr>
                    <w:t>/</w:t>
                  </w:r>
                </w:p>
              </w:tc>
            </w:tr>
            <w:tr w14:paraId="001C94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3" w:type="pct"/>
                  <w:vMerge w:val="continue"/>
                  <w:tcBorders>
                    <w:right w:val="single" w:color="auto" w:sz="4" w:space="0"/>
                  </w:tcBorders>
                  <w:vAlign w:val="center"/>
                </w:tcPr>
                <w:p w14:paraId="752C020A">
                  <w:pPr>
                    <w:widowControl/>
                    <w:jc w:val="center"/>
                    <w:rPr>
                      <w:kern w:val="0"/>
                      <w:szCs w:val="21"/>
                    </w:rPr>
                  </w:pPr>
                </w:p>
              </w:tc>
              <w:tc>
                <w:tcPr>
                  <w:tcW w:w="400" w:type="pct"/>
                  <w:vMerge w:val="continue"/>
                  <w:tcBorders>
                    <w:left w:val="single" w:color="auto" w:sz="4" w:space="0"/>
                    <w:bottom w:val="single" w:color="auto" w:sz="4" w:space="0"/>
                    <w:right w:val="single" w:color="auto" w:sz="4" w:space="0"/>
                  </w:tcBorders>
                  <w:vAlign w:val="center"/>
                </w:tcPr>
                <w:p w14:paraId="345729E0">
                  <w:pPr>
                    <w:widowControl/>
                    <w:jc w:val="center"/>
                    <w:rPr>
                      <w:rFonts w:eastAsia="等线"/>
                      <w:kern w:val="0"/>
                      <w:szCs w:val="21"/>
                    </w:rPr>
                  </w:pPr>
                </w:p>
              </w:tc>
              <w:tc>
                <w:tcPr>
                  <w:tcW w:w="429" w:type="pct"/>
                  <w:tcBorders>
                    <w:top w:val="single" w:color="auto" w:sz="4" w:space="0"/>
                    <w:left w:val="single" w:color="auto" w:sz="4" w:space="0"/>
                    <w:bottom w:val="single" w:color="auto" w:sz="4" w:space="0"/>
                    <w:right w:val="single" w:color="auto" w:sz="4" w:space="0"/>
                  </w:tcBorders>
                  <w:vAlign w:val="center"/>
                </w:tcPr>
                <w:p w14:paraId="0EEE541D">
                  <w:pPr>
                    <w:widowControl/>
                    <w:jc w:val="center"/>
                    <w:rPr>
                      <w:kern w:val="0"/>
                      <w:szCs w:val="21"/>
                    </w:rPr>
                  </w:pPr>
                  <w:r>
                    <w:rPr>
                      <w:kern w:val="0"/>
                      <w:szCs w:val="21"/>
                    </w:rPr>
                    <w:t>平均值</w:t>
                  </w:r>
                </w:p>
              </w:tc>
              <w:tc>
                <w:tcPr>
                  <w:tcW w:w="317" w:type="pct"/>
                  <w:tcBorders>
                    <w:top w:val="single" w:color="auto" w:sz="4" w:space="0"/>
                    <w:left w:val="single" w:color="auto" w:sz="4" w:space="0"/>
                    <w:bottom w:val="single" w:color="auto" w:sz="4" w:space="0"/>
                    <w:right w:val="single" w:color="auto" w:sz="4" w:space="0"/>
                  </w:tcBorders>
                  <w:vAlign w:val="center"/>
                </w:tcPr>
                <w:p w14:paraId="681D98ED">
                  <w:pPr>
                    <w:widowControl/>
                    <w:jc w:val="center"/>
                    <w:rPr>
                      <w:rFonts w:eastAsia="等线"/>
                      <w:szCs w:val="21"/>
                    </w:rPr>
                  </w:pPr>
                  <w:r>
                    <w:rPr>
                      <w:rFonts w:eastAsia="等线"/>
                      <w:szCs w:val="21"/>
                    </w:rPr>
                    <w:t>7.2</w:t>
                  </w:r>
                </w:p>
              </w:tc>
              <w:tc>
                <w:tcPr>
                  <w:tcW w:w="422" w:type="pct"/>
                  <w:tcBorders>
                    <w:top w:val="single" w:color="auto" w:sz="4" w:space="0"/>
                    <w:left w:val="single" w:color="auto" w:sz="4" w:space="0"/>
                    <w:bottom w:val="single" w:color="auto" w:sz="4" w:space="0"/>
                    <w:right w:val="single" w:color="auto" w:sz="4" w:space="0"/>
                  </w:tcBorders>
                  <w:vAlign w:val="center"/>
                </w:tcPr>
                <w:p w14:paraId="5280A55F">
                  <w:pPr>
                    <w:widowControl/>
                    <w:jc w:val="center"/>
                    <w:rPr>
                      <w:rFonts w:eastAsia="等线"/>
                      <w:szCs w:val="21"/>
                    </w:rPr>
                  </w:pPr>
                  <w:r>
                    <w:rPr>
                      <w:rFonts w:eastAsia="等线"/>
                      <w:szCs w:val="21"/>
                    </w:rPr>
                    <w:t>12.25</w:t>
                  </w:r>
                </w:p>
              </w:tc>
              <w:tc>
                <w:tcPr>
                  <w:tcW w:w="426" w:type="pct"/>
                  <w:tcBorders>
                    <w:top w:val="single" w:color="auto" w:sz="4" w:space="0"/>
                    <w:left w:val="single" w:color="auto" w:sz="4" w:space="0"/>
                    <w:bottom w:val="single" w:color="auto" w:sz="4" w:space="0"/>
                    <w:right w:val="single" w:color="auto" w:sz="4" w:space="0"/>
                  </w:tcBorders>
                  <w:vAlign w:val="center"/>
                </w:tcPr>
                <w:p w14:paraId="2C550F38">
                  <w:pPr>
                    <w:widowControl/>
                    <w:jc w:val="center"/>
                    <w:rPr>
                      <w:rFonts w:eastAsia="等线"/>
                      <w:szCs w:val="21"/>
                    </w:rPr>
                  </w:pPr>
                  <w:r>
                    <w:rPr>
                      <w:rFonts w:eastAsia="等线"/>
                      <w:szCs w:val="21"/>
                    </w:rPr>
                    <w:t>6.5</w:t>
                  </w:r>
                </w:p>
              </w:tc>
              <w:tc>
                <w:tcPr>
                  <w:tcW w:w="365" w:type="pct"/>
                  <w:tcBorders>
                    <w:top w:val="single" w:color="auto" w:sz="4" w:space="0"/>
                    <w:left w:val="single" w:color="auto" w:sz="4" w:space="0"/>
                    <w:bottom w:val="single" w:color="auto" w:sz="4" w:space="0"/>
                    <w:right w:val="single" w:color="auto" w:sz="4" w:space="0"/>
                  </w:tcBorders>
                  <w:vAlign w:val="center"/>
                </w:tcPr>
                <w:p w14:paraId="5635ABC9">
                  <w:pPr>
                    <w:widowControl/>
                    <w:jc w:val="center"/>
                    <w:rPr>
                      <w:rFonts w:eastAsia="等线"/>
                      <w:szCs w:val="21"/>
                    </w:rPr>
                  </w:pPr>
                  <w:r>
                    <w:rPr>
                      <w:rFonts w:eastAsia="等线"/>
                      <w:szCs w:val="21"/>
                    </w:rPr>
                    <w:t>0.18</w:t>
                  </w:r>
                </w:p>
              </w:tc>
              <w:tc>
                <w:tcPr>
                  <w:tcW w:w="343" w:type="pct"/>
                  <w:tcBorders>
                    <w:top w:val="single" w:color="auto" w:sz="4" w:space="0"/>
                    <w:left w:val="single" w:color="auto" w:sz="4" w:space="0"/>
                    <w:bottom w:val="single" w:color="auto" w:sz="4" w:space="0"/>
                    <w:right w:val="single" w:color="auto" w:sz="4" w:space="0"/>
                  </w:tcBorders>
                  <w:vAlign w:val="center"/>
                </w:tcPr>
                <w:p w14:paraId="640C330E">
                  <w:pPr>
                    <w:widowControl/>
                    <w:jc w:val="center"/>
                    <w:rPr>
                      <w:rFonts w:eastAsia="等线"/>
                      <w:szCs w:val="21"/>
                    </w:rPr>
                  </w:pPr>
                  <w:r>
                    <w:rPr>
                      <w:rFonts w:eastAsia="等线"/>
                      <w:szCs w:val="21"/>
                    </w:rPr>
                    <w:t>0.13</w:t>
                  </w:r>
                </w:p>
              </w:tc>
              <w:tc>
                <w:tcPr>
                  <w:tcW w:w="353" w:type="pct"/>
                  <w:tcBorders>
                    <w:top w:val="single" w:color="auto" w:sz="4" w:space="0"/>
                    <w:left w:val="single" w:color="auto" w:sz="4" w:space="0"/>
                    <w:bottom w:val="single" w:color="auto" w:sz="4" w:space="0"/>
                    <w:right w:val="single" w:color="auto" w:sz="4" w:space="0"/>
                  </w:tcBorders>
                  <w:vAlign w:val="center"/>
                </w:tcPr>
                <w:p w14:paraId="430F95A6">
                  <w:pPr>
                    <w:widowControl/>
                    <w:jc w:val="center"/>
                    <w:rPr>
                      <w:rFonts w:eastAsia="等线"/>
                      <w:szCs w:val="21"/>
                    </w:rPr>
                  </w:pPr>
                  <w:r>
                    <w:rPr>
                      <w:rFonts w:eastAsia="等线"/>
                      <w:szCs w:val="21"/>
                    </w:rPr>
                    <w:t>0.53</w:t>
                  </w:r>
                </w:p>
              </w:tc>
              <w:tc>
                <w:tcPr>
                  <w:tcW w:w="429" w:type="pct"/>
                  <w:tcBorders>
                    <w:top w:val="single" w:color="auto" w:sz="4" w:space="0"/>
                    <w:left w:val="single" w:color="auto" w:sz="4" w:space="0"/>
                    <w:bottom w:val="single" w:color="auto" w:sz="4" w:space="0"/>
                    <w:right w:val="single" w:color="auto" w:sz="4" w:space="0"/>
                  </w:tcBorders>
                  <w:vAlign w:val="center"/>
                </w:tcPr>
                <w:p w14:paraId="47ECDAEB">
                  <w:pPr>
                    <w:widowControl/>
                    <w:jc w:val="center"/>
                    <w:rPr>
                      <w:rFonts w:eastAsia="等线"/>
                      <w:szCs w:val="21"/>
                    </w:rPr>
                  </w:pPr>
                  <w:r>
                    <w:rPr>
                      <w:rFonts w:eastAsia="等线"/>
                      <w:szCs w:val="21"/>
                    </w:rPr>
                    <w:t>0.13</w:t>
                  </w:r>
                </w:p>
              </w:tc>
              <w:tc>
                <w:tcPr>
                  <w:tcW w:w="371" w:type="pct"/>
                  <w:tcBorders>
                    <w:top w:val="single" w:color="auto" w:sz="4" w:space="0"/>
                    <w:left w:val="single" w:color="auto" w:sz="4" w:space="0"/>
                    <w:bottom w:val="single" w:color="auto" w:sz="4" w:space="0"/>
                    <w:right w:val="single" w:color="auto" w:sz="4" w:space="0"/>
                  </w:tcBorders>
                  <w:vAlign w:val="center"/>
                </w:tcPr>
                <w:p w14:paraId="64974C80">
                  <w:pPr>
                    <w:widowControl/>
                    <w:jc w:val="center"/>
                    <w:rPr>
                      <w:rFonts w:eastAsia="等线"/>
                      <w:szCs w:val="21"/>
                    </w:rPr>
                  </w:pPr>
                  <w:r>
                    <w:rPr>
                      <w:rFonts w:eastAsiaTheme="minorEastAsia"/>
                      <w:szCs w:val="21"/>
                    </w:rPr>
                    <w:t>/</w:t>
                  </w:r>
                </w:p>
              </w:tc>
              <w:tc>
                <w:tcPr>
                  <w:tcW w:w="392" w:type="pct"/>
                  <w:tcBorders>
                    <w:top w:val="single" w:color="auto" w:sz="4" w:space="0"/>
                    <w:left w:val="single" w:color="auto" w:sz="4" w:space="0"/>
                    <w:bottom w:val="single" w:color="auto" w:sz="4" w:space="0"/>
                  </w:tcBorders>
                  <w:vAlign w:val="center"/>
                </w:tcPr>
                <w:p w14:paraId="1B5EB041">
                  <w:pPr>
                    <w:widowControl/>
                    <w:jc w:val="center"/>
                    <w:rPr>
                      <w:rFonts w:eastAsia="等线"/>
                      <w:szCs w:val="21"/>
                    </w:rPr>
                  </w:pPr>
                  <w:r>
                    <w:rPr>
                      <w:rFonts w:eastAsia="等线"/>
                      <w:szCs w:val="21"/>
                    </w:rPr>
                    <w:t>2.43</w:t>
                  </w:r>
                </w:p>
              </w:tc>
              <w:tc>
                <w:tcPr>
                  <w:tcW w:w="400" w:type="pct"/>
                  <w:tcBorders>
                    <w:top w:val="single" w:color="auto" w:sz="4" w:space="0"/>
                    <w:left w:val="single" w:color="auto" w:sz="4" w:space="0"/>
                    <w:bottom w:val="single" w:color="auto" w:sz="4" w:space="0"/>
                  </w:tcBorders>
                  <w:vAlign w:val="center"/>
                </w:tcPr>
                <w:p w14:paraId="1A9C7AB8">
                  <w:pPr>
                    <w:widowControl/>
                    <w:jc w:val="center"/>
                    <w:rPr>
                      <w:rFonts w:eastAsia="等线"/>
                      <w:szCs w:val="21"/>
                    </w:rPr>
                  </w:pPr>
                  <w:r>
                    <w:rPr>
                      <w:rFonts w:eastAsiaTheme="minorEastAsia"/>
                      <w:szCs w:val="21"/>
                    </w:rPr>
                    <w:t>/</w:t>
                  </w:r>
                </w:p>
              </w:tc>
            </w:tr>
            <w:tr w14:paraId="3E8239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3" w:type="pct"/>
                  <w:vMerge w:val="continue"/>
                  <w:tcBorders>
                    <w:right w:val="single" w:color="auto" w:sz="4" w:space="0"/>
                  </w:tcBorders>
                  <w:vAlign w:val="center"/>
                </w:tcPr>
                <w:p w14:paraId="6385398A">
                  <w:pPr>
                    <w:widowControl/>
                    <w:jc w:val="center"/>
                    <w:rPr>
                      <w:kern w:val="0"/>
                      <w:szCs w:val="21"/>
                    </w:rPr>
                  </w:pPr>
                </w:p>
              </w:tc>
              <w:tc>
                <w:tcPr>
                  <w:tcW w:w="400" w:type="pct"/>
                  <w:vMerge w:val="restart"/>
                  <w:tcBorders>
                    <w:top w:val="single" w:color="auto" w:sz="4" w:space="0"/>
                    <w:left w:val="single" w:color="auto" w:sz="4" w:space="0"/>
                    <w:right w:val="single" w:color="auto" w:sz="4" w:space="0"/>
                  </w:tcBorders>
                  <w:vAlign w:val="center"/>
                </w:tcPr>
                <w:p w14:paraId="08FD3E67">
                  <w:pPr>
                    <w:widowControl/>
                    <w:jc w:val="center"/>
                    <w:rPr>
                      <w:rFonts w:eastAsia="等线"/>
                      <w:kern w:val="0"/>
                      <w:szCs w:val="21"/>
                    </w:rPr>
                  </w:pPr>
                  <w:r>
                    <w:rPr>
                      <w:rFonts w:eastAsia="等线"/>
                      <w:kern w:val="0"/>
                      <w:szCs w:val="21"/>
                    </w:rPr>
                    <w:t>2024.</w:t>
                  </w:r>
                </w:p>
                <w:p w14:paraId="764F9A0E">
                  <w:pPr>
                    <w:widowControl/>
                    <w:jc w:val="center"/>
                    <w:rPr>
                      <w:rFonts w:eastAsia="等线"/>
                      <w:kern w:val="0"/>
                      <w:szCs w:val="21"/>
                    </w:rPr>
                  </w:pPr>
                  <w:r>
                    <w:rPr>
                      <w:rFonts w:eastAsia="等线"/>
                      <w:kern w:val="0"/>
                      <w:szCs w:val="21"/>
                    </w:rPr>
                    <w:t>9.13</w:t>
                  </w:r>
                </w:p>
              </w:tc>
              <w:tc>
                <w:tcPr>
                  <w:tcW w:w="429" w:type="pct"/>
                  <w:tcBorders>
                    <w:top w:val="single" w:color="auto" w:sz="4" w:space="0"/>
                    <w:left w:val="single" w:color="auto" w:sz="4" w:space="0"/>
                    <w:bottom w:val="single" w:color="auto" w:sz="4" w:space="0"/>
                    <w:right w:val="single" w:color="auto" w:sz="4" w:space="0"/>
                  </w:tcBorders>
                  <w:vAlign w:val="center"/>
                </w:tcPr>
                <w:p w14:paraId="66D60478">
                  <w:pPr>
                    <w:widowControl/>
                    <w:jc w:val="center"/>
                    <w:rPr>
                      <w:kern w:val="0"/>
                      <w:szCs w:val="21"/>
                    </w:rPr>
                  </w:pPr>
                  <w:r>
                    <w:rPr>
                      <w:kern w:val="0"/>
                      <w:szCs w:val="21"/>
                    </w:rPr>
                    <w:t>第一次</w:t>
                  </w:r>
                </w:p>
              </w:tc>
              <w:tc>
                <w:tcPr>
                  <w:tcW w:w="317" w:type="pct"/>
                  <w:tcBorders>
                    <w:top w:val="single" w:color="auto" w:sz="4" w:space="0"/>
                    <w:left w:val="single" w:color="auto" w:sz="4" w:space="0"/>
                    <w:bottom w:val="single" w:color="auto" w:sz="4" w:space="0"/>
                    <w:right w:val="single" w:color="auto" w:sz="4" w:space="0"/>
                  </w:tcBorders>
                  <w:vAlign w:val="center"/>
                </w:tcPr>
                <w:p w14:paraId="3B765353">
                  <w:pPr>
                    <w:widowControl/>
                    <w:jc w:val="center"/>
                    <w:rPr>
                      <w:rFonts w:eastAsia="等线"/>
                      <w:szCs w:val="21"/>
                    </w:rPr>
                  </w:pPr>
                  <w:r>
                    <w:rPr>
                      <w:rFonts w:eastAsia="等线"/>
                      <w:szCs w:val="21"/>
                    </w:rPr>
                    <w:t>7.1</w:t>
                  </w:r>
                </w:p>
              </w:tc>
              <w:tc>
                <w:tcPr>
                  <w:tcW w:w="422" w:type="pct"/>
                  <w:tcBorders>
                    <w:top w:val="single" w:color="auto" w:sz="4" w:space="0"/>
                    <w:left w:val="single" w:color="auto" w:sz="4" w:space="0"/>
                    <w:bottom w:val="single" w:color="auto" w:sz="4" w:space="0"/>
                    <w:right w:val="single" w:color="auto" w:sz="4" w:space="0"/>
                  </w:tcBorders>
                  <w:vAlign w:val="center"/>
                </w:tcPr>
                <w:p w14:paraId="456767ED">
                  <w:pPr>
                    <w:widowControl/>
                    <w:jc w:val="center"/>
                    <w:rPr>
                      <w:rFonts w:eastAsia="等线"/>
                      <w:szCs w:val="21"/>
                    </w:rPr>
                  </w:pPr>
                  <w:r>
                    <w:rPr>
                      <w:rFonts w:eastAsia="等线"/>
                      <w:szCs w:val="21"/>
                    </w:rPr>
                    <w:t>13</w:t>
                  </w:r>
                </w:p>
              </w:tc>
              <w:tc>
                <w:tcPr>
                  <w:tcW w:w="426" w:type="pct"/>
                  <w:tcBorders>
                    <w:top w:val="single" w:color="auto" w:sz="4" w:space="0"/>
                    <w:left w:val="single" w:color="auto" w:sz="4" w:space="0"/>
                    <w:bottom w:val="single" w:color="auto" w:sz="4" w:space="0"/>
                    <w:right w:val="single" w:color="auto" w:sz="4" w:space="0"/>
                  </w:tcBorders>
                  <w:vAlign w:val="center"/>
                </w:tcPr>
                <w:p w14:paraId="2B0AC198">
                  <w:pPr>
                    <w:widowControl/>
                    <w:jc w:val="center"/>
                    <w:rPr>
                      <w:rFonts w:eastAsia="等线"/>
                      <w:szCs w:val="21"/>
                    </w:rPr>
                  </w:pPr>
                  <w:r>
                    <w:rPr>
                      <w:rFonts w:eastAsia="等线"/>
                      <w:szCs w:val="21"/>
                    </w:rPr>
                    <w:t>6</w:t>
                  </w:r>
                </w:p>
              </w:tc>
              <w:tc>
                <w:tcPr>
                  <w:tcW w:w="365" w:type="pct"/>
                  <w:tcBorders>
                    <w:top w:val="single" w:color="auto" w:sz="4" w:space="0"/>
                    <w:left w:val="single" w:color="auto" w:sz="4" w:space="0"/>
                    <w:bottom w:val="single" w:color="auto" w:sz="4" w:space="0"/>
                    <w:right w:val="single" w:color="auto" w:sz="4" w:space="0"/>
                  </w:tcBorders>
                  <w:vAlign w:val="center"/>
                </w:tcPr>
                <w:p w14:paraId="56B1BD88">
                  <w:pPr>
                    <w:widowControl/>
                    <w:jc w:val="center"/>
                    <w:rPr>
                      <w:rFonts w:eastAsia="等线"/>
                      <w:szCs w:val="21"/>
                    </w:rPr>
                  </w:pPr>
                  <w:r>
                    <w:rPr>
                      <w:rFonts w:eastAsia="等线"/>
                      <w:szCs w:val="21"/>
                    </w:rPr>
                    <w:t>0.25</w:t>
                  </w:r>
                </w:p>
              </w:tc>
              <w:tc>
                <w:tcPr>
                  <w:tcW w:w="343" w:type="pct"/>
                  <w:tcBorders>
                    <w:top w:val="single" w:color="auto" w:sz="4" w:space="0"/>
                    <w:left w:val="single" w:color="auto" w:sz="4" w:space="0"/>
                    <w:bottom w:val="single" w:color="auto" w:sz="4" w:space="0"/>
                    <w:right w:val="single" w:color="auto" w:sz="4" w:space="0"/>
                  </w:tcBorders>
                  <w:vAlign w:val="center"/>
                </w:tcPr>
                <w:p w14:paraId="7BC0F806">
                  <w:pPr>
                    <w:widowControl/>
                    <w:jc w:val="center"/>
                    <w:rPr>
                      <w:rFonts w:eastAsia="等线"/>
                      <w:szCs w:val="21"/>
                    </w:rPr>
                  </w:pPr>
                  <w:r>
                    <w:rPr>
                      <w:rFonts w:eastAsia="等线"/>
                      <w:szCs w:val="21"/>
                    </w:rPr>
                    <w:t>0.13</w:t>
                  </w:r>
                </w:p>
              </w:tc>
              <w:tc>
                <w:tcPr>
                  <w:tcW w:w="353" w:type="pct"/>
                  <w:tcBorders>
                    <w:top w:val="single" w:color="auto" w:sz="4" w:space="0"/>
                    <w:left w:val="single" w:color="auto" w:sz="4" w:space="0"/>
                    <w:bottom w:val="single" w:color="auto" w:sz="4" w:space="0"/>
                    <w:right w:val="single" w:color="auto" w:sz="4" w:space="0"/>
                  </w:tcBorders>
                  <w:vAlign w:val="center"/>
                </w:tcPr>
                <w:p w14:paraId="34F7F46B">
                  <w:pPr>
                    <w:widowControl/>
                    <w:jc w:val="center"/>
                    <w:rPr>
                      <w:rFonts w:eastAsia="等线"/>
                      <w:szCs w:val="21"/>
                    </w:rPr>
                  </w:pPr>
                  <w:r>
                    <w:rPr>
                      <w:rFonts w:eastAsia="等线"/>
                      <w:szCs w:val="21"/>
                    </w:rPr>
                    <w:t>0.51</w:t>
                  </w:r>
                </w:p>
              </w:tc>
              <w:tc>
                <w:tcPr>
                  <w:tcW w:w="429" w:type="pct"/>
                  <w:tcBorders>
                    <w:top w:val="single" w:color="auto" w:sz="4" w:space="0"/>
                    <w:left w:val="single" w:color="auto" w:sz="4" w:space="0"/>
                    <w:bottom w:val="single" w:color="auto" w:sz="4" w:space="0"/>
                    <w:right w:val="single" w:color="auto" w:sz="4" w:space="0"/>
                  </w:tcBorders>
                  <w:vAlign w:val="center"/>
                </w:tcPr>
                <w:p w14:paraId="276878A0">
                  <w:pPr>
                    <w:widowControl/>
                    <w:jc w:val="center"/>
                    <w:rPr>
                      <w:rFonts w:eastAsia="等线"/>
                      <w:szCs w:val="21"/>
                    </w:rPr>
                  </w:pPr>
                  <w:r>
                    <w:rPr>
                      <w:rFonts w:eastAsia="等线"/>
                      <w:szCs w:val="21"/>
                    </w:rPr>
                    <w:t>0.12</w:t>
                  </w:r>
                </w:p>
              </w:tc>
              <w:tc>
                <w:tcPr>
                  <w:tcW w:w="371" w:type="pct"/>
                  <w:tcBorders>
                    <w:top w:val="single" w:color="auto" w:sz="4" w:space="0"/>
                    <w:left w:val="single" w:color="auto" w:sz="4" w:space="0"/>
                    <w:bottom w:val="single" w:color="auto" w:sz="4" w:space="0"/>
                    <w:right w:val="single" w:color="auto" w:sz="4" w:space="0"/>
                  </w:tcBorders>
                  <w:vAlign w:val="center"/>
                </w:tcPr>
                <w:p w14:paraId="6DE85E1A">
                  <w:pPr>
                    <w:widowControl/>
                    <w:jc w:val="center"/>
                    <w:rPr>
                      <w:rFonts w:eastAsia="等线"/>
                      <w:szCs w:val="21"/>
                    </w:rPr>
                  </w:pPr>
                  <w:r>
                    <w:rPr>
                      <w:rFonts w:eastAsiaTheme="minorEastAsia"/>
                      <w:szCs w:val="21"/>
                    </w:rPr>
                    <w:t>/</w:t>
                  </w:r>
                </w:p>
              </w:tc>
              <w:tc>
                <w:tcPr>
                  <w:tcW w:w="392" w:type="pct"/>
                  <w:tcBorders>
                    <w:top w:val="single" w:color="auto" w:sz="4" w:space="0"/>
                    <w:left w:val="single" w:color="auto" w:sz="4" w:space="0"/>
                    <w:bottom w:val="single" w:color="auto" w:sz="4" w:space="0"/>
                  </w:tcBorders>
                  <w:vAlign w:val="center"/>
                </w:tcPr>
                <w:p w14:paraId="066EEC55">
                  <w:pPr>
                    <w:widowControl/>
                    <w:jc w:val="center"/>
                    <w:rPr>
                      <w:rFonts w:eastAsia="等线"/>
                      <w:szCs w:val="21"/>
                    </w:rPr>
                  </w:pPr>
                  <w:r>
                    <w:rPr>
                      <w:rFonts w:eastAsia="等线"/>
                      <w:szCs w:val="21"/>
                    </w:rPr>
                    <w:t>2.5</w:t>
                  </w:r>
                </w:p>
              </w:tc>
              <w:tc>
                <w:tcPr>
                  <w:tcW w:w="400" w:type="pct"/>
                  <w:tcBorders>
                    <w:top w:val="single" w:color="auto" w:sz="4" w:space="0"/>
                    <w:left w:val="single" w:color="auto" w:sz="4" w:space="0"/>
                    <w:bottom w:val="single" w:color="auto" w:sz="4" w:space="0"/>
                  </w:tcBorders>
                  <w:vAlign w:val="center"/>
                </w:tcPr>
                <w:p w14:paraId="686D271C">
                  <w:pPr>
                    <w:widowControl/>
                    <w:jc w:val="center"/>
                    <w:rPr>
                      <w:rFonts w:eastAsia="等线"/>
                      <w:szCs w:val="21"/>
                    </w:rPr>
                  </w:pPr>
                  <w:r>
                    <w:rPr>
                      <w:rFonts w:eastAsiaTheme="minorEastAsia"/>
                      <w:szCs w:val="21"/>
                    </w:rPr>
                    <w:t>/</w:t>
                  </w:r>
                </w:p>
              </w:tc>
            </w:tr>
            <w:tr w14:paraId="292D21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3" w:type="pct"/>
                  <w:vMerge w:val="continue"/>
                  <w:tcBorders>
                    <w:right w:val="single" w:color="auto" w:sz="4" w:space="0"/>
                  </w:tcBorders>
                  <w:vAlign w:val="center"/>
                </w:tcPr>
                <w:p w14:paraId="24EF9AFB">
                  <w:pPr>
                    <w:widowControl/>
                    <w:jc w:val="center"/>
                    <w:rPr>
                      <w:kern w:val="0"/>
                      <w:szCs w:val="21"/>
                    </w:rPr>
                  </w:pPr>
                </w:p>
              </w:tc>
              <w:tc>
                <w:tcPr>
                  <w:tcW w:w="400" w:type="pct"/>
                  <w:vMerge w:val="continue"/>
                  <w:tcBorders>
                    <w:left w:val="single" w:color="auto" w:sz="4" w:space="0"/>
                    <w:right w:val="single" w:color="auto" w:sz="4" w:space="0"/>
                  </w:tcBorders>
                  <w:vAlign w:val="center"/>
                </w:tcPr>
                <w:p w14:paraId="17194330">
                  <w:pPr>
                    <w:widowControl/>
                    <w:jc w:val="center"/>
                    <w:rPr>
                      <w:kern w:val="0"/>
                      <w:szCs w:val="21"/>
                    </w:rPr>
                  </w:pPr>
                </w:p>
              </w:tc>
              <w:tc>
                <w:tcPr>
                  <w:tcW w:w="429" w:type="pct"/>
                  <w:tcBorders>
                    <w:top w:val="single" w:color="auto" w:sz="4" w:space="0"/>
                    <w:left w:val="single" w:color="auto" w:sz="4" w:space="0"/>
                    <w:bottom w:val="single" w:color="auto" w:sz="4" w:space="0"/>
                    <w:right w:val="single" w:color="auto" w:sz="4" w:space="0"/>
                  </w:tcBorders>
                  <w:vAlign w:val="center"/>
                </w:tcPr>
                <w:p w14:paraId="3F333E29">
                  <w:pPr>
                    <w:widowControl/>
                    <w:jc w:val="center"/>
                    <w:rPr>
                      <w:kern w:val="0"/>
                      <w:szCs w:val="21"/>
                    </w:rPr>
                  </w:pPr>
                  <w:r>
                    <w:rPr>
                      <w:kern w:val="0"/>
                      <w:szCs w:val="21"/>
                    </w:rPr>
                    <w:t>第二次</w:t>
                  </w:r>
                </w:p>
              </w:tc>
              <w:tc>
                <w:tcPr>
                  <w:tcW w:w="317" w:type="pct"/>
                  <w:tcBorders>
                    <w:top w:val="single" w:color="auto" w:sz="4" w:space="0"/>
                    <w:left w:val="single" w:color="auto" w:sz="4" w:space="0"/>
                    <w:bottom w:val="single" w:color="auto" w:sz="4" w:space="0"/>
                    <w:right w:val="single" w:color="auto" w:sz="4" w:space="0"/>
                  </w:tcBorders>
                  <w:vAlign w:val="center"/>
                </w:tcPr>
                <w:p w14:paraId="2BE48DCD">
                  <w:pPr>
                    <w:widowControl/>
                    <w:jc w:val="center"/>
                    <w:rPr>
                      <w:rFonts w:eastAsia="等线"/>
                      <w:szCs w:val="21"/>
                    </w:rPr>
                  </w:pPr>
                  <w:r>
                    <w:rPr>
                      <w:rFonts w:eastAsia="等线"/>
                      <w:szCs w:val="21"/>
                    </w:rPr>
                    <w:t>7.1</w:t>
                  </w:r>
                </w:p>
              </w:tc>
              <w:tc>
                <w:tcPr>
                  <w:tcW w:w="422" w:type="pct"/>
                  <w:tcBorders>
                    <w:top w:val="single" w:color="auto" w:sz="4" w:space="0"/>
                    <w:left w:val="single" w:color="auto" w:sz="4" w:space="0"/>
                    <w:bottom w:val="single" w:color="auto" w:sz="4" w:space="0"/>
                    <w:right w:val="single" w:color="auto" w:sz="4" w:space="0"/>
                  </w:tcBorders>
                  <w:vAlign w:val="center"/>
                </w:tcPr>
                <w:p w14:paraId="7A20C251">
                  <w:pPr>
                    <w:widowControl/>
                    <w:jc w:val="center"/>
                    <w:rPr>
                      <w:rFonts w:eastAsia="等线"/>
                      <w:szCs w:val="21"/>
                    </w:rPr>
                  </w:pPr>
                  <w:r>
                    <w:rPr>
                      <w:rFonts w:eastAsia="等线"/>
                      <w:szCs w:val="21"/>
                    </w:rPr>
                    <w:t>11</w:t>
                  </w:r>
                </w:p>
              </w:tc>
              <w:tc>
                <w:tcPr>
                  <w:tcW w:w="426" w:type="pct"/>
                  <w:tcBorders>
                    <w:top w:val="single" w:color="auto" w:sz="4" w:space="0"/>
                    <w:left w:val="single" w:color="auto" w:sz="4" w:space="0"/>
                    <w:bottom w:val="single" w:color="auto" w:sz="4" w:space="0"/>
                    <w:right w:val="single" w:color="auto" w:sz="4" w:space="0"/>
                  </w:tcBorders>
                  <w:vAlign w:val="center"/>
                </w:tcPr>
                <w:p w14:paraId="55CB9D41">
                  <w:pPr>
                    <w:widowControl/>
                    <w:jc w:val="center"/>
                    <w:rPr>
                      <w:rFonts w:eastAsia="等线"/>
                      <w:szCs w:val="21"/>
                    </w:rPr>
                  </w:pPr>
                  <w:r>
                    <w:rPr>
                      <w:rFonts w:eastAsia="等线"/>
                      <w:szCs w:val="21"/>
                    </w:rPr>
                    <w:t>5</w:t>
                  </w:r>
                </w:p>
              </w:tc>
              <w:tc>
                <w:tcPr>
                  <w:tcW w:w="365" w:type="pct"/>
                  <w:tcBorders>
                    <w:top w:val="single" w:color="auto" w:sz="4" w:space="0"/>
                    <w:left w:val="single" w:color="auto" w:sz="4" w:space="0"/>
                    <w:bottom w:val="single" w:color="auto" w:sz="4" w:space="0"/>
                    <w:right w:val="single" w:color="auto" w:sz="4" w:space="0"/>
                  </w:tcBorders>
                  <w:vAlign w:val="center"/>
                </w:tcPr>
                <w:p w14:paraId="7F5C9BF4">
                  <w:pPr>
                    <w:widowControl/>
                    <w:jc w:val="center"/>
                    <w:rPr>
                      <w:rFonts w:eastAsia="等线"/>
                      <w:szCs w:val="21"/>
                    </w:rPr>
                  </w:pPr>
                  <w:r>
                    <w:rPr>
                      <w:rFonts w:eastAsia="等线"/>
                      <w:szCs w:val="21"/>
                    </w:rPr>
                    <w:t>0.30</w:t>
                  </w:r>
                </w:p>
              </w:tc>
              <w:tc>
                <w:tcPr>
                  <w:tcW w:w="343" w:type="pct"/>
                  <w:tcBorders>
                    <w:top w:val="single" w:color="auto" w:sz="4" w:space="0"/>
                    <w:left w:val="single" w:color="auto" w:sz="4" w:space="0"/>
                    <w:bottom w:val="single" w:color="auto" w:sz="4" w:space="0"/>
                    <w:right w:val="single" w:color="auto" w:sz="4" w:space="0"/>
                  </w:tcBorders>
                  <w:vAlign w:val="center"/>
                </w:tcPr>
                <w:p w14:paraId="1ED7DB93">
                  <w:pPr>
                    <w:widowControl/>
                    <w:jc w:val="center"/>
                    <w:rPr>
                      <w:rFonts w:eastAsia="等线"/>
                      <w:szCs w:val="21"/>
                    </w:rPr>
                  </w:pPr>
                  <w:r>
                    <w:rPr>
                      <w:rFonts w:eastAsia="等线"/>
                      <w:szCs w:val="21"/>
                    </w:rPr>
                    <w:t>0.12</w:t>
                  </w:r>
                </w:p>
              </w:tc>
              <w:tc>
                <w:tcPr>
                  <w:tcW w:w="353" w:type="pct"/>
                  <w:tcBorders>
                    <w:top w:val="single" w:color="auto" w:sz="4" w:space="0"/>
                    <w:left w:val="single" w:color="auto" w:sz="4" w:space="0"/>
                    <w:bottom w:val="single" w:color="auto" w:sz="4" w:space="0"/>
                    <w:right w:val="single" w:color="auto" w:sz="4" w:space="0"/>
                  </w:tcBorders>
                  <w:vAlign w:val="center"/>
                </w:tcPr>
                <w:p w14:paraId="5A0F5AA9">
                  <w:pPr>
                    <w:widowControl/>
                    <w:jc w:val="center"/>
                    <w:rPr>
                      <w:rFonts w:eastAsia="等线"/>
                      <w:szCs w:val="21"/>
                    </w:rPr>
                  </w:pPr>
                  <w:r>
                    <w:rPr>
                      <w:rFonts w:eastAsia="等线"/>
                      <w:szCs w:val="21"/>
                    </w:rPr>
                    <w:t>0.54</w:t>
                  </w:r>
                </w:p>
              </w:tc>
              <w:tc>
                <w:tcPr>
                  <w:tcW w:w="429" w:type="pct"/>
                  <w:tcBorders>
                    <w:top w:val="single" w:color="auto" w:sz="4" w:space="0"/>
                    <w:left w:val="single" w:color="auto" w:sz="4" w:space="0"/>
                    <w:bottom w:val="single" w:color="auto" w:sz="4" w:space="0"/>
                    <w:right w:val="single" w:color="auto" w:sz="4" w:space="0"/>
                  </w:tcBorders>
                  <w:vAlign w:val="center"/>
                </w:tcPr>
                <w:p w14:paraId="1A15F172">
                  <w:pPr>
                    <w:widowControl/>
                    <w:jc w:val="center"/>
                    <w:rPr>
                      <w:rFonts w:eastAsia="等线"/>
                      <w:szCs w:val="21"/>
                    </w:rPr>
                  </w:pPr>
                  <w:r>
                    <w:rPr>
                      <w:rFonts w:eastAsia="等线"/>
                      <w:szCs w:val="21"/>
                    </w:rPr>
                    <w:t>0.11</w:t>
                  </w:r>
                </w:p>
              </w:tc>
              <w:tc>
                <w:tcPr>
                  <w:tcW w:w="371" w:type="pct"/>
                  <w:tcBorders>
                    <w:top w:val="single" w:color="auto" w:sz="4" w:space="0"/>
                    <w:left w:val="single" w:color="auto" w:sz="4" w:space="0"/>
                    <w:bottom w:val="single" w:color="auto" w:sz="4" w:space="0"/>
                    <w:right w:val="single" w:color="auto" w:sz="4" w:space="0"/>
                  </w:tcBorders>
                  <w:vAlign w:val="center"/>
                </w:tcPr>
                <w:p w14:paraId="56DC530B">
                  <w:pPr>
                    <w:widowControl/>
                    <w:jc w:val="center"/>
                    <w:rPr>
                      <w:rFonts w:eastAsia="等线"/>
                      <w:szCs w:val="21"/>
                    </w:rPr>
                  </w:pPr>
                  <w:r>
                    <w:rPr>
                      <w:rFonts w:eastAsiaTheme="minorEastAsia"/>
                      <w:szCs w:val="21"/>
                    </w:rPr>
                    <w:t>/</w:t>
                  </w:r>
                </w:p>
              </w:tc>
              <w:tc>
                <w:tcPr>
                  <w:tcW w:w="392" w:type="pct"/>
                  <w:tcBorders>
                    <w:top w:val="single" w:color="auto" w:sz="4" w:space="0"/>
                    <w:left w:val="single" w:color="auto" w:sz="4" w:space="0"/>
                    <w:bottom w:val="single" w:color="auto" w:sz="4" w:space="0"/>
                  </w:tcBorders>
                  <w:vAlign w:val="center"/>
                </w:tcPr>
                <w:p w14:paraId="5D6AA26A">
                  <w:pPr>
                    <w:widowControl/>
                    <w:jc w:val="center"/>
                    <w:rPr>
                      <w:rFonts w:eastAsia="等线"/>
                      <w:szCs w:val="21"/>
                    </w:rPr>
                  </w:pPr>
                  <w:r>
                    <w:rPr>
                      <w:rFonts w:eastAsia="等线"/>
                      <w:szCs w:val="21"/>
                    </w:rPr>
                    <w:t>2.2</w:t>
                  </w:r>
                </w:p>
              </w:tc>
              <w:tc>
                <w:tcPr>
                  <w:tcW w:w="400" w:type="pct"/>
                  <w:tcBorders>
                    <w:top w:val="single" w:color="auto" w:sz="4" w:space="0"/>
                    <w:left w:val="single" w:color="auto" w:sz="4" w:space="0"/>
                    <w:bottom w:val="single" w:color="auto" w:sz="4" w:space="0"/>
                  </w:tcBorders>
                  <w:vAlign w:val="center"/>
                </w:tcPr>
                <w:p w14:paraId="5EE5990B">
                  <w:pPr>
                    <w:widowControl/>
                    <w:jc w:val="center"/>
                    <w:rPr>
                      <w:rFonts w:eastAsia="等线"/>
                      <w:szCs w:val="21"/>
                    </w:rPr>
                  </w:pPr>
                  <w:r>
                    <w:rPr>
                      <w:rFonts w:eastAsiaTheme="minorEastAsia"/>
                      <w:szCs w:val="21"/>
                    </w:rPr>
                    <w:t>/</w:t>
                  </w:r>
                </w:p>
              </w:tc>
            </w:tr>
            <w:tr w14:paraId="7181B9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3" w:type="pct"/>
                  <w:vMerge w:val="continue"/>
                  <w:tcBorders>
                    <w:right w:val="single" w:color="auto" w:sz="4" w:space="0"/>
                  </w:tcBorders>
                  <w:vAlign w:val="center"/>
                </w:tcPr>
                <w:p w14:paraId="436531D1">
                  <w:pPr>
                    <w:widowControl/>
                    <w:jc w:val="center"/>
                    <w:rPr>
                      <w:kern w:val="0"/>
                      <w:szCs w:val="21"/>
                    </w:rPr>
                  </w:pPr>
                </w:p>
              </w:tc>
              <w:tc>
                <w:tcPr>
                  <w:tcW w:w="400" w:type="pct"/>
                  <w:vMerge w:val="continue"/>
                  <w:tcBorders>
                    <w:left w:val="single" w:color="auto" w:sz="4" w:space="0"/>
                    <w:right w:val="single" w:color="auto" w:sz="4" w:space="0"/>
                  </w:tcBorders>
                  <w:vAlign w:val="center"/>
                </w:tcPr>
                <w:p w14:paraId="1C34FAA4">
                  <w:pPr>
                    <w:widowControl/>
                    <w:jc w:val="center"/>
                    <w:rPr>
                      <w:kern w:val="0"/>
                      <w:szCs w:val="21"/>
                    </w:rPr>
                  </w:pPr>
                </w:p>
              </w:tc>
              <w:tc>
                <w:tcPr>
                  <w:tcW w:w="429" w:type="pct"/>
                  <w:tcBorders>
                    <w:top w:val="single" w:color="auto" w:sz="4" w:space="0"/>
                    <w:left w:val="single" w:color="auto" w:sz="4" w:space="0"/>
                    <w:bottom w:val="single" w:color="auto" w:sz="4" w:space="0"/>
                    <w:right w:val="single" w:color="auto" w:sz="4" w:space="0"/>
                  </w:tcBorders>
                  <w:vAlign w:val="center"/>
                </w:tcPr>
                <w:p w14:paraId="378025A5">
                  <w:pPr>
                    <w:widowControl/>
                    <w:jc w:val="center"/>
                    <w:rPr>
                      <w:kern w:val="0"/>
                      <w:szCs w:val="21"/>
                    </w:rPr>
                  </w:pPr>
                  <w:r>
                    <w:rPr>
                      <w:kern w:val="0"/>
                      <w:szCs w:val="21"/>
                    </w:rPr>
                    <w:t>第三次</w:t>
                  </w:r>
                </w:p>
              </w:tc>
              <w:tc>
                <w:tcPr>
                  <w:tcW w:w="317" w:type="pct"/>
                  <w:tcBorders>
                    <w:top w:val="single" w:color="auto" w:sz="4" w:space="0"/>
                    <w:left w:val="single" w:color="auto" w:sz="4" w:space="0"/>
                    <w:bottom w:val="single" w:color="auto" w:sz="4" w:space="0"/>
                    <w:right w:val="single" w:color="auto" w:sz="4" w:space="0"/>
                  </w:tcBorders>
                  <w:vAlign w:val="center"/>
                </w:tcPr>
                <w:p w14:paraId="4A30EA08">
                  <w:pPr>
                    <w:widowControl/>
                    <w:jc w:val="center"/>
                    <w:rPr>
                      <w:rFonts w:eastAsia="等线"/>
                      <w:szCs w:val="21"/>
                    </w:rPr>
                  </w:pPr>
                  <w:r>
                    <w:rPr>
                      <w:rFonts w:eastAsia="等线"/>
                      <w:szCs w:val="21"/>
                    </w:rPr>
                    <w:t>7.1</w:t>
                  </w:r>
                </w:p>
              </w:tc>
              <w:tc>
                <w:tcPr>
                  <w:tcW w:w="422" w:type="pct"/>
                  <w:tcBorders>
                    <w:top w:val="single" w:color="auto" w:sz="4" w:space="0"/>
                    <w:left w:val="single" w:color="auto" w:sz="4" w:space="0"/>
                    <w:bottom w:val="single" w:color="auto" w:sz="4" w:space="0"/>
                    <w:right w:val="single" w:color="auto" w:sz="4" w:space="0"/>
                  </w:tcBorders>
                  <w:vAlign w:val="center"/>
                </w:tcPr>
                <w:p w14:paraId="518F0C7F">
                  <w:pPr>
                    <w:widowControl/>
                    <w:jc w:val="center"/>
                    <w:rPr>
                      <w:rFonts w:eastAsia="等线"/>
                      <w:szCs w:val="21"/>
                    </w:rPr>
                  </w:pPr>
                  <w:r>
                    <w:rPr>
                      <w:rFonts w:eastAsia="等线"/>
                      <w:szCs w:val="21"/>
                    </w:rPr>
                    <w:t>12</w:t>
                  </w:r>
                </w:p>
              </w:tc>
              <w:tc>
                <w:tcPr>
                  <w:tcW w:w="426" w:type="pct"/>
                  <w:tcBorders>
                    <w:top w:val="single" w:color="auto" w:sz="4" w:space="0"/>
                    <w:left w:val="single" w:color="auto" w:sz="4" w:space="0"/>
                    <w:bottom w:val="single" w:color="auto" w:sz="4" w:space="0"/>
                    <w:right w:val="single" w:color="auto" w:sz="4" w:space="0"/>
                  </w:tcBorders>
                  <w:vAlign w:val="center"/>
                </w:tcPr>
                <w:p w14:paraId="77DF4AEF">
                  <w:pPr>
                    <w:widowControl/>
                    <w:jc w:val="center"/>
                    <w:rPr>
                      <w:rFonts w:eastAsia="等线"/>
                      <w:szCs w:val="21"/>
                    </w:rPr>
                  </w:pPr>
                  <w:r>
                    <w:rPr>
                      <w:rFonts w:eastAsia="等线"/>
                      <w:szCs w:val="21"/>
                    </w:rPr>
                    <w:t>7</w:t>
                  </w:r>
                </w:p>
              </w:tc>
              <w:tc>
                <w:tcPr>
                  <w:tcW w:w="365" w:type="pct"/>
                  <w:tcBorders>
                    <w:top w:val="single" w:color="auto" w:sz="4" w:space="0"/>
                    <w:left w:val="single" w:color="auto" w:sz="4" w:space="0"/>
                    <w:bottom w:val="single" w:color="auto" w:sz="4" w:space="0"/>
                    <w:right w:val="single" w:color="auto" w:sz="4" w:space="0"/>
                  </w:tcBorders>
                  <w:vAlign w:val="center"/>
                </w:tcPr>
                <w:p w14:paraId="4C4ABB1E">
                  <w:pPr>
                    <w:widowControl/>
                    <w:jc w:val="center"/>
                    <w:rPr>
                      <w:rFonts w:eastAsia="等线"/>
                      <w:szCs w:val="21"/>
                    </w:rPr>
                  </w:pPr>
                  <w:r>
                    <w:rPr>
                      <w:rFonts w:eastAsia="等线"/>
                      <w:szCs w:val="21"/>
                    </w:rPr>
                    <w:t>0.21</w:t>
                  </w:r>
                </w:p>
              </w:tc>
              <w:tc>
                <w:tcPr>
                  <w:tcW w:w="343" w:type="pct"/>
                  <w:tcBorders>
                    <w:top w:val="single" w:color="auto" w:sz="4" w:space="0"/>
                    <w:left w:val="single" w:color="auto" w:sz="4" w:space="0"/>
                    <w:bottom w:val="single" w:color="auto" w:sz="4" w:space="0"/>
                    <w:right w:val="single" w:color="auto" w:sz="4" w:space="0"/>
                  </w:tcBorders>
                  <w:vAlign w:val="center"/>
                </w:tcPr>
                <w:p w14:paraId="69F95752">
                  <w:pPr>
                    <w:widowControl/>
                    <w:jc w:val="center"/>
                    <w:rPr>
                      <w:rFonts w:eastAsia="等线"/>
                      <w:szCs w:val="21"/>
                    </w:rPr>
                  </w:pPr>
                  <w:r>
                    <w:rPr>
                      <w:rFonts w:eastAsia="等线"/>
                      <w:szCs w:val="21"/>
                    </w:rPr>
                    <w:t>0.1</w:t>
                  </w:r>
                </w:p>
              </w:tc>
              <w:tc>
                <w:tcPr>
                  <w:tcW w:w="353" w:type="pct"/>
                  <w:tcBorders>
                    <w:top w:val="single" w:color="auto" w:sz="4" w:space="0"/>
                    <w:left w:val="single" w:color="auto" w:sz="4" w:space="0"/>
                    <w:bottom w:val="single" w:color="auto" w:sz="4" w:space="0"/>
                    <w:right w:val="single" w:color="auto" w:sz="4" w:space="0"/>
                  </w:tcBorders>
                  <w:vAlign w:val="center"/>
                </w:tcPr>
                <w:p w14:paraId="1D97D46F">
                  <w:pPr>
                    <w:widowControl/>
                    <w:jc w:val="center"/>
                    <w:rPr>
                      <w:rFonts w:eastAsia="等线"/>
                      <w:szCs w:val="21"/>
                    </w:rPr>
                  </w:pPr>
                  <w:r>
                    <w:rPr>
                      <w:rFonts w:eastAsia="等线"/>
                      <w:szCs w:val="21"/>
                    </w:rPr>
                    <w:t>0.6</w:t>
                  </w:r>
                </w:p>
              </w:tc>
              <w:tc>
                <w:tcPr>
                  <w:tcW w:w="429" w:type="pct"/>
                  <w:tcBorders>
                    <w:top w:val="single" w:color="auto" w:sz="4" w:space="0"/>
                    <w:left w:val="single" w:color="auto" w:sz="4" w:space="0"/>
                    <w:bottom w:val="single" w:color="auto" w:sz="4" w:space="0"/>
                    <w:right w:val="single" w:color="auto" w:sz="4" w:space="0"/>
                  </w:tcBorders>
                  <w:vAlign w:val="center"/>
                </w:tcPr>
                <w:p w14:paraId="64BD7286">
                  <w:pPr>
                    <w:widowControl/>
                    <w:jc w:val="center"/>
                    <w:rPr>
                      <w:rFonts w:eastAsia="等线"/>
                      <w:szCs w:val="21"/>
                    </w:rPr>
                  </w:pPr>
                  <w:r>
                    <w:rPr>
                      <w:rFonts w:eastAsia="等线"/>
                      <w:szCs w:val="21"/>
                    </w:rPr>
                    <w:t>0.12</w:t>
                  </w:r>
                </w:p>
              </w:tc>
              <w:tc>
                <w:tcPr>
                  <w:tcW w:w="371" w:type="pct"/>
                  <w:tcBorders>
                    <w:top w:val="single" w:color="auto" w:sz="4" w:space="0"/>
                    <w:left w:val="single" w:color="auto" w:sz="4" w:space="0"/>
                    <w:bottom w:val="single" w:color="auto" w:sz="4" w:space="0"/>
                    <w:right w:val="single" w:color="auto" w:sz="4" w:space="0"/>
                  </w:tcBorders>
                  <w:vAlign w:val="center"/>
                </w:tcPr>
                <w:p w14:paraId="52DF7477">
                  <w:pPr>
                    <w:widowControl/>
                    <w:jc w:val="center"/>
                    <w:rPr>
                      <w:rFonts w:eastAsia="等线"/>
                      <w:szCs w:val="21"/>
                    </w:rPr>
                  </w:pPr>
                  <w:r>
                    <w:rPr>
                      <w:rFonts w:eastAsiaTheme="minorEastAsia"/>
                      <w:szCs w:val="21"/>
                    </w:rPr>
                    <w:t>/</w:t>
                  </w:r>
                </w:p>
              </w:tc>
              <w:tc>
                <w:tcPr>
                  <w:tcW w:w="392" w:type="pct"/>
                  <w:tcBorders>
                    <w:top w:val="single" w:color="auto" w:sz="4" w:space="0"/>
                    <w:left w:val="single" w:color="auto" w:sz="4" w:space="0"/>
                    <w:bottom w:val="single" w:color="auto" w:sz="4" w:space="0"/>
                  </w:tcBorders>
                  <w:vAlign w:val="center"/>
                </w:tcPr>
                <w:p w14:paraId="6183E7BF">
                  <w:pPr>
                    <w:widowControl/>
                    <w:jc w:val="center"/>
                    <w:rPr>
                      <w:rFonts w:eastAsia="等线"/>
                      <w:szCs w:val="21"/>
                    </w:rPr>
                  </w:pPr>
                  <w:r>
                    <w:rPr>
                      <w:rFonts w:eastAsia="等线"/>
                      <w:szCs w:val="21"/>
                    </w:rPr>
                    <w:t>2.3</w:t>
                  </w:r>
                </w:p>
              </w:tc>
              <w:tc>
                <w:tcPr>
                  <w:tcW w:w="400" w:type="pct"/>
                  <w:tcBorders>
                    <w:top w:val="single" w:color="auto" w:sz="4" w:space="0"/>
                    <w:left w:val="single" w:color="auto" w:sz="4" w:space="0"/>
                    <w:bottom w:val="single" w:color="auto" w:sz="4" w:space="0"/>
                  </w:tcBorders>
                  <w:vAlign w:val="center"/>
                </w:tcPr>
                <w:p w14:paraId="1C5E8785">
                  <w:pPr>
                    <w:widowControl/>
                    <w:jc w:val="center"/>
                    <w:rPr>
                      <w:rFonts w:eastAsia="等线"/>
                      <w:szCs w:val="21"/>
                    </w:rPr>
                  </w:pPr>
                  <w:r>
                    <w:rPr>
                      <w:rFonts w:eastAsiaTheme="minorEastAsia"/>
                      <w:szCs w:val="21"/>
                    </w:rPr>
                    <w:t>/</w:t>
                  </w:r>
                </w:p>
              </w:tc>
            </w:tr>
            <w:tr w14:paraId="3D6132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3" w:type="pct"/>
                  <w:vMerge w:val="continue"/>
                  <w:tcBorders>
                    <w:right w:val="single" w:color="auto" w:sz="4" w:space="0"/>
                  </w:tcBorders>
                  <w:vAlign w:val="center"/>
                </w:tcPr>
                <w:p w14:paraId="18C2E2EB">
                  <w:pPr>
                    <w:widowControl/>
                    <w:jc w:val="center"/>
                    <w:rPr>
                      <w:kern w:val="0"/>
                      <w:szCs w:val="21"/>
                    </w:rPr>
                  </w:pPr>
                </w:p>
              </w:tc>
              <w:tc>
                <w:tcPr>
                  <w:tcW w:w="400" w:type="pct"/>
                  <w:vMerge w:val="continue"/>
                  <w:tcBorders>
                    <w:left w:val="single" w:color="auto" w:sz="4" w:space="0"/>
                    <w:right w:val="single" w:color="auto" w:sz="4" w:space="0"/>
                  </w:tcBorders>
                  <w:vAlign w:val="center"/>
                </w:tcPr>
                <w:p w14:paraId="0788103D">
                  <w:pPr>
                    <w:widowControl/>
                    <w:jc w:val="center"/>
                    <w:rPr>
                      <w:kern w:val="0"/>
                      <w:szCs w:val="21"/>
                    </w:rPr>
                  </w:pPr>
                </w:p>
              </w:tc>
              <w:tc>
                <w:tcPr>
                  <w:tcW w:w="429" w:type="pct"/>
                  <w:tcBorders>
                    <w:top w:val="single" w:color="auto" w:sz="4" w:space="0"/>
                    <w:left w:val="single" w:color="auto" w:sz="4" w:space="0"/>
                    <w:bottom w:val="single" w:color="auto" w:sz="4" w:space="0"/>
                    <w:right w:val="single" w:color="auto" w:sz="4" w:space="0"/>
                  </w:tcBorders>
                  <w:vAlign w:val="center"/>
                </w:tcPr>
                <w:p w14:paraId="09E3B6DA">
                  <w:pPr>
                    <w:widowControl/>
                    <w:jc w:val="center"/>
                    <w:rPr>
                      <w:kern w:val="0"/>
                      <w:szCs w:val="21"/>
                    </w:rPr>
                  </w:pPr>
                  <w:r>
                    <w:rPr>
                      <w:kern w:val="0"/>
                      <w:szCs w:val="21"/>
                    </w:rPr>
                    <w:t>第四次</w:t>
                  </w:r>
                </w:p>
              </w:tc>
              <w:tc>
                <w:tcPr>
                  <w:tcW w:w="317" w:type="pct"/>
                  <w:tcBorders>
                    <w:top w:val="single" w:color="auto" w:sz="4" w:space="0"/>
                    <w:left w:val="single" w:color="auto" w:sz="4" w:space="0"/>
                    <w:bottom w:val="single" w:color="auto" w:sz="4" w:space="0"/>
                    <w:right w:val="single" w:color="auto" w:sz="4" w:space="0"/>
                  </w:tcBorders>
                  <w:vAlign w:val="center"/>
                </w:tcPr>
                <w:p w14:paraId="7FEA6FA1">
                  <w:pPr>
                    <w:widowControl/>
                    <w:jc w:val="center"/>
                    <w:rPr>
                      <w:rFonts w:eastAsia="等线"/>
                      <w:szCs w:val="21"/>
                    </w:rPr>
                  </w:pPr>
                  <w:r>
                    <w:rPr>
                      <w:rFonts w:eastAsia="等线"/>
                      <w:szCs w:val="21"/>
                    </w:rPr>
                    <w:t>7.2</w:t>
                  </w:r>
                </w:p>
              </w:tc>
              <w:tc>
                <w:tcPr>
                  <w:tcW w:w="422" w:type="pct"/>
                  <w:tcBorders>
                    <w:top w:val="single" w:color="auto" w:sz="4" w:space="0"/>
                    <w:left w:val="single" w:color="auto" w:sz="4" w:space="0"/>
                    <w:bottom w:val="single" w:color="auto" w:sz="4" w:space="0"/>
                    <w:right w:val="single" w:color="auto" w:sz="4" w:space="0"/>
                  </w:tcBorders>
                  <w:vAlign w:val="center"/>
                </w:tcPr>
                <w:p w14:paraId="5FC97AA8">
                  <w:pPr>
                    <w:widowControl/>
                    <w:jc w:val="center"/>
                    <w:rPr>
                      <w:rFonts w:eastAsia="等线"/>
                      <w:szCs w:val="21"/>
                    </w:rPr>
                  </w:pPr>
                  <w:r>
                    <w:rPr>
                      <w:rFonts w:eastAsia="等线"/>
                      <w:szCs w:val="21"/>
                    </w:rPr>
                    <w:t>15</w:t>
                  </w:r>
                </w:p>
              </w:tc>
              <w:tc>
                <w:tcPr>
                  <w:tcW w:w="426" w:type="pct"/>
                  <w:tcBorders>
                    <w:top w:val="single" w:color="auto" w:sz="4" w:space="0"/>
                    <w:left w:val="single" w:color="auto" w:sz="4" w:space="0"/>
                    <w:bottom w:val="single" w:color="auto" w:sz="4" w:space="0"/>
                    <w:right w:val="single" w:color="auto" w:sz="4" w:space="0"/>
                  </w:tcBorders>
                  <w:vAlign w:val="center"/>
                </w:tcPr>
                <w:p w14:paraId="4F7372F2">
                  <w:pPr>
                    <w:widowControl/>
                    <w:jc w:val="center"/>
                    <w:rPr>
                      <w:rFonts w:eastAsia="等线"/>
                      <w:szCs w:val="21"/>
                    </w:rPr>
                  </w:pPr>
                  <w:r>
                    <w:rPr>
                      <w:rFonts w:eastAsia="等线"/>
                      <w:szCs w:val="21"/>
                    </w:rPr>
                    <w:t>7</w:t>
                  </w:r>
                </w:p>
              </w:tc>
              <w:tc>
                <w:tcPr>
                  <w:tcW w:w="365" w:type="pct"/>
                  <w:tcBorders>
                    <w:top w:val="single" w:color="auto" w:sz="4" w:space="0"/>
                    <w:left w:val="single" w:color="auto" w:sz="4" w:space="0"/>
                    <w:bottom w:val="single" w:color="auto" w:sz="4" w:space="0"/>
                    <w:right w:val="single" w:color="auto" w:sz="4" w:space="0"/>
                  </w:tcBorders>
                  <w:vAlign w:val="center"/>
                </w:tcPr>
                <w:p w14:paraId="1B0D87AE">
                  <w:pPr>
                    <w:widowControl/>
                    <w:jc w:val="center"/>
                    <w:rPr>
                      <w:rFonts w:eastAsia="等线"/>
                      <w:szCs w:val="21"/>
                    </w:rPr>
                  </w:pPr>
                  <w:r>
                    <w:rPr>
                      <w:rFonts w:eastAsia="等线"/>
                      <w:szCs w:val="21"/>
                    </w:rPr>
                    <w:t>0.27</w:t>
                  </w:r>
                </w:p>
              </w:tc>
              <w:tc>
                <w:tcPr>
                  <w:tcW w:w="343" w:type="pct"/>
                  <w:tcBorders>
                    <w:top w:val="single" w:color="auto" w:sz="4" w:space="0"/>
                    <w:left w:val="single" w:color="auto" w:sz="4" w:space="0"/>
                    <w:bottom w:val="single" w:color="auto" w:sz="4" w:space="0"/>
                    <w:right w:val="single" w:color="auto" w:sz="4" w:space="0"/>
                  </w:tcBorders>
                  <w:vAlign w:val="center"/>
                </w:tcPr>
                <w:p w14:paraId="711AE8E9">
                  <w:pPr>
                    <w:widowControl/>
                    <w:jc w:val="center"/>
                    <w:rPr>
                      <w:rFonts w:eastAsia="等线"/>
                      <w:szCs w:val="21"/>
                    </w:rPr>
                  </w:pPr>
                  <w:r>
                    <w:rPr>
                      <w:rFonts w:eastAsia="等线"/>
                      <w:szCs w:val="21"/>
                    </w:rPr>
                    <w:t>0.12</w:t>
                  </w:r>
                </w:p>
              </w:tc>
              <w:tc>
                <w:tcPr>
                  <w:tcW w:w="353" w:type="pct"/>
                  <w:tcBorders>
                    <w:top w:val="single" w:color="auto" w:sz="4" w:space="0"/>
                    <w:left w:val="single" w:color="auto" w:sz="4" w:space="0"/>
                    <w:bottom w:val="single" w:color="auto" w:sz="4" w:space="0"/>
                    <w:right w:val="single" w:color="auto" w:sz="4" w:space="0"/>
                  </w:tcBorders>
                  <w:vAlign w:val="center"/>
                </w:tcPr>
                <w:p w14:paraId="30663685">
                  <w:pPr>
                    <w:widowControl/>
                    <w:jc w:val="center"/>
                    <w:rPr>
                      <w:rFonts w:eastAsia="等线"/>
                      <w:szCs w:val="21"/>
                    </w:rPr>
                  </w:pPr>
                  <w:r>
                    <w:rPr>
                      <w:rFonts w:eastAsia="等线"/>
                      <w:szCs w:val="21"/>
                    </w:rPr>
                    <w:t>0.53</w:t>
                  </w:r>
                </w:p>
              </w:tc>
              <w:tc>
                <w:tcPr>
                  <w:tcW w:w="429" w:type="pct"/>
                  <w:tcBorders>
                    <w:top w:val="single" w:color="auto" w:sz="4" w:space="0"/>
                    <w:left w:val="single" w:color="auto" w:sz="4" w:space="0"/>
                    <w:bottom w:val="single" w:color="auto" w:sz="4" w:space="0"/>
                    <w:right w:val="single" w:color="auto" w:sz="4" w:space="0"/>
                  </w:tcBorders>
                  <w:vAlign w:val="center"/>
                </w:tcPr>
                <w:p w14:paraId="5C465A2A">
                  <w:pPr>
                    <w:widowControl/>
                    <w:jc w:val="center"/>
                    <w:rPr>
                      <w:rFonts w:eastAsia="等线"/>
                      <w:szCs w:val="21"/>
                    </w:rPr>
                  </w:pPr>
                  <w:r>
                    <w:rPr>
                      <w:rFonts w:eastAsia="等线"/>
                      <w:szCs w:val="21"/>
                    </w:rPr>
                    <w:t>0.16</w:t>
                  </w:r>
                </w:p>
              </w:tc>
              <w:tc>
                <w:tcPr>
                  <w:tcW w:w="371" w:type="pct"/>
                  <w:tcBorders>
                    <w:top w:val="single" w:color="auto" w:sz="4" w:space="0"/>
                    <w:left w:val="single" w:color="auto" w:sz="4" w:space="0"/>
                    <w:bottom w:val="single" w:color="auto" w:sz="4" w:space="0"/>
                    <w:right w:val="single" w:color="auto" w:sz="4" w:space="0"/>
                  </w:tcBorders>
                  <w:vAlign w:val="center"/>
                </w:tcPr>
                <w:p w14:paraId="11FDF2E6">
                  <w:pPr>
                    <w:widowControl/>
                    <w:jc w:val="center"/>
                    <w:rPr>
                      <w:rFonts w:eastAsia="等线"/>
                      <w:szCs w:val="21"/>
                    </w:rPr>
                  </w:pPr>
                  <w:r>
                    <w:rPr>
                      <w:rFonts w:eastAsiaTheme="minorEastAsia"/>
                      <w:szCs w:val="21"/>
                    </w:rPr>
                    <w:t>/</w:t>
                  </w:r>
                </w:p>
              </w:tc>
              <w:tc>
                <w:tcPr>
                  <w:tcW w:w="392" w:type="pct"/>
                  <w:tcBorders>
                    <w:top w:val="single" w:color="auto" w:sz="4" w:space="0"/>
                    <w:left w:val="single" w:color="auto" w:sz="4" w:space="0"/>
                    <w:bottom w:val="single" w:color="auto" w:sz="4" w:space="0"/>
                  </w:tcBorders>
                  <w:vAlign w:val="center"/>
                </w:tcPr>
                <w:p w14:paraId="565C1BC6">
                  <w:pPr>
                    <w:widowControl/>
                    <w:jc w:val="center"/>
                    <w:rPr>
                      <w:rFonts w:eastAsia="等线"/>
                      <w:szCs w:val="21"/>
                    </w:rPr>
                  </w:pPr>
                  <w:r>
                    <w:rPr>
                      <w:rFonts w:eastAsia="等线"/>
                      <w:szCs w:val="21"/>
                    </w:rPr>
                    <w:t>3</w:t>
                  </w:r>
                </w:p>
              </w:tc>
              <w:tc>
                <w:tcPr>
                  <w:tcW w:w="400" w:type="pct"/>
                  <w:tcBorders>
                    <w:top w:val="single" w:color="auto" w:sz="4" w:space="0"/>
                    <w:left w:val="single" w:color="auto" w:sz="4" w:space="0"/>
                    <w:bottom w:val="single" w:color="auto" w:sz="4" w:space="0"/>
                  </w:tcBorders>
                  <w:vAlign w:val="center"/>
                </w:tcPr>
                <w:p w14:paraId="26A259F1">
                  <w:pPr>
                    <w:widowControl/>
                    <w:jc w:val="center"/>
                    <w:rPr>
                      <w:rFonts w:eastAsia="等线"/>
                      <w:szCs w:val="21"/>
                    </w:rPr>
                  </w:pPr>
                  <w:r>
                    <w:rPr>
                      <w:rFonts w:eastAsiaTheme="minorEastAsia"/>
                      <w:szCs w:val="21"/>
                    </w:rPr>
                    <w:t>/</w:t>
                  </w:r>
                </w:p>
              </w:tc>
            </w:tr>
            <w:tr w14:paraId="68AEB7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3" w:type="pct"/>
                  <w:vMerge w:val="continue"/>
                  <w:tcBorders>
                    <w:right w:val="single" w:color="auto" w:sz="4" w:space="0"/>
                  </w:tcBorders>
                  <w:vAlign w:val="center"/>
                </w:tcPr>
                <w:p w14:paraId="54D41701">
                  <w:pPr>
                    <w:widowControl/>
                    <w:jc w:val="center"/>
                    <w:rPr>
                      <w:kern w:val="0"/>
                      <w:szCs w:val="21"/>
                    </w:rPr>
                  </w:pPr>
                </w:p>
              </w:tc>
              <w:tc>
                <w:tcPr>
                  <w:tcW w:w="400" w:type="pct"/>
                  <w:vMerge w:val="continue"/>
                  <w:tcBorders>
                    <w:left w:val="single" w:color="auto" w:sz="4" w:space="0"/>
                    <w:right w:val="single" w:color="auto" w:sz="4" w:space="0"/>
                  </w:tcBorders>
                  <w:vAlign w:val="center"/>
                </w:tcPr>
                <w:p w14:paraId="67836970">
                  <w:pPr>
                    <w:widowControl/>
                    <w:jc w:val="center"/>
                    <w:rPr>
                      <w:kern w:val="0"/>
                      <w:szCs w:val="21"/>
                    </w:rPr>
                  </w:pPr>
                </w:p>
              </w:tc>
              <w:tc>
                <w:tcPr>
                  <w:tcW w:w="429" w:type="pct"/>
                  <w:tcBorders>
                    <w:top w:val="single" w:color="auto" w:sz="4" w:space="0"/>
                    <w:left w:val="single" w:color="auto" w:sz="4" w:space="0"/>
                    <w:bottom w:val="single" w:color="auto" w:sz="4" w:space="0"/>
                    <w:right w:val="single" w:color="auto" w:sz="4" w:space="0"/>
                  </w:tcBorders>
                  <w:vAlign w:val="center"/>
                </w:tcPr>
                <w:p w14:paraId="3770D2FE">
                  <w:pPr>
                    <w:widowControl/>
                    <w:jc w:val="center"/>
                    <w:rPr>
                      <w:kern w:val="0"/>
                      <w:szCs w:val="21"/>
                    </w:rPr>
                  </w:pPr>
                  <w:r>
                    <w:rPr>
                      <w:kern w:val="0"/>
                      <w:szCs w:val="21"/>
                    </w:rPr>
                    <w:t>平均值</w:t>
                  </w:r>
                </w:p>
              </w:tc>
              <w:tc>
                <w:tcPr>
                  <w:tcW w:w="317" w:type="pct"/>
                  <w:tcBorders>
                    <w:top w:val="single" w:color="auto" w:sz="4" w:space="0"/>
                    <w:left w:val="single" w:color="auto" w:sz="4" w:space="0"/>
                    <w:bottom w:val="single" w:color="auto" w:sz="4" w:space="0"/>
                    <w:right w:val="single" w:color="auto" w:sz="4" w:space="0"/>
                  </w:tcBorders>
                  <w:vAlign w:val="center"/>
                </w:tcPr>
                <w:p w14:paraId="7E5B23ED">
                  <w:pPr>
                    <w:widowControl/>
                    <w:jc w:val="center"/>
                    <w:rPr>
                      <w:rFonts w:eastAsia="等线"/>
                      <w:szCs w:val="21"/>
                    </w:rPr>
                  </w:pPr>
                  <w:r>
                    <w:rPr>
                      <w:rFonts w:eastAsia="等线"/>
                      <w:szCs w:val="21"/>
                    </w:rPr>
                    <w:t>7.1</w:t>
                  </w:r>
                </w:p>
              </w:tc>
              <w:tc>
                <w:tcPr>
                  <w:tcW w:w="422" w:type="pct"/>
                  <w:tcBorders>
                    <w:top w:val="single" w:color="auto" w:sz="4" w:space="0"/>
                    <w:left w:val="single" w:color="auto" w:sz="4" w:space="0"/>
                    <w:bottom w:val="single" w:color="auto" w:sz="4" w:space="0"/>
                    <w:right w:val="single" w:color="auto" w:sz="4" w:space="0"/>
                  </w:tcBorders>
                  <w:vAlign w:val="center"/>
                </w:tcPr>
                <w:p w14:paraId="097E2A25">
                  <w:pPr>
                    <w:widowControl/>
                    <w:jc w:val="center"/>
                    <w:rPr>
                      <w:rFonts w:eastAsia="等线"/>
                      <w:szCs w:val="21"/>
                    </w:rPr>
                  </w:pPr>
                  <w:r>
                    <w:rPr>
                      <w:rFonts w:eastAsia="等线"/>
                      <w:szCs w:val="21"/>
                    </w:rPr>
                    <w:t>12.75</w:t>
                  </w:r>
                </w:p>
              </w:tc>
              <w:tc>
                <w:tcPr>
                  <w:tcW w:w="426" w:type="pct"/>
                  <w:tcBorders>
                    <w:top w:val="single" w:color="auto" w:sz="4" w:space="0"/>
                    <w:left w:val="single" w:color="auto" w:sz="4" w:space="0"/>
                    <w:bottom w:val="single" w:color="auto" w:sz="4" w:space="0"/>
                    <w:right w:val="single" w:color="auto" w:sz="4" w:space="0"/>
                  </w:tcBorders>
                  <w:vAlign w:val="center"/>
                </w:tcPr>
                <w:p w14:paraId="48238869">
                  <w:pPr>
                    <w:widowControl/>
                    <w:jc w:val="center"/>
                    <w:rPr>
                      <w:rFonts w:eastAsia="等线"/>
                      <w:szCs w:val="21"/>
                    </w:rPr>
                  </w:pPr>
                  <w:r>
                    <w:rPr>
                      <w:rFonts w:eastAsia="等线"/>
                      <w:szCs w:val="21"/>
                    </w:rPr>
                    <w:t>6.25</w:t>
                  </w:r>
                </w:p>
              </w:tc>
              <w:tc>
                <w:tcPr>
                  <w:tcW w:w="365" w:type="pct"/>
                  <w:tcBorders>
                    <w:top w:val="single" w:color="auto" w:sz="4" w:space="0"/>
                    <w:left w:val="single" w:color="auto" w:sz="4" w:space="0"/>
                    <w:bottom w:val="single" w:color="auto" w:sz="4" w:space="0"/>
                    <w:right w:val="single" w:color="auto" w:sz="4" w:space="0"/>
                  </w:tcBorders>
                  <w:vAlign w:val="center"/>
                </w:tcPr>
                <w:p w14:paraId="1634FC1D">
                  <w:pPr>
                    <w:widowControl/>
                    <w:jc w:val="center"/>
                    <w:rPr>
                      <w:rFonts w:eastAsia="等线"/>
                      <w:szCs w:val="21"/>
                    </w:rPr>
                  </w:pPr>
                  <w:r>
                    <w:rPr>
                      <w:rFonts w:eastAsia="等线"/>
                      <w:szCs w:val="21"/>
                    </w:rPr>
                    <w:t>0.26</w:t>
                  </w:r>
                </w:p>
              </w:tc>
              <w:tc>
                <w:tcPr>
                  <w:tcW w:w="343" w:type="pct"/>
                  <w:tcBorders>
                    <w:top w:val="single" w:color="auto" w:sz="4" w:space="0"/>
                    <w:left w:val="single" w:color="auto" w:sz="4" w:space="0"/>
                    <w:bottom w:val="single" w:color="auto" w:sz="4" w:space="0"/>
                    <w:right w:val="single" w:color="auto" w:sz="4" w:space="0"/>
                  </w:tcBorders>
                  <w:vAlign w:val="center"/>
                </w:tcPr>
                <w:p w14:paraId="09B8A175">
                  <w:pPr>
                    <w:widowControl/>
                    <w:jc w:val="center"/>
                    <w:rPr>
                      <w:rFonts w:eastAsia="等线"/>
                      <w:szCs w:val="21"/>
                    </w:rPr>
                  </w:pPr>
                  <w:r>
                    <w:rPr>
                      <w:rFonts w:eastAsia="等线"/>
                      <w:szCs w:val="21"/>
                    </w:rPr>
                    <w:t>0.12</w:t>
                  </w:r>
                </w:p>
              </w:tc>
              <w:tc>
                <w:tcPr>
                  <w:tcW w:w="353" w:type="pct"/>
                  <w:tcBorders>
                    <w:top w:val="single" w:color="auto" w:sz="4" w:space="0"/>
                    <w:left w:val="single" w:color="auto" w:sz="4" w:space="0"/>
                    <w:bottom w:val="single" w:color="auto" w:sz="4" w:space="0"/>
                    <w:right w:val="single" w:color="auto" w:sz="4" w:space="0"/>
                  </w:tcBorders>
                  <w:vAlign w:val="center"/>
                </w:tcPr>
                <w:p w14:paraId="0B16AC78">
                  <w:pPr>
                    <w:widowControl/>
                    <w:jc w:val="center"/>
                    <w:rPr>
                      <w:rFonts w:eastAsia="等线"/>
                      <w:szCs w:val="21"/>
                    </w:rPr>
                  </w:pPr>
                  <w:r>
                    <w:rPr>
                      <w:rFonts w:eastAsia="等线"/>
                      <w:szCs w:val="21"/>
                    </w:rPr>
                    <w:t>0.55</w:t>
                  </w:r>
                </w:p>
              </w:tc>
              <w:tc>
                <w:tcPr>
                  <w:tcW w:w="429" w:type="pct"/>
                  <w:tcBorders>
                    <w:top w:val="single" w:color="auto" w:sz="4" w:space="0"/>
                    <w:left w:val="single" w:color="auto" w:sz="4" w:space="0"/>
                    <w:bottom w:val="single" w:color="auto" w:sz="4" w:space="0"/>
                    <w:right w:val="single" w:color="auto" w:sz="4" w:space="0"/>
                  </w:tcBorders>
                  <w:vAlign w:val="center"/>
                </w:tcPr>
                <w:p w14:paraId="7FE33C73">
                  <w:pPr>
                    <w:widowControl/>
                    <w:jc w:val="center"/>
                    <w:rPr>
                      <w:rFonts w:eastAsia="等线"/>
                      <w:szCs w:val="21"/>
                    </w:rPr>
                  </w:pPr>
                  <w:r>
                    <w:rPr>
                      <w:rFonts w:eastAsia="等线"/>
                      <w:szCs w:val="21"/>
                    </w:rPr>
                    <w:t>0.13</w:t>
                  </w:r>
                </w:p>
              </w:tc>
              <w:tc>
                <w:tcPr>
                  <w:tcW w:w="371" w:type="pct"/>
                  <w:tcBorders>
                    <w:top w:val="single" w:color="auto" w:sz="4" w:space="0"/>
                    <w:left w:val="single" w:color="auto" w:sz="4" w:space="0"/>
                    <w:bottom w:val="single" w:color="auto" w:sz="4" w:space="0"/>
                    <w:right w:val="single" w:color="auto" w:sz="4" w:space="0"/>
                  </w:tcBorders>
                  <w:vAlign w:val="center"/>
                </w:tcPr>
                <w:p w14:paraId="4B930535">
                  <w:pPr>
                    <w:widowControl/>
                    <w:jc w:val="center"/>
                    <w:rPr>
                      <w:rFonts w:eastAsia="等线"/>
                      <w:szCs w:val="21"/>
                    </w:rPr>
                  </w:pPr>
                  <w:r>
                    <w:rPr>
                      <w:rFonts w:eastAsiaTheme="minorEastAsia"/>
                      <w:szCs w:val="21"/>
                    </w:rPr>
                    <w:t>/</w:t>
                  </w:r>
                </w:p>
              </w:tc>
              <w:tc>
                <w:tcPr>
                  <w:tcW w:w="392" w:type="pct"/>
                  <w:tcBorders>
                    <w:top w:val="single" w:color="auto" w:sz="4" w:space="0"/>
                    <w:left w:val="single" w:color="auto" w:sz="4" w:space="0"/>
                    <w:bottom w:val="single" w:color="auto" w:sz="4" w:space="0"/>
                  </w:tcBorders>
                  <w:vAlign w:val="center"/>
                </w:tcPr>
                <w:p w14:paraId="623B9ECA">
                  <w:pPr>
                    <w:widowControl/>
                    <w:jc w:val="center"/>
                    <w:rPr>
                      <w:rFonts w:eastAsia="等线"/>
                      <w:szCs w:val="21"/>
                    </w:rPr>
                  </w:pPr>
                  <w:r>
                    <w:rPr>
                      <w:rFonts w:eastAsia="等线"/>
                      <w:szCs w:val="21"/>
                    </w:rPr>
                    <w:t>2.5</w:t>
                  </w:r>
                </w:p>
              </w:tc>
              <w:tc>
                <w:tcPr>
                  <w:tcW w:w="400" w:type="pct"/>
                  <w:tcBorders>
                    <w:top w:val="single" w:color="auto" w:sz="4" w:space="0"/>
                    <w:left w:val="single" w:color="auto" w:sz="4" w:space="0"/>
                    <w:bottom w:val="single" w:color="auto" w:sz="4" w:space="0"/>
                  </w:tcBorders>
                  <w:vAlign w:val="center"/>
                </w:tcPr>
                <w:p w14:paraId="244791BD">
                  <w:pPr>
                    <w:widowControl/>
                    <w:jc w:val="center"/>
                    <w:rPr>
                      <w:rFonts w:eastAsia="等线"/>
                      <w:szCs w:val="21"/>
                    </w:rPr>
                  </w:pPr>
                  <w:r>
                    <w:rPr>
                      <w:rFonts w:eastAsiaTheme="minorEastAsia"/>
                      <w:szCs w:val="21"/>
                    </w:rPr>
                    <w:t>/</w:t>
                  </w:r>
                </w:p>
              </w:tc>
            </w:tr>
            <w:tr w14:paraId="367B9C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3" w:type="pct"/>
                  <w:vMerge w:val="continue"/>
                  <w:tcBorders>
                    <w:bottom w:val="single" w:color="auto" w:sz="12" w:space="0"/>
                    <w:right w:val="single" w:color="auto" w:sz="4" w:space="0"/>
                  </w:tcBorders>
                  <w:vAlign w:val="center"/>
                </w:tcPr>
                <w:p w14:paraId="11CD4F5F">
                  <w:pPr>
                    <w:widowControl/>
                    <w:jc w:val="center"/>
                    <w:rPr>
                      <w:kern w:val="0"/>
                      <w:szCs w:val="21"/>
                    </w:rPr>
                  </w:pPr>
                </w:p>
              </w:tc>
              <w:tc>
                <w:tcPr>
                  <w:tcW w:w="828" w:type="pct"/>
                  <w:gridSpan w:val="2"/>
                  <w:tcBorders>
                    <w:left w:val="single" w:color="auto" w:sz="4" w:space="0"/>
                    <w:bottom w:val="single" w:color="auto" w:sz="12" w:space="0"/>
                    <w:right w:val="single" w:color="auto" w:sz="4" w:space="0"/>
                  </w:tcBorders>
                  <w:vAlign w:val="center"/>
                </w:tcPr>
                <w:p w14:paraId="0C6AAF94">
                  <w:pPr>
                    <w:widowControl/>
                    <w:jc w:val="center"/>
                    <w:rPr>
                      <w:kern w:val="0"/>
                      <w:szCs w:val="21"/>
                    </w:rPr>
                  </w:pPr>
                  <w:r>
                    <w:rPr>
                      <w:kern w:val="0"/>
                      <w:szCs w:val="21"/>
                    </w:rPr>
                    <w:t>执行标准</w:t>
                  </w:r>
                </w:p>
              </w:tc>
              <w:tc>
                <w:tcPr>
                  <w:tcW w:w="317" w:type="pct"/>
                  <w:tcBorders>
                    <w:top w:val="single" w:color="auto" w:sz="4" w:space="0"/>
                    <w:left w:val="single" w:color="auto" w:sz="4" w:space="0"/>
                    <w:bottom w:val="single" w:color="auto" w:sz="12" w:space="0"/>
                    <w:right w:val="single" w:color="auto" w:sz="4" w:space="0"/>
                  </w:tcBorders>
                  <w:vAlign w:val="center"/>
                </w:tcPr>
                <w:p w14:paraId="73DE7FDA">
                  <w:pPr>
                    <w:widowControl/>
                    <w:jc w:val="center"/>
                    <w:rPr>
                      <w:rFonts w:eastAsia="等线"/>
                      <w:szCs w:val="21"/>
                    </w:rPr>
                  </w:pPr>
                  <w:r>
                    <w:rPr>
                      <w:rFonts w:eastAsia="等线"/>
                      <w:szCs w:val="21"/>
                    </w:rPr>
                    <w:t>6-9</w:t>
                  </w:r>
                </w:p>
              </w:tc>
              <w:tc>
                <w:tcPr>
                  <w:tcW w:w="422" w:type="pct"/>
                  <w:tcBorders>
                    <w:top w:val="single" w:color="auto" w:sz="4" w:space="0"/>
                    <w:left w:val="single" w:color="auto" w:sz="4" w:space="0"/>
                    <w:bottom w:val="single" w:color="auto" w:sz="12" w:space="0"/>
                    <w:right w:val="single" w:color="auto" w:sz="4" w:space="0"/>
                  </w:tcBorders>
                  <w:vAlign w:val="center"/>
                </w:tcPr>
                <w:p w14:paraId="39DBCC27">
                  <w:pPr>
                    <w:widowControl/>
                    <w:jc w:val="center"/>
                    <w:rPr>
                      <w:rFonts w:eastAsia="等线"/>
                      <w:szCs w:val="21"/>
                    </w:rPr>
                  </w:pPr>
                  <w:r>
                    <w:rPr>
                      <w:rFonts w:eastAsia="等线"/>
                      <w:szCs w:val="21"/>
                    </w:rPr>
                    <w:t>400</w:t>
                  </w:r>
                </w:p>
              </w:tc>
              <w:tc>
                <w:tcPr>
                  <w:tcW w:w="426" w:type="pct"/>
                  <w:tcBorders>
                    <w:top w:val="single" w:color="auto" w:sz="4" w:space="0"/>
                    <w:left w:val="single" w:color="auto" w:sz="4" w:space="0"/>
                    <w:bottom w:val="single" w:color="auto" w:sz="12" w:space="0"/>
                    <w:right w:val="single" w:color="auto" w:sz="4" w:space="0"/>
                  </w:tcBorders>
                  <w:vAlign w:val="center"/>
                </w:tcPr>
                <w:p w14:paraId="4033B4AE">
                  <w:pPr>
                    <w:widowControl/>
                    <w:jc w:val="center"/>
                    <w:rPr>
                      <w:rFonts w:eastAsia="等线"/>
                      <w:szCs w:val="21"/>
                    </w:rPr>
                  </w:pPr>
                  <w:r>
                    <w:rPr>
                      <w:rFonts w:eastAsia="等线"/>
                      <w:szCs w:val="21"/>
                    </w:rPr>
                    <w:t>280</w:t>
                  </w:r>
                </w:p>
              </w:tc>
              <w:tc>
                <w:tcPr>
                  <w:tcW w:w="365" w:type="pct"/>
                  <w:tcBorders>
                    <w:top w:val="single" w:color="auto" w:sz="4" w:space="0"/>
                    <w:left w:val="single" w:color="auto" w:sz="4" w:space="0"/>
                    <w:bottom w:val="single" w:color="auto" w:sz="12" w:space="0"/>
                    <w:right w:val="single" w:color="auto" w:sz="4" w:space="0"/>
                  </w:tcBorders>
                  <w:vAlign w:val="center"/>
                </w:tcPr>
                <w:p w14:paraId="1AA7601D">
                  <w:pPr>
                    <w:widowControl/>
                    <w:jc w:val="center"/>
                    <w:rPr>
                      <w:rFonts w:eastAsia="等线"/>
                      <w:szCs w:val="21"/>
                    </w:rPr>
                  </w:pPr>
                  <w:r>
                    <w:rPr>
                      <w:rFonts w:eastAsia="等线"/>
                      <w:szCs w:val="21"/>
                    </w:rPr>
                    <w:t>25</w:t>
                  </w:r>
                </w:p>
              </w:tc>
              <w:tc>
                <w:tcPr>
                  <w:tcW w:w="343" w:type="pct"/>
                  <w:tcBorders>
                    <w:top w:val="single" w:color="auto" w:sz="4" w:space="0"/>
                    <w:left w:val="single" w:color="auto" w:sz="4" w:space="0"/>
                    <w:bottom w:val="single" w:color="auto" w:sz="12" w:space="0"/>
                    <w:right w:val="single" w:color="auto" w:sz="4" w:space="0"/>
                  </w:tcBorders>
                  <w:vAlign w:val="center"/>
                </w:tcPr>
                <w:p w14:paraId="221EF767">
                  <w:pPr>
                    <w:widowControl/>
                    <w:jc w:val="center"/>
                    <w:rPr>
                      <w:rFonts w:eastAsia="等线"/>
                      <w:szCs w:val="21"/>
                    </w:rPr>
                  </w:pPr>
                  <w:r>
                    <w:rPr>
                      <w:rFonts w:eastAsia="等线"/>
                      <w:szCs w:val="21"/>
                    </w:rPr>
                    <w:t>4.5</w:t>
                  </w:r>
                </w:p>
              </w:tc>
              <w:tc>
                <w:tcPr>
                  <w:tcW w:w="353" w:type="pct"/>
                  <w:tcBorders>
                    <w:top w:val="single" w:color="auto" w:sz="4" w:space="0"/>
                    <w:left w:val="single" w:color="auto" w:sz="4" w:space="0"/>
                    <w:bottom w:val="single" w:color="auto" w:sz="12" w:space="0"/>
                    <w:right w:val="single" w:color="auto" w:sz="4" w:space="0"/>
                  </w:tcBorders>
                  <w:vAlign w:val="center"/>
                </w:tcPr>
                <w:p w14:paraId="1905ED1B">
                  <w:pPr>
                    <w:widowControl/>
                    <w:jc w:val="center"/>
                    <w:rPr>
                      <w:rFonts w:eastAsia="等线"/>
                      <w:szCs w:val="21"/>
                    </w:rPr>
                  </w:pPr>
                  <w:r>
                    <w:rPr>
                      <w:rFonts w:eastAsia="等线"/>
                      <w:szCs w:val="21"/>
                    </w:rPr>
                    <w:t>/</w:t>
                  </w:r>
                </w:p>
              </w:tc>
              <w:tc>
                <w:tcPr>
                  <w:tcW w:w="429" w:type="pct"/>
                  <w:tcBorders>
                    <w:top w:val="single" w:color="auto" w:sz="4" w:space="0"/>
                    <w:left w:val="single" w:color="auto" w:sz="4" w:space="0"/>
                    <w:bottom w:val="single" w:color="auto" w:sz="12" w:space="0"/>
                    <w:right w:val="single" w:color="auto" w:sz="4" w:space="0"/>
                  </w:tcBorders>
                  <w:vAlign w:val="center"/>
                </w:tcPr>
                <w:p w14:paraId="1365F19D">
                  <w:pPr>
                    <w:widowControl/>
                    <w:jc w:val="center"/>
                    <w:rPr>
                      <w:rFonts w:eastAsia="等线"/>
                      <w:szCs w:val="21"/>
                    </w:rPr>
                  </w:pPr>
                  <w:r>
                    <w:rPr>
                      <w:rFonts w:eastAsia="等线"/>
                      <w:szCs w:val="21"/>
                    </w:rPr>
                    <w:t>20</w:t>
                  </w:r>
                </w:p>
              </w:tc>
              <w:tc>
                <w:tcPr>
                  <w:tcW w:w="371" w:type="pct"/>
                  <w:tcBorders>
                    <w:top w:val="single" w:color="auto" w:sz="4" w:space="0"/>
                    <w:left w:val="single" w:color="auto" w:sz="4" w:space="0"/>
                    <w:bottom w:val="single" w:color="auto" w:sz="12" w:space="0"/>
                    <w:right w:val="single" w:color="auto" w:sz="4" w:space="0"/>
                  </w:tcBorders>
                  <w:vAlign w:val="center"/>
                </w:tcPr>
                <w:p w14:paraId="48F2CE7B">
                  <w:pPr>
                    <w:widowControl/>
                    <w:jc w:val="center"/>
                    <w:rPr>
                      <w:rFonts w:eastAsiaTheme="minorEastAsia"/>
                      <w:szCs w:val="21"/>
                    </w:rPr>
                  </w:pPr>
                  <w:r>
                    <w:rPr>
                      <w:rFonts w:eastAsiaTheme="minorEastAsia"/>
                      <w:szCs w:val="21"/>
                    </w:rPr>
                    <w:t>/</w:t>
                  </w:r>
                </w:p>
              </w:tc>
              <w:tc>
                <w:tcPr>
                  <w:tcW w:w="392" w:type="pct"/>
                  <w:tcBorders>
                    <w:top w:val="single" w:color="auto" w:sz="4" w:space="0"/>
                    <w:left w:val="single" w:color="auto" w:sz="4" w:space="0"/>
                    <w:bottom w:val="single" w:color="auto" w:sz="12" w:space="0"/>
                  </w:tcBorders>
                  <w:vAlign w:val="center"/>
                </w:tcPr>
                <w:p w14:paraId="25E8123C">
                  <w:pPr>
                    <w:widowControl/>
                    <w:jc w:val="center"/>
                    <w:rPr>
                      <w:rFonts w:eastAsia="等线"/>
                      <w:szCs w:val="21"/>
                    </w:rPr>
                  </w:pPr>
                  <w:r>
                    <w:rPr>
                      <w:rFonts w:eastAsia="等线"/>
                      <w:szCs w:val="21"/>
                    </w:rPr>
                    <w:t>/</w:t>
                  </w:r>
                </w:p>
              </w:tc>
              <w:tc>
                <w:tcPr>
                  <w:tcW w:w="400" w:type="pct"/>
                  <w:tcBorders>
                    <w:top w:val="single" w:color="auto" w:sz="4" w:space="0"/>
                    <w:left w:val="single" w:color="auto" w:sz="4" w:space="0"/>
                    <w:bottom w:val="single" w:color="auto" w:sz="12" w:space="0"/>
                  </w:tcBorders>
                  <w:vAlign w:val="center"/>
                </w:tcPr>
                <w:p w14:paraId="5310618F">
                  <w:pPr>
                    <w:widowControl/>
                    <w:jc w:val="center"/>
                    <w:rPr>
                      <w:rFonts w:eastAsia="等线"/>
                      <w:szCs w:val="21"/>
                    </w:rPr>
                  </w:pPr>
                  <w:r>
                    <w:rPr>
                      <w:rFonts w:eastAsia="等线"/>
                      <w:szCs w:val="21"/>
                    </w:rPr>
                    <w:t>0.1</w:t>
                  </w:r>
                </w:p>
              </w:tc>
            </w:tr>
          </w:tbl>
          <w:p w14:paraId="3F1D22F7">
            <w:pPr>
              <w:adjustRightInd w:val="0"/>
              <w:snapToGrid w:val="0"/>
              <w:spacing w:line="500" w:lineRule="exact"/>
              <w:ind w:firstLine="482" w:firstLineChars="200"/>
              <w:rPr>
                <w:b/>
                <w:bCs/>
                <w:sz w:val="24"/>
              </w:rPr>
            </w:pPr>
            <w:r>
              <w:rPr>
                <w:b/>
                <w:bCs/>
                <w:sz w:val="24"/>
              </w:rPr>
              <w:t>（3）接管可行性分析</w:t>
            </w:r>
          </w:p>
          <w:p w14:paraId="5BD32B94">
            <w:pPr>
              <w:pStyle w:val="108"/>
              <w:adjustRightInd w:val="0"/>
              <w:snapToGrid w:val="0"/>
              <w:spacing w:line="500" w:lineRule="exact"/>
              <w:ind w:firstLine="480"/>
              <w:rPr>
                <w:sz w:val="24"/>
              </w:rPr>
            </w:pPr>
            <w:r>
              <w:rPr>
                <w:sz w:val="24"/>
              </w:rPr>
              <w:t>泗阳高新区污水处理厂（一期）位于泗阳县木业园区淮海路北侧、小长河西侧，项目总投资约7873.08万元，污水管网全长40公里，占地面积18650平方米，约27.975亩。其中建筑物占地面积5384平方米，道路广场面积3602平方米，绿化面积7425平方米，包括粗格栅及提升泵站、细格栅、污泥脱水间、A</w:t>
            </w:r>
            <w:r>
              <w:rPr>
                <w:sz w:val="24"/>
                <w:vertAlign w:val="superscript"/>
              </w:rPr>
              <w:t>2</w:t>
            </w:r>
            <w:r>
              <w:rPr>
                <w:sz w:val="24"/>
              </w:rPr>
              <w:t>/O池、鼓风机房、纤维转盘、紫外线消毒渠、综合办公楼等。</w:t>
            </w:r>
          </w:p>
          <w:p w14:paraId="4F3BC267">
            <w:pPr>
              <w:pStyle w:val="108"/>
              <w:adjustRightInd w:val="0"/>
              <w:snapToGrid w:val="0"/>
              <w:spacing w:line="500" w:lineRule="exact"/>
              <w:ind w:firstLine="480"/>
              <w:rPr>
                <w:kern w:val="0"/>
                <w:sz w:val="24"/>
              </w:rPr>
            </w:pPr>
            <w:bookmarkStart w:id="46" w:name="_Hlk58858585"/>
            <w:r>
              <w:rPr>
                <w:sz w:val="24"/>
              </w:rPr>
              <w:t>泗阳高新区污水处理厂（一期）规模为1.0万m</w:t>
            </w:r>
            <w:r>
              <w:rPr>
                <w:sz w:val="24"/>
                <w:vertAlign w:val="superscript"/>
              </w:rPr>
              <w:t>3</w:t>
            </w:r>
            <w:r>
              <w:rPr>
                <w:sz w:val="24"/>
              </w:rPr>
              <w:t>/d，远期总规模为3.0万m</w:t>
            </w:r>
            <w:r>
              <w:rPr>
                <w:sz w:val="24"/>
                <w:vertAlign w:val="superscript"/>
              </w:rPr>
              <w:t>3</w:t>
            </w:r>
            <w:r>
              <w:rPr>
                <w:sz w:val="24"/>
              </w:rPr>
              <w:t>/d，工程分期实施，目前已建成规模为1.0万m</w:t>
            </w:r>
            <w:r>
              <w:rPr>
                <w:sz w:val="24"/>
                <w:vertAlign w:val="superscript"/>
              </w:rPr>
              <w:t>3</w:t>
            </w:r>
            <w:r>
              <w:rPr>
                <w:sz w:val="24"/>
              </w:rPr>
              <w:t>/d，主要收集工业园区内所有生活污水和工业废水，现状日处理量约8000</w:t>
            </w:r>
            <w:bookmarkEnd w:id="46"/>
            <w:r>
              <w:rPr>
                <w:sz w:val="24"/>
              </w:rPr>
              <w:t xml:space="preserve"> m</w:t>
            </w:r>
            <w:r>
              <w:rPr>
                <w:sz w:val="24"/>
                <w:vertAlign w:val="superscript"/>
              </w:rPr>
              <w:t>3</w:t>
            </w:r>
            <w:r>
              <w:rPr>
                <w:sz w:val="24"/>
              </w:rPr>
              <w:t>/d。</w:t>
            </w:r>
            <w:r>
              <w:rPr>
                <w:kern w:val="0"/>
                <w:sz w:val="24"/>
              </w:rPr>
              <w:t>泗阳高新区污水处理厂（一期）工程污水处理主体工艺采用A</w:t>
            </w:r>
            <w:r>
              <w:rPr>
                <w:kern w:val="0"/>
                <w:sz w:val="24"/>
                <w:vertAlign w:val="superscript"/>
              </w:rPr>
              <w:t>2</w:t>
            </w:r>
            <w:r>
              <w:rPr>
                <w:kern w:val="0"/>
                <w:sz w:val="24"/>
              </w:rPr>
              <w:t>/O工艺+絮凝沉淀+纤维转盘滤池过滤处理工艺，出水采用紫外消毒，污泥处理采用带式浓缩一体脱水机脱水。厂区主要生产建、构筑物包括：粗格栅及提升泵房、细格栅及曝气沉砂池、A</w:t>
            </w:r>
            <w:r>
              <w:rPr>
                <w:kern w:val="0"/>
                <w:sz w:val="24"/>
                <w:vertAlign w:val="superscript"/>
              </w:rPr>
              <w:t>2</w:t>
            </w:r>
            <w:r>
              <w:rPr>
                <w:kern w:val="0"/>
                <w:sz w:val="24"/>
              </w:rPr>
              <w:t>/O池、二沉池、絮凝沉淀池、纤维转盘滤池、紫外消毒池及外排口、污泥储池及污泥脱水机房等。工艺流程如下图所示。</w:t>
            </w:r>
          </w:p>
          <w:p w14:paraId="429DCA00">
            <w:pPr>
              <w:pStyle w:val="2"/>
              <w:jc w:val="center"/>
            </w:pPr>
            <w:r>
              <w:rPr>
                <w:sz w:val="21"/>
              </w:rPr>
              <w:drawing>
                <wp:inline distT="0" distB="0" distL="0" distR="0">
                  <wp:extent cx="4664075" cy="1781175"/>
                  <wp:effectExtent l="0" t="0" r="3175"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5"/>
                          <a:stretch>
                            <a:fillRect/>
                          </a:stretch>
                        </pic:blipFill>
                        <pic:spPr>
                          <a:xfrm>
                            <a:off x="0" y="0"/>
                            <a:ext cx="4726752" cy="1805470"/>
                          </a:xfrm>
                          <a:prstGeom prst="rect">
                            <a:avLst/>
                          </a:prstGeom>
                        </pic:spPr>
                      </pic:pic>
                    </a:graphicData>
                  </a:graphic>
                </wp:inline>
              </w:drawing>
            </w:r>
          </w:p>
          <w:p w14:paraId="3A5B4102">
            <w:pPr>
              <w:jc w:val="center"/>
              <w:rPr>
                <w:b/>
                <w:sz w:val="24"/>
                <w:szCs w:val="36"/>
              </w:rPr>
            </w:pPr>
            <w:r>
              <w:rPr>
                <w:b/>
                <w:sz w:val="24"/>
                <w:szCs w:val="36"/>
              </w:rPr>
              <w:t>图4-2  污水处理厂废水处理工艺流程图</w:t>
            </w:r>
          </w:p>
          <w:p w14:paraId="59D9CFDA">
            <w:pPr>
              <w:spacing w:line="500" w:lineRule="exact"/>
              <w:ind w:firstLine="480" w:firstLineChars="200"/>
              <w:rPr>
                <w:kern w:val="0"/>
                <w:sz w:val="24"/>
              </w:rPr>
            </w:pPr>
            <w:r>
              <w:rPr>
                <w:kern w:val="0"/>
                <w:sz w:val="24"/>
              </w:rPr>
              <w:t>本项目废水量较小且在原批复范围内，可接入园区污水处理厂，且芮邦科技污水处理站能够稳定运行达到接管要求。因此，本项目接管至园区污水处理厂处理具备可行性。</w:t>
            </w:r>
          </w:p>
          <w:p w14:paraId="1407CE24">
            <w:pPr>
              <w:adjustRightInd w:val="0"/>
              <w:snapToGrid w:val="0"/>
              <w:spacing w:line="500" w:lineRule="exact"/>
              <w:ind w:firstLine="482" w:firstLineChars="200"/>
              <w:rPr>
                <w:b/>
                <w:bCs/>
                <w:sz w:val="24"/>
              </w:rPr>
            </w:pPr>
            <w:r>
              <w:rPr>
                <w:b/>
                <w:bCs/>
                <w:sz w:val="24"/>
              </w:rPr>
              <w:t>3、噪声</w:t>
            </w:r>
          </w:p>
          <w:p w14:paraId="0A7BFCCB">
            <w:pPr>
              <w:adjustRightInd w:val="0"/>
              <w:snapToGrid w:val="0"/>
              <w:spacing w:line="500" w:lineRule="exact"/>
              <w:ind w:firstLine="482" w:firstLineChars="200"/>
              <w:rPr>
                <w:b/>
                <w:bCs/>
                <w:sz w:val="24"/>
              </w:rPr>
            </w:pPr>
            <w:r>
              <w:rPr>
                <w:b/>
                <w:bCs/>
                <w:sz w:val="24"/>
              </w:rPr>
              <w:t>（1）噪声源强及降噪措施</w:t>
            </w:r>
          </w:p>
          <w:p w14:paraId="519DB6AF">
            <w:pPr>
              <w:spacing w:line="500" w:lineRule="exact"/>
              <w:ind w:firstLine="480" w:firstLineChars="200"/>
              <w:rPr>
                <w:szCs w:val="21"/>
              </w:rPr>
            </w:pPr>
            <w:r>
              <w:rPr>
                <w:sz w:val="24"/>
              </w:rPr>
              <w:t>本项目噪声源强详细信息见下表。</w:t>
            </w:r>
          </w:p>
          <w:p w14:paraId="2A764798"/>
        </w:tc>
      </w:tr>
    </w:tbl>
    <w:p w14:paraId="609D0ABC">
      <w:pPr>
        <w:sectPr>
          <w:pgSz w:w="11907" w:h="16840"/>
          <w:pgMar w:top="1701" w:right="1531" w:bottom="2268" w:left="1531" w:header="851" w:footer="851" w:gutter="0"/>
          <w:cols w:space="720" w:num="1"/>
          <w:docGrid w:linePitch="312" w:charSpace="0"/>
        </w:sect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61"/>
      </w:tblGrid>
      <w:tr w14:paraId="1239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9" w:hRule="atLeast"/>
        </w:trPr>
        <w:tc>
          <w:tcPr>
            <w:tcW w:w="12861" w:type="dxa"/>
          </w:tcPr>
          <w:p w14:paraId="03B1BEB1">
            <w:pPr>
              <w:ind w:firstLine="482" w:firstLineChars="200"/>
              <w:jc w:val="center"/>
              <w:rPr>
                <w:rFonts w:eastAsiaTheme="minorEastAsia"/>
                <w:b/>
                <w:sz w:val="24"/>
              </w:rPr>
            </w:pPr>
            <w:r>
              <w:rPr>
                <w:rFonts w:eastAsiaTheme="minorEastAsia"/>
                <w:b/>
                <w:sz w:val="24"/>
              </w:rPr>
              <w:t>表4-13 噪声源强调查清单（室内声源）</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3"/>
              <w:gridCol w:w="973"/>
              <w:gridCol w:w="973"/>
              <w:gridCol w:w="973"/>
              <w:gridCol w:w="974"/>
              <w:gridCol w:w="974"/>
              <w:gridCol w:w="974"/>
              <w:gridCol w:w="974"/>
              <w:gridCol w:w="974"/>
              <w:gridCol w:w="974"/>
              <w:gridCol w:w="974"/>
              <w:gridCol w:w="974"/>
              <w:gridCol w:w="961"/>
            </w:tblGrid>
            <w:tr w14:paraId="27FD45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85" w:type="pct"/>
                  <w:vMerge w:val="restart"/>
                  <w:shd w:val="clear" w:color="auto" w:fill="auto"/>
                  <w:vAlign w:val="center"/>
                </w:tcPr>
                <w:p w14:paraId="54ED5175">
                  <w:pPr>
                    <w:widowControl/>
                    <w:jc w:val="center"/>
                    <w:rPr>
                      <w:b/>
                      <w:bCs/>
                      <w:kern w:val="0"/>
                      <w:szCs w:val="21"/>
                    </w:rPr>
                  </w:pPr>
                  <w:r>
                    <w:rPr>
                      <w:b/>
                      <w:bCs/>
                      <w:kern w:val="0"/>
                      <w:szCs w:val="21"/>
                    </w:rPr>
                    <w:t>序号</w:t>
                  </w:r>
                </w:p>
              </w:tc>
              <w:tc>
                <w:tcPr>
                  <w:tcW w:w="385" w:type="pct"/>
                  <w:vMerge w:val="restart"/>
                  <w:shd w:val="clear" w:color="auto" w:fill="auto"/>
                  <w:vAlign w:val="center"/>
                </w:tcPr>
                <w:p w14:paraId="2F5AE872">
                  <w:pPr>
                    <w:widowControl/>
                    <w:jc w:val="center"/>
                    <w:rPr>
                      <w:b/>
                      <w:bCs/>
                      <w:kern w:val="0"/>
                      <w:szCs w:val="21"/>
                    </w:rPr>
                  </w:pPr>
                  <w:r>
                    <w:rPr>
                      <w:b/>
                      <w:bCs/>
                      <w:kern w:val="0"/>
                      <w:szCs w:val="21"/>
                    </w:rPr>
                    <w:t>建筑物</w:t>
                  </w:r>
                </w:p>
              </w:tc>
              <w:tc>
                <w:tcPr>
                  <w:tcW w:w="385" w:type="pct"/>
                  <w:vMerge w:val="restart"/>
                  <w:shd w:val="clear" w:color="auto" w:fill="auto"/>
                  <w:vAlign w:val="center"/>
                </w:tcPr>
                <w:p w14:paraId="4D942951">
                  <w:pPr>
                    <w:widowControl/>
                    <w:jc w:val="center"/>
                    <w:rPr>
                      <w:b/>
                      <w:bCs/>
                      <w:kern w:val="0"/>
                      <w:szCs w:val="21"/>
                    </w:rPr>
                  </w:pPr>
                  <w:r>
                    <w:rPr>
                      <w:b/>
                      <w:bCs/>
                      <w:kern w:val="0"/>
                      <w:szCs w:val="21"/>
                    </w:rPr>
                    <w:t>台/套数</w:t>
                  </w:r>
                </w:p>
              </w:tc>
              <w:tc>
                <w:tcPr>
                  <w:tcW w:w="385" w:type="pct"/>
                  <w:vMerge w:val="restart"/>
                  <w:shd w:val="clear" w:color="auto" w:fill="auto"/>
                  <w:vAlign w:val="center"/>
                </w:tcPr>
                <w:p w14:paraId="4801E257">
                  <w:pPr>
                    <w:widowControl/>
                    <w:jc w:val="center"/>
                    <w:rPr>
                      <w:b/>
                      <w:bCs/>
                      <w:kern w:val="0"/>
                      <w:szCs w:val="21"/>
                    </w:rPr>
                  </w:pPr>
                  <w:r>
                    <w:rPr>
                      <w:b/>
                      <w:bCs/>
                      <w:kern w:val="0"/>
                      <w:szCs w:val="21"/>
                    </w:rPr>
                    <w:t>声源控制措施</w:t>
                  </w:r>
                </w:p>
              </w:tc>
              <w:tc>
                <w:tcPr>
                  <w:tcW w:w="1155" w:type="pct"/>
                  <w:gridSpan w:val="3"/>
                  <w:shd w:val="clear" w:color="auto" w:fill="auto"/>
                  <w:vAlign w:val="center"/>
                </w:tcPr>
                <w:p w14:paraId="0B54FC40">
                  <w:pPr>
                    <w:widowControl/>
                    <w:jc w:val="center"/>
                    <w:rPr>
                      <w:b/>
                      <w:bCs/>
                      <w:kern w:val="0"/>
                      <w:szCs w:val="21"/>
                    </w:rPr>
                  </w:pPr>
                  <w:r>
                    <w:rPr>
                      <w:b/>
                      <w:bCs/>
                      <w:kern w:val="0"/>
                      <w:szCs w:val="21"/>
                    </w:rPr>
                    <w:t>空间相对位置/m</w:t>
                  </w:r>
                </w:p>
              </w:tc>
              <w:tc>
                <w:tcPr>
                  <w:tcW w:w="385" w:type="pct"/>
                  <w:vMerge w:val="restart"/>
                  <w:shd w:val="clear" w:color="auto" w:fill="auto"/>
                  <w:vAlign w:val="center"/>
                </w:tcPr>
                <w:p w14:paraId="565DD227">
                  <w:pPr>
                    <w:widowControl/>
                    <w:jc w:val="center"/>
                    <w:rPr>
                      <w:b/>
                      <w:bCs/>
                      <w:kern w:val="0"/>
                      <w:szCs w:val="21"/>
                    </w:rPr>
                  </w:pPr>
                  <w:r>
                    <w:rPr>
                      <w:b/>
                      <w:bCs/>
                      <w:kern w:val="0"/>
                      <w:szCs w:val="21"/>
                    </w:rPr>
                    <w:t>距室内边界距离/m</w:t>
                  </w:r>
                </w:p>
              </w:tc>
              <w:tc>
                <w:tcPr>
                  <w:tcW w:w="385" w:type="pct"/>
                  <w:vMerge w:val="restart"/>
                  <w:shd w:val="clear" w:color="auto" w:fill="auto"/>
                  <w:vAlign w:val="center"/>
                </w:tcPr>
                <w:p w14:paraId="68541721">
                  <w:pPr>
                    <w:widowControl/>
                    <w:jc w:val="center"/>
                    <w:rPr>
                      <w:b/>
                      <w:bCs/>
                      <w:kern w:val="0"/>
                      <w:szCs w:val="21"/>
                    </w:rPr>
                  </w:pPr>
                  <w:r>
                    <w:rPr>
                      <w:b/>
                      <w:bCs/>
                      <w:kern w:val="0"/>
                      <w:szCs w:val="21"/>
                    </w:rPr>
                    <w:t>室内边界声级/dB（A）</w:t>
                  </w:r>
                </w:p>
              </w:tc>
              <w:tc>
                <w:tcPr>
                  <w:tcW w:w="385" w:type="pct"/>
                  <w:vMerge w:val="restart"/>
                  <w:shd w:val="clear" w:color="auto" w:fill="auto"/>
                  <w:vAlign w:val="center"/>
                </w:tcPr>
                <w:p w14:paraId="7D083B94">
                  <w:pPr>
                    <w:widowControl/>
                    <w:jc w:val="center"/>
                    <w:rPr>
                      <w:b/>
                      <w:bCs/>
                      <w:kern w:val="0"/>
                      <w:szCs w:val="21"/>
                    </w:rPr>
                  </w:pPr>
                  <w:r>
                    <w:rPr>
                      <w:b/>
                      <w:bCs/>
                      <w:kern w:val="0"/>
                      <w:szCs w:val="21"/>
                    </w:rPr>
                    <w:t>运行时段</w:t>
                  </w:r>
                </w:p>
              </w:tc>
              <w:tc>
                <w:tcPr>
                  <w:tcW w:w="385" w:type="pct"/>
                  <w:vMerge w:val="restart"/>
                  <w:shd w:val="clear" w:color="auto" w:fill="auto"/>
                  <w:vAlign w:val="center"/>
                </w:tcPr>
                <w:p w14:paraId="3FE2A0DD">
                  <w:pPr>
                    <w:widowControl/>
                    <w:jc w:val="center"/>
                    <w:rPr>
                      <w:b/>
                      <w:bCs/>
                      <w:kern w:val="0"/>
                      <w:szCs w:val="21"/>
                    </w:rPr>
                  </w:pPr>
                  <w:r>
                    <w:rPr>
                      <w:b/>
                      <w:bCs/>
                      <w:kern w:val="0"/>
                      <w:szCs w:val="21"/>
                    </w:rPr>
                    <w:t>建筑物插入损失/dB（A）</w:t>
                  </w:r>
                </w:p>
              </w:tc>
              <w:tc>
                <w:tcPr>
                  <w:tcW w:w="765" w:type="pct"/>
                  <w:gridSpan w:val="2"/>
                  <w:shd w:val="clear" w:color="auto" w:fill="auto"/>
                  <w:vAlign w:val="center"/>
                </w:tcPr>
                <w:p w14:paraId="7442211D">
                  <w:pPr>
                    <w:widowControl/>
                    <w:jc w:val="center"/>
                    <w:rPr>
                      <w:b/>
                      <w:bCs/>
                      <w:kern w:val="0"/>
                      <w:szCs w:val="21"/>
                    </w:rPr>
                  </w:pPr>
                  <w:r>
                    <w:rPr>
                      <w:b/>
                      <w:bCs/>
                      <w:kern w:val="0"/>
                      <w:szCs w:val="21"/>
                    </w:rPr>
                    <w:t>建筑物外噪声</w:t>
                  </w:r>
                </w:p>
              </w:tc>
            </w:tr>
            <w:tr w14:paraId="0B1B63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385" w:type="pct"/>
                  <w:vMerge w:val="continue"/>
                  <w:vAlign w:val="center"/>
                </w:tcPr>
                <w:p w14:paraId="3A6AC107">
                  <w:pPr>
                    <w:widowControl/>
                    <w:jc w:val="left"/>
                    <w:rPr>
                      <w:b/>
                      <w:bCs/>
                      <w:kern w:val="0"/>
                      <w:szCs w:val="21"/>
                    </w:rPr>
                  </w:pPr>
                </w:p>
              </w:tc>
              <w:tc>
                <w:tcPr>
                  <w:tcW w:w="385" w:type="pct"/>
                  <w:vMerge w:val="continue"/>
                  <w:vAlign w:val="center"/>
                </w:tcPr>
                <w:p w14:paraId="2C7C0C4D">
                  <w:pPr>
                    <w:widowControl/>
                    <w:jc w:val="left"/>
                    <w:rPr>
                      <w:b/>
                      <w:bCs/>
                      <w:kern w:val="0"/>
                      <w:szCs w:val="21"/>
                    </w:rPr>
                  </w:pPr>
                </w:p>
              </w:tc>
              <w:tc>
                <w:tcPr>
                  <w:tcW w:w="385" w:type="pct"/>
                  <w:vMerge w:val="continue"/>
                  <w:vAlign w:val="center"/>
                </w:tcPr>
                <w:p w14:paraId="2DF0A8E3">
                  <w:pPr>
                    <w:widowControl/>
                    <w:jc w:val="left"/>
                    <w:rPr>
                      <w:b/>
                      <w:bCs/>
                      <w:kern w:val="0"/>
                      <w:szCs w:val="21"/>
                    </w:rPr>
                  </w:pPr>
                </w:p>
              </w:tc>
              <w:tc>
                <w:tcPr>
                  <w:tcW w:w="385" w:type="pct"/>
                  <w:vMerge w:val="continue"/>
                  <w:vAlign w:val="center"/>
                </w:tcPr>
                <w:p w14:paraId="048BC7D0">
                  <w:pPr>
                    <w:widowControl/>
                    <w:jc w:val="left"/>
                    <w:rPr>
                      <w:b/>
                      <w:bCs/>
                      <w:kern w:val="0"/>
                      <w:szCs w:val="21"/>
                    </w:rPr>
                  </w:pPr>
                </w:p>
              </w:tc>
              <w:tc>
                <w:tcPr>
                  <w:tcW w:w="385" w:type="pct"/>
                  <w:shd w:val="clear" w:color="auto" w:fill="auto"/>
                  <w:vAlign w:val="center"/>
                </w:tcPr>
                <w:p w14:paraId="017D24A6">
                  <w:pPr>
                    <w:widowControl/>
                    <w:jc w:val="center"/>
                    <w:rPr>
                      <w:b/>
                      <w:bCs/>
                      <w:kern w:val="0"/>
                      <w:szCs w:val="21"/>
                    </w:rPr>
                  </w:pPr>
                  <w:r>
                    <w:rPr>
                      <w:b/>
                      <w:bCs/>
                      <w:kern w:val="0"/>
                      <w:szCs w:val="21"/>
                    </w:rPr>
                    <w:t>X</w:t>
                  </w:r>
                </w:p>
              </w:tc>
              <w:tc>
                <w:tcPr>
                  <w:tcW w:w="385" w:type="pct"/>
                  <w:shd w:val="clear" w:color="auto" w:fill="auto"/>
                  <w:vAlign w:val="center"/>
                </w:tcPr>
                <w:p w14:paraId="38F39C9E">
                  <w:pPr>
                    <w:widowControl/>
                    <w:jc w:val="center"/>
                    <w:rPr>
                      <w:b/>
                      <w:bCs/>
                      <w:kern w:val="0"/>
                      <w:szCs w:val="21"/>
                    </w:rPr>
                  </w:pPr>
                  <w:r>
                    <w:rPr>
                      <w:b/>
                      <w:bCs/>
                      <w:kern w:val="0"/>
                      <w:szCs w:val="21"/>
                    </w:rPr>
                    <w:t>Y</w:t>
                  </w:r>
                </w:p>
              </w:tc>
              <w:tc>
                <w:tcPr>
                  <w:tcW w:w="385" w:type="pct"/>
                  <w:shd w:val="clear" w:color="auto" w:fill="auto"/>
                  <w:vAlign w:val="center"/>
                </w:tcPr>
                <w:p w14:paraId="74CC2899">
                  <w:pPr>
                    <w:widowControl/>
                    <w:jc w:val="center"/>
                    <w:rPr>
                      <w:b/>
                      <w:bCs/>
                      <w:kern w:val="0"/>
                      <w:szCs w:val="21"/>
                    </w:rPr>
                  </w:pPr>
                  <w:r>
                    <w:rPr>
                      <w:b/>
                      <w:bCs/>
                      <w:kern w:val="0"/>
                      <w:szCs w:val="21"/>
                    </w:rPr>
                    <w:t>Z</w:t>
                  </w:r>
                </w:p>
              </w:tc>
              <w:tc>
                <w:tcPr>
                  <w:tcW w:w="385" w:type="pct"/>
                  <w:vMerge w:val="continue"/>
                  <w:vAlign w:val="center"/>
                </w:tcPr>
                <w:p w14:paraId="573E5AA9">
                  <w:pPr>
                    <w:widowControl/>
                    <w:jc w:val="left"/>
                    <w:rPr>
                      <w:b/>
                      <w:bCs/>
                      <w:kern w:val="0"/>
                      <w:szCs w:val="21"/>
                    </w:rPr>
                  </w:pPr>
                </w:p>
              </w:tc>
              <w:tc>
                <w:tcPr>
                  <w:tcW w:w="385" w:type="pct"/>
                  <w:vMerge w:val="continue"/>
                  <w:vAlign w:val="center"/>
                </w:tcPr>
                <w:p w14:paraId="0E28E096">
                  <w:pPr>
                    <w:widowControl/>
                    <w:jc w:val="left"/>
                    <w:rPr>
                      <w:b/>
                      <w:bCs/>
                      <w:kern w:val="0"/>
                      <w:szCs w:val="21"/>
                    </w:rPr>
                  </w:pPr>
                </w:p>
              </w:tc>
              <w:tc>
                <w:tcPr>
                  <w:tcW w:w="385" w:type="pct"/>
                  <w:vMerge w:val="continue"/>
                  <w:vAlign w:val="center"/>
                </w:tcPr>
                <w:p w14:paraId="513C9024">
                  <w:pPr>
                    <w:widowControl/>
                    <w:jc w:val="left"/>
                    <w:rPr>
                      <w:b/>
                      <w:bCs/>
                      <w:kern w:val="0"/>
                      <w:szCs w:val="21"/>
                    </w:rPr>
                  </w:pPr>
                </w:p>
              </w:tc>
              <w:tc>
                <w:tcPr>
                  <w:tcW w:w="385" w:type="pct"/>
                  <w:vMerge w:val="continue"/>
                  <w:vAlign w:val="center"/>
                </w:tcPr>
                <w:p w14:paraId="1B729105">
                  <w:pPr>
                    <w:widowControl/>
                    <w:jc w:val="left"/>
                    <w:rPr>
                      <w:b/>
                      <w:bCs/>
                      <w:kern w:val="0"/>
                      <w:szCs w:val="21"/>
                    </w:rPr>
                  </w:pPr>
                </w:p>
              </w:tc>
              <w:tc>
                <w:tcPr>
                  <w:tcW w:w="385" w:type="pct"/>
                  <w:shd w:val="clear" w:color="auto" w:fill="auto"/>
                  <w:vAlign w:val="center"/>
                </w:tcPr>
                <w:p w14:paraId="15321B6D">
                  <w:pPr>
                    <w:widowControl/>
                    <w:jc w:val="center"/>
                    <w:rPr>
                      <w:b/>
                      <w:bCs/>
                      <w:kern w:val="0"/>
                      <w:szCs w:val="21"/>
                    </w:rPr>
                  </w:pPr>
                  <w:r>
                    <w:rPr>
                      <w:b/>
                      <w:bCs/>
                      <w:kern w:val="0"/>
                      <w:szCs w:val="21"/>
                    </w:rPr>
                    <w:t>声压级/dB(A)</w:t>
                  </w:r>
                </w:p>
              </w:tc>
              <w:tc>
                <w:tcPr>
                  <w:tcW w:w="380" w:type="pct"/>
                  <w:shd w:val="clear" w:color="auto" w:fill="auto"/>
                  <w:vAlign w:val="center"/>
                </w:tcPr>
                <w:p w14:paraId="3E52D753">
                  <w:pPr>
                    <w:widowControl/>
                    <w:jc w:val="center"/>
                    <w:rPr>
                      <w:b/>
                      <w:bCs/>
                      <w:kern w:val="0"/>
                      <w:szCs w:val="21"/>
                    </w:rPr>
                  </w:pPr>
                  <w:r>
                    <w:rPr>
                      <w:b/>
                      <w:bCs/>
                      <w:kern w:val="0"/>
                      <w:szCs w:val="21"/>
                    </w:rPr>
                    <w:t>建筑物外距离/m</w:t>
                  </w:r>
                </w:p>
              </w:tc>
            </w:tr>
            <w:tr w14:paraId="7B7BC4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5" w:type="pct"/>
                  <w:shd w:val="clear" w:color="auto" w:fill="auto"/>
                  <w:vAlign w:val="center"/>
                </w:tcPr>
                <w:p w14:paraId="34D317E3">
                  <w:pPr>
                    <w:widowControl/>
                    <w:jc w:val="center"/>
                    <w:rPr>
                      <w:kern w:val="0"/>
                      <w:szCs w:val="21"/>
                    </w:rPr>
                  </w:pPr>
                  <w:r>
                    <w:rPr>
                      <w:kern w:val="0"/>
                      <w:szCs w:val="21"/>
                    </w:rPr>
                    <w:t>1</w:t>
                  </w:r>
                </w:p>
              </w:tc>
              <w:tc>
                <w:tcPr>
                  <w:tcW w:w="385" w:type="pct"/>
                  <w:shd w:val="clear" w:color="auto" w:fill="auto"/>
                  <w:vAlign w:val="center"/>
                </w:tcPr>
                <w:p w14:paraId="214829F2">
                  <w:pPr>
                    <w:widowControl/>
                    <w:jc w:val="center"/>
                    <w:rPr>
                      <w:kern w:val="0"/>
                      <w:szCs w:val="21"/>
                    </w:rPr>
                  </w:pPr>
                  <w:r>
                    <w:rPr>
                      <w:kern w:val="0"/>
                      <w:szCs w:val="21"/>
                    </w:rPr>
                    <w:t>离心通风机</w:t>
                  </w:r>
                </w:p>
              </w:tc>
              <w:tc>
                <w:tcPr>
                  <w:tcW w:w="385" w:type="pct"/>
                  <w:shd w:val="clear" w:color="auto" w:fill="auto"/>
                  <w:vAlign w:val="center"/>
                </w:tcPr>
                <w:p w14:paraId="687DF184">
                  <w:pPr>
                    <w:widowControl/>
                    <w:jc w:val="center"/>
                    <w:rPr>
                      <w:kern w:val="0"/>
                      <w:szCs w:val="21"/>
                    </w:rPr>
                  </w:pPr>
                  <w:r>
                    <w:rPr>
                      <w:kern w:val="0"/>
                      <w:szCs w:val="21"/>
                    </w:rPr>
                    <w:t>9</w:t>
                  </w:r>
                </w:p>
              </w:tc>
              <w:tc>
                <w:tcPr>
                  <w:tcW w:w="385" w:type="pct"/>
                  <w:vMerge w:val="restart"/>
                  <w:shd w:val="clear" w:color="auto" w:fill="auto"/>
                  <w:vAlign w:val="center"/>
                </w:tcPr>
                <w:p w14:paraId="42A75588">
                  <w:pPr>
                    <w:widowControl/>
                    <w:jc w:val="center"/>
                    <w:rPr>
                      <w:kern w:val="0"/>
                      <w:szCs w:val="21"/>
                    </w:rPr>
                  </w:pPr>
                  <w:r>
                    <w:rPr>
                      <w:kern w:val="0"/>
                      <w:szCs w:val="21"/>
                    </w:rPr>
                    <w:t>厂房隔声、设备减振</w:t>
                  </w:r>
                </w:p>
              </w:tc>
              <w:tc>
                <w:tcPr>
                  <w:tcW w:w="385" w:type="pct"/>
                  <w:shd w:val="clear" w:color="auto" w:fill="auto"/>
                  <w:noWrap/>
                  <w:vAlign w:val="center"/>
                </w:tcPr>
                <w:p w14:paraId="2889108F">
                  <w:pPr>
                    <w:widowControl/>
                    <w:jc w:val="center"/>
                    <w:rPr>
                      <w:kern w:val="0"/>
                      <w:sz w:val="22"/>
                      <w:szCs w:val="22"/>
                    </w:rPr>
                  </w:pPr>
                  <w:r>
                    <w:rPr>
                      <w:kern w:val="0"/>
                      <w:sz w:val="22"/>
                      <w:szCs w:val="22"/>
                    </w:rPr>
                    <w:t>869.7</w:t>
                  </w:r>
                </w:p>
              </w:tc>
              <w:tc>
                <w:tcPr>
                  <w:tcW w:w="385" w:type="pct"/>
                  <w:shd w:val="clear" w:color="auto" w:fill="auto"/>
                  <w:noWrap/>
                  <w:vAlign w:val="center"/>
                </w:tcPr>
                <w:p w14:paraId="2D4D02BC">
                  <w:pPr>
                    <w:widowControl/>
                    <w:jc w:val="center"/>
                    <w:rPr>
                      <w:kern w:val="0"/>
                      <w:sz w:val="22"/>
                      <w:szCs w:val="22"/>
                    </w:rPr>
                  </w:pPr>
                  <w:r>
                    <w:rPr>
                      <w:kern w:val="0"/>
                      <w:sz w:val="22"/>
                      <w:szCs w:val="22"/>
                    </w:rPr>
                    <w:t>342.3</w:t>
                  </w:r>
                </w:p>
              </w:tc>
              <w:tc>
                <w:tcPr>
                  <w:tcW w:w="385" w:type="pct"/>
                  <w:shd w:val="clear" w:color="auto" w:fill="auto"/>
                  <w:vAlign w:val="center"/>
                </w:tcPr>
                <w:p w14:paraId="7E6EB664">
                  <w:pPr>
                    <w:widowControl/>
                    <w:jc w:val="center"/>
                    <w:rPr>
                      <w:kern w:val="0"/>
                      <w:szCs w:val="21"/>
                    </w:rPr>
                  </w:pPr>
                  <w:r>
                    <w:rPr>
                      <w:kern w:val="0"/>
                      <w:szCs w:val="21"/>
                    </w:rPr>
                    <w:t>10</w:t>
                  </w:r>
                </w:p>
              </w:tc>
              <w:tc>
                <w:tcPr>
                  <w:tcW w:w="385" w:type="pct"/>
                  <w:shd w:val="clear" w:color="auto" w:fill="auto"/>
                  <w:vAlign w:val="center"/>
                </w:tcPr>
                <w:p w14:paraId="78582132">
                  <w:pPr>
                    <w:widowControl/>
                    <w:jc w:val="center"/>
                    <w:rPr>
                      <w:kern w:val="0"/>
                      <w:szCs w:val="21"/>
                    </w:rPr>
                  </w:pPr>
                  <w:r>
                    <w:rPr>
                      <w:kern w:val="0"/>
                      <w:szCs w:val="21"/>
                    </w:rPr>
                    <w:t>8</w:t>
                  </w:r>
                </w:p>
              </w:tc>
              <w:tc>
                <w:tcPr>
                  <w:tcW w:w="385" w:type="pct"/>
                  <w:shd w:val="clear" w:color="auto" w:fill="auto"/>
                  <w:vAlign w:val="center"/>
                </w:tcPr>
                <w:p w14:paraId="67FE7991">
                  <w:pPr>
                    <w:widowControl/>
                    <w:jc w:val="center"/>
                    <w:rPr>
                      <w:kern w:val="0"/>
                      <w:szCs w:val="21"/>
                    </w:rPr>
                  </w:pPr>
                  <w:r>
                    <w:rPr>
                      <w:kern w:val="0"/>
                      <w:szCs w:val="21"/>
                    </w:rPr>
                    <w:t>90</w:t>
                  </w:r>
                </w:p>
              </w:tc>
              <w:tc>
                <w:tcPr>
                  <w:tcW w:w="385" w:type="pct"/>
                  <w:vMerge w:val="restart"/>
                  <w:shd w:val="clear" w:color="auto" w:fill="auto"/>
                  <w:vAlign w:val="center"/>
                </w:tcPr>
                <w:p w14:paraId="288A9A00">
                  <w:pPr>
                    <w:widowControl/>
                    <w:jc w:val="center"/>
                    <w:rPr>
                      <w:kern w:val="0"/>
                      <w:szCs w:val="21"/>
                    </w:rPr>
                  </w:pPr>
                  <w:r>
                    <w:rPr>
                      <w:kern w:val="0"/>
                      <w:szCs w:val="21"/>
                    </w:rPr>
                    <w:t>24h</w:t>
                  </w:r>
                </w:p>
              </w:tc>
              <w:tc>
                <w:tcPr>
                  <w:tcW w:w="385" w:type="pct"/>
                  <w:vMerge w:val="restart"/>
                  <w:shd w:val="clear" w:color="auto" w:fill="auto"/>
                  <w:vAlign w:val="center"/>
                </w:tcPr>
                <w:p w14:paraId="6842C22C">
                  <w:pPr>
                    <w:widowControl/>
                    <w:jc w:val="center"/>
                    <w:rPr>
                      <w:kern w:val="0"/>
                      <w:szCs w:val="21"/>
                    </w:rPr>
                  </w:pPr>
                  <w:r>
                    <w:rPr>
                      <w:kern w:val="0"/>
                      <w:szCs w:val="21"/>
                    </w:rPr>
                    <w:t>20</w:t>
                  </w:r>
                </w:p>
              </w:tc>
              <w:tc>
                <w:tcPr>
                  <w:tcW w:w="385" w:type="pct"/>
                  <w:shd w:val="clear" w:color="auto" w:fill="auto"/>
                  <w:vAlign w:val="center"/>
                </w:tcPr>
                <w:p w14:paraId="641FF975">
                  <w:pPr>
                    <w:widowControl/>
                    <w:jc w:val="center"/>
                    <w:rPr>
                      <w:kern w:val="0"/>
                      <w:szCs w:val="21"/>
                    </w:rPr>
                  </w:pPr>
                  <w:r>
                    <w:rPr>
                      <w:kern w:val="0"/>
                      <w:szCs w:val="21"/>
                    </w:rPr>
                    <w:t>70</w:t>
                  </w:r>
                </w:p>
              </w:tc>
              <w:tc>
                <w:tcPr>
                  <w:tcW w:w="380" w:type="pct"/>
                  <w:shd w:val="clear" w:color="auto" w:fill="auto"/>
                  <w:vAlign w:val="center"/>
                </w:tcPr>
                <w:p w14:paraId="39B1F7CA">
                  <w:pPr>
                    <w:widowControl/>
                    <w:jc w:val="center"/>
                    <w:rPr>
                      <w:kern w:val="0"/>
                      <w:szCs w:val="21"/>
                    </w:rPr>
                  </w:pPr>
                  <w:r>
                    <w:rPr>
                      <w:kern w:val="0"/>
                      <w:szCs w:val="21"/>
                    </w:rPr>
                    <w:t>1</w:t>
                  </w:r>
                </w:p>
              </w:tc>
            </w:tr>
            <w:tr w14:paraId="3E252D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85" w:type="pct"/>
                  <w:shd w:val="clear" w:color="auto" w:fill="auto"/>
                  <w:vAlign w:val="center"/>
                </w:tcPr>
                <w:p w14:paraId="5633B3A0">
                  <w:pPr>
                    <w:widowControl/>
                    <w:jc w:val="center"/>
                    <w:rPr>
                      <w:kern w:val="0"/>
                      <w:szCs w:val="21"/>
                    </w:rPr>
                  </w:pPr>
                  <w:r>
                    <w:rPr>
                      <w:kern w:val="0"/>
                      <w:szCs w:val="21"/>
                    </w:rPr>
                    <w:t>2</w:t>
                  </w:r>
                </w:p>
              </w:tc>
              <w:tc>
                <w:tcPr>
                  <w:tcW w:w="385" w:type="pct"/>
                  <w:shd w:val="clear" w:color="auto" w:fill="auto"/>
                  <w:vAlign w:val="center"/>
                </w:tcPr>
                <w:p w14:paraId="187ED845">
                  <w:pPr>
                    <w:widowControl/>
                    <w:jc w:val="center"/>
                    <w:rPr>
                      <w:kern w:val="0"/>
                      <w:szCs w:val="21"/>
                    </w:rPr>
                  </w:pPr>
                  <w:r>
                    <w:rPr>
                      <w:kern w:val="0"/>
                      <w:szCs w:val="21"/>
                    </w:rPr>
                    <w:t>隔膜泵</w:t>
                  </w:r>
                </w:p>
              </w:tc>
              <w:tc>
                <w:tcPr>
                  <w:tcW w:w="385" w:type="pct"/>
                  <w:shd w:val="clear" w:color="auto" w:fill="auto"/>
                  <w:vAlign w:val="center"/>
                </w:tcPr>
                <w:p w14:paraId="553B8C0F">
                  <w:pPr>
                    <w:widowControl/>
                    <w:jc w:val="center"/>
                    <w:rPr>
                      <w:kern w:val="0"/>
                      <w:szCs w:val="21"/>
                    </w:rPr>
                  </w:pPr>
                  <w:r>
                    <w:rPr>
                      <w:kern w:val="0"/>
                      <w:szCs w:val="21"/>
                    </w:rPr>
                    <w:t>12</w:t>
                  </w:r>
                </w:p>
              </w:tc>
              <w:tc>
                <w:tcPr>
                  <w:tcW w:w="385" w:type="pct"/>
                  <w:vMerge w:val="continue"/>
                  <w:vAlign w:val="center"/>
                </w:tcPr>
                <w:p w14:paraId="6878EFBE">
                  <w:pPr>
                    <w:widowControl/>
                    <w:jc w:val="left"/>
                    <w:rPr>
                      <w:kern w:val="0"/>
                      <w:szCs w:val="21"/>
                    </w:rPr>
                  </w:pPr>
                </w:p>
              </w:tc>
              <w:tc>
                <w:tcPr>
                  <w:tcW w:w="385" w:type="pct"/>
                  <w:shd w:val="clear" w:color="auto" w:fill="auto"/>
                  <w:vAlign w:val="center"/>
                </w:tcPr>
                <w:p w14:paraId="02923321">
                  <w:pPr>
                    <w:widowControl/>
                    <w:jc w:val="center"/>
                    <w:rPr>
                      <w:kern w:val="0"/>
                      <w:szCs w:val="21"/>
                    </w:rPr>
                  </w:pPr>
                  <w:r>
                    <w:rPr>
                      <w:kern w:val="0"/>
                      <w:szCs w:val="21"/>
                    </w:rPr>
                    <w:t>647.7</w:t>
                  </w:r>
                </w:p>
              </w:tc>
              <w:tc>
                <w:tcPr>
                  <w:tcW w:w="385" w:type="pct"/>
                  <w:shd w:val="clear" w:color="auto" w:fill="auto"/>
                  <w:vAlign w:val="center"/>
                </w:tcPr>
                <w:p w14:paraId="3DC02A11">
                  <w:pPr>
                    <w:widowControl/>
                    <w:jc w:val="center"/>
                    <w:rPr>
                      <w:kern w:val="0"/>
                      <w:szCs w:val="21"/>
                    </w:rPr>
                  </w:pPr>
                  <w:r>
                    <w:rPr>
                      <w:kern w:val="0"/>
                      <w:szCs w:val="21"/>
                    </w:rPr>
                    <w:t>292.3</w:t>
                  </w:r>
                </w:p>
              </w:tc>
              <w:tc>
                <w:tcPr>
                  <w:tcW w:w="385" w:type="pct"/>
                  <w:shd w:val="clear" w:color="auto" w:fill="auto"/>
                  <w:vAlign w:val="center"/>
                </w:tcPr>
                <w:p w14:paraId="101AA70C">
                  <w:pPr>
                    <w:widowControl/>
                    <w:jc w:val="center"/>
                    <w:rPr>
                      <w:kern w:val="0"/>
                      <w:szCs w:val="21"/>
                    </w:rPr>
                  </w:pPr>
                  <w:r>
                    <w:rPr>
                      <w:kern w:val="0"/>
                      <w:szCs w:val="21"/>
                    </w:rPr>
                    <w:t>10</w:t>
                  </w:r>
                </w:p>
              </w:tc>
              <w:tc>
                <w:tcPr>
                  <w:tcW w:w="385" w:type="pct"/>
                  <w:shd w:val="clear" w:color="auto" w:fill="auto"/>
                  <w:vAlign w:val="center"/>
                </w:tcPr>
                <w:p w14:paraId="69872BCF">
                  <w:pPr>
                    <w:widowControl/>
                    <w:jc w:val="center"/>
                    <w:rPr>
                      <w:kern w:val="0"/>
                      <w:szCs w:val="21"/>
                    </w:rPr>
                  </w:pPr>
                  <w:r>
                    <w:rPr>
                      <w:kern w:val="0"/>
                      <w:szCs w:val="21"/>
                    </w:rPr>
                    <w:t>10</w:t>
                  </w:r>
                </w:p>
              </w:tc>
              <w:tc>
                <w:tcPr>
                  <w:tcW w:w="385" w:type="pct"/>
                  <w:shd w:val="clear" w:color="auto" w:fill="auto"/>
                  <w:vAlign w:val="center"/>
                </w:tcPr>
                <w:p w14:paraId="01A883BD">
                  <w:pPr>
                    <w:widowControl/>
                    <w:jc w:val="center"/>
                    <w:rPr>
                      <w:kern w:val="0"/>
                      <w:szCs w:val="21"/>
                    </w:rPr>
                  </w:pPr>
                  <w:r>
                    <w:rPr>
                      <w:kern w:val="0"/>
                      <w:szCs w:val="21"/>
                    </w:rPr>
                    <w:t>85</w:t>
                  </w:r>
                </w:p>
              </w:tc>
              <w:tc>
                <w:tcPr>
                  <w:tcW w:w="385" w:type="pct"/>
                  <w:vMerge w:val="continue"/>
                  <w:vAlign w:val="center"/>
                </w:tcPr>
                <w:p w14:paraId="38D28D7A">
                  <w:pPr>
                    <w:widowControl/>
                    <w:jc w:val="left"/>
                    <w:rPr>
                      <w:kern w:val="0"/>
                      <w:szCs w:val="21"/>
                    </w:rPr>
                  </w:pPr>
                </w:p>
              </w:tc>
              <w:tc>
                <w:tcPr>
                  <w:tcW w:w="385" w:type="pct"/>
                  <w:vMerge w:val="continue"/>
                  <w:vAlign w:val="center"/>
                </w:tcPr>
                <w:p w14:paraId="008A546C">
                  <w:pPr>
                    <w:widowControl/>
                    <w:jc w:val="left"/>
                    <w:rPr>
                      <w:kern w:val="0"/>
                      <w:szCs w:val="21"/>
                    </w:rPr>
                  </w:pPr>
                </w:p>
              </w:tc>
              <w:tc>
                <w:tcPr>
                  <w:tcW w:w="385" w:type="pct"/>
                  <w:shd w:val="clear" w:color="auto" w:fill="auto"/>
                  <w:vAlign w:val="center"/>
                </w:tcPr>
                <w:p w14:paraId="55D55CAB">
                  <w:pPr>
                    <w:widowControl/>
                    <w:jc w:val="center"/>
                    <w:rPr>
                      <w:kern w:val="0"/>
                      <w:szCs w:val="21"/>
                    </w:rPr>
                  </w:pPr>
                  <w:r>
                    <w:rPr>
                      <w:kern w:val="0"/>
                      <w:szCs w:val="21"/>
                    </w:rPr>
                    <w:t>65</w:t>
                  </w:r>
                </w:p>
              </w:tc>
              <w:tc>
                <w:tcPr>
                  <w:tcW w:w="380" w:type="pct"/>
                  <w:shd w:val="clear" w:color="auto" w:fill="auto"/>
                  <w:vAlign w:val="center"/>
                </w:tcPr>
                <w:p w14:paraId="7550F71E">
                  <w:pPr>
                    <w:widowControl/>
                    <w:jc w:val="center"/>
                    <w:rPr>
                      <w:kern w:val="0"/>
                      <w:szCs w:val="21"/>
                    </w:rPr>
                  </w:pPr>
                  <w:r>
                    <w:rPr>
                      <w:kern w:val="0"/>
                      <w:szCs w:val="21"/>
                    </w:rPr>
                    <w:t>1</w:t>
                  </w:r>
                </w:p>
              </w:tc>
            </w:tr>
            <w:tr w14:paraId="4D18A0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5" w:type="pct"/>
                  <w:shd w:val="clear" w:color="auto" w:fill="auto"/>
                  <w:vAlign w:val="center"/>
                </w:tcPr>
                <w:p w14:paraId="335E3E33">
                  <w:pPr>
                    <w:widowControl/>
                    <w:jc w:val="center"/>
                    <w:rPr>
                      <w:kern w:val="0"/>
                      <w:szCs w:val="21"/>
                    </w:rPr>
                  </w:pPr>
                  <w:r>
                    <w:rPr>
                      <w:kern w:val="0"/>
                      <w:szCs w:val="21"/>
                    </w:rPr>
                    <w:t>3</w:t>
                  </w:r>
                </w:p>
              </w:tc>
              <w:tc>
                <w:tcPr>
                  <w:tcW w:w="385" w:type="pct"/>
                  <w:shd w:val="clear" w:color="auto" w:fill="auto"/>
                  <w:vAlign w:val="center"/>
                </w:tcPr>
                <w:p w14:paraId="4184F11C">
                  <w:pPr>
                    <w:widowControl/>
                    <w:jc w:val="center"/>
                    <w:rPr>
                      <w:kern w:val="0"/>
                      <w:szCs w:val="21"/>
                    </w:rPr>
                  </w:pPr>
                  <w:r>
                    <w:rPr>
                      <w:kern w:val="0"/>
                      <w:szCs w:val="21"/>
                    </w:rPr>
                    <w:t>离心通风机</w:t>
                  </w:r>
                </w:p>
              </w:tc>
              <w:tc>
                <w:tcPr>
                  <w:tcW w:w="385" w:type="pct"/>
                  <w:shd w:val="clear" w:color="auto" w:fill="auto"/>
                  <w:vAlign w:val="center"/>
                </w:tcPr>
                <w:p w14:paraId="24229D0F">
                  <w:pPr>
                    <w:widowControl/>
                    <w:jc w:val="center"/>
                    <w:rPr>
                      <w:kern w:val="0"/>
                      <w:szCs w:val="21"/>
                    </w:rPr>
                  </w:pPr>
                  <w:r>
                    <w:rPr>
                      <w:kern w:val="0"/>
                      <w:szCs w:val="21"/>
                    </w:rPr>
                    <w:t>9</w:t>
                  </w:r>
                </w:p>
              </w:tc>
              <w:tc>
                <w:tcPr>
                  <w:tcW w:w="385" w:type="pct"/>
                  <w:vMerge w:val="continue"/>
                  <w:vAlign w:val="center"/>
                </w:tcPr>
                <w:p w14:paraId="5EF012C7">
                  <w:pPr>
                    <w:widowControl/>
                    <w:jc w:val="left"/>
                    <w:rPr>
                      <w:kern w:val="0"/>
                      <w:szCs w:val="21"/>
                    </w:rPr>
                  </w:pPr>
                </w:p>
              </w:tc>
              <w:tc>
                <w:tcPr>
                  <w:tcW w:w="385" w:type="pct"/>
                  <w:shd w:val="clear" w:color="auto" w:fill="auto"/>
                  <w:noWrap/>
                  <w:vAlign w:val="center"/>
                </w:tcPr>
                <w:p w14:paraId="3B0D3D53">
                  <w:pPr>
                    <w:widowControl/>
                    <w:jc w:val="center"/>
                    <w:rPr>
                      <w:kern w:val="0"/>
                      <w:sz w:val="22"/>
                      <w:szCs w:val="22"/>
                    </w:rPr>
                  </w:pPr>
                  <w:r>
                    <w:rPr>
                      <w:kern w:val="0"/>
                      <w:sz w:val="22"/>
                      <w:szCs w:val="22"/>
                    </w:rPr>
                    <w:t>869.7</w:t>
                  </w:r>
                </w:p>
              </w:tc>
              <w:tc>
                <w:tcPr>
                  <w:tcW w:w="385" w:type="pct"/>
                  <w:shd w:val="clear" w:color="auto" w:fill="auto"/>
                  <w:noWrap/>
                  <w:vAlign w:val="center"/>
                </w:tcPr>
                <w:p w14:paraId="05F67B9D">
                  <w:pPr>
                    <w:widowControl/>
                    <w:jc w:val="center"/>
                    <w:rPr>
                      <w:kern w:val="0"/>
                      <w:sz w:val="22"/>
                      <w:szCs w:val="22"/>
                    </w:rPr>
                  </w:pPr>
                  <w:r>
                    <w:rPr>
                      <w:kern w:val="0"/>
                      <w:sz w:val="22"/>
                      <w:szCs w:val="22"/>
                    </w:rPr>
                    <w:t>342.3</w:t>
                  </w:r>
                </w:p>
              </w:tc>
              <w:tc>
                <w:tcPr>
                  <w:tcW w:w="385" w:type="pct"/>
                  <w:shd w:val="clear" w:color="auto" w:fill="auto"/>
                  <w:vAlign w:val="center"/>
                </w:tcPr>
                <w:p w14:paraId="5BF0DD12">
                  <w:pPr>
                    <w:widowControl/>
                    <w:jc w:val="center"/>
                    <w:rPr>
                      <w:kern w:val="0"/>
                      <w:szCs w:val="21"/>
                    </w:rPr>
                  </w:pPr>
                  <w:r>
                    <w:rPr>
                      <w:kern w:val="0"/>
                      <w:szCs w:val="21"/>
                    </w:rPr>
                    <w:t>15</w:t>
                  </w:r>
                </w:p>
              </w:tc>
              <w:tc>
                <w:tcPr>
                  <w:tcW w:w="385" w:type="pct"/>
                  <w:shd w:val="clear" w:color="auto" w:fill="auto"/>
                  <w:vAlign w:val="center"/>
                </w:tcPr>
                <w:p w14:paraId="425DEDBB">
                  <w:pPr>
                    <w:widowControl/>
                    <w:jc w:val="center"/>
                    <w:rPr>
                      <w:kern w:val="0"/>
                      <w:szCs w:val="21"/>
                    </w:rPr>
                  </w:pPr>
                  <w:r>
                    <w:rPr>
                      <w:kern w:val="0"/>
                      <w:szCs w:val="21"/>
                    </w:rPr>
                    <w:t>8</w:t>
                  </w:r>
                </w:p>
              </w:tc>
              <w:tc>
                <w:tcPr>
                  <w:tcW w:w="385" w:type="pct"/>
                  <w:shd w:val="clear" w:color="auto" w:fill="auto"/>
                  <w:vAlign w:val="center"/>
                </w:tcPr>
                <w:p w14:paraId="2875F1E2">
                  <w:pPr>
                    <w:widowControl/>
                    <w:jc w:val="center"/>
                    <w:rPr>
                      <w:kern w:val="0"/>
                      <w:szCs w:val="21"/>
                    </w:rPr>
                  </w:pPr>
                  <w:r>
                    <w:rPr>
                      <w:kern w:val="0"/>
                      <w:szCs w:val="21"/>
                    </w:rPr>
                    <w:t>90</w:t>
                  </w:r>
                </w:p>
              </w:tc>
              <w:tc>
                <w:tcPr>
                  <w:tcW w:w="385" w:type="pct"/>
                  <w:vMerge w:val="continue"/>
                  <w:vAlign w:val="center"/>
                </w:tcPr>
                <w:p w14:paraId="4FCD2180">
                  <w:pPr>
                    <w:widowControl/>
                    <w:jc w:val="left"/>
                    <w:rPr>
                      <w:kern w:val="0"/>
                      <w:szCs w:val="21"/>
                    </w:rPr>
                  </w:pPr>
                </w:p>
              </w:tc>
              <w:tc>
                <w:tcPr>
                  <w:tcW w:w="385" w:type="pct"/>
                  <w:vMerge w:val="continue"/>
                  <w:vAlign w:val="center"/>
                </w:tcPr>
                <w:p w14:paraId="0B8B0066">
                  <w:pPr>
                    <w:widowControl/>
                    <w:jc w:val="left"/>
                    <w:rPr>
                      <w:kern w:val="0"/>
                      <w:szCs w:val="21"/>
                    </w:rPr>
                  </w:pPr>
                </w:p>
              </w:tc>
              <w:tc>
                <w:tcPr>
                  <w:tcW w:w="385" w:type="pct"/>
                  <w:shd w:val="clear" w:color="auto" w:fill="auto"/>
                  <w:vAlign w:val="center"/>
                </w:tcPr>
                <w:p w14:paraId="6E9AF4CF">
                  <w:pPr>
                    <w:widowControl/>
                    <w:jc w:val="center"/>
                    <w:rPr>
                      <w:kern w:val="0"/>
                      <w:szCs w:val="21"/>
                    </w:rPr>
                  </w:pPr>
                  <w:r>
                    <w:rPr>
                      <w:kern w:val="0"/>
                      <w:szCs w:val="21"/>
                    </w:rPr>
                    <w:t>70</w:t>
                  </w:r>
                </w:p>
              </w:tc>
              <w:tc>
                <w:tcPr>
                  <w:tcW w:w="380" w:type="pct"/>
                  <w:shd w:val="clear" w:color="auto" w:fill="auto"/>
                  <w:vAlign w:val="center"/>
                </w:tcPr>
                <w:p w14:paraId="49AEAC66">
                  <w:pPr>
                    <w:widowControl/>
                    <w:jc w:val="center"/>
                    <w:rPr>
                      <w:kern w:val="0"/>
                      <w:szCs w:val="21"/>
                    </w:rPr>
                  </w:pPr>
                  <w:r>
                    <w:rPr>
                      <w:kern w:val="0"/>
                      <w:szCs w:val="21"/>
                    </w:rPr>
                    <w:t>1</w:t>
                  </w:r>
                </w:p>
              </w:tc>
            </w:tr>
            <w:tr w14:paraId="16D76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85" w:type="pct"/>
                  <w:shd w:val="clear" w:color="auto" w:fill="auto"/>
                  <w:vAlign w:val="center"/>
                </w:tcPr>
                <w:p w14:paraId="44E5053E">
                  <w:pPr>
                    <w:widowControl/>
                    <w:jc w:val="center"/>
                    <w:rPr>
                      <w:kern w:val="0"/>
                      <w:szCs w:val="21"/>
                    </w:rPr>
                  </w:pPr>
                  <w:r>
                    <w:rPr>
                      <w:kern w:val="0"/>
                      <w:szCs w:val="21"/>
                    </w:rPr>
                    <w:t>4</w:t>
                  </w:r>
                </w:p>
              </w:tc>
              <w:tc>
                <w:tcPr>
                  <w:tcW w:w="385" w:type="pct"/>
                  <w:shd w:val="clear" w:color="auto" w:fill="auto"/>
                  <w:vAlign w:val="center"/>
                </w:tcPr>
                <w:p w14:paraId="2106F49E">
                  <w:pPr>
                    <w:widowControl/>
                    <w:jc w:val="center"/>
                    <w:rPr>
                      <w:kern w:val="0"/>
                      <w:szCs w:val="21"/>
                    </w:rPr>
                  </w:pPr>
                  <w:r>
                    <w:rPr>
                      <w:kern w:val="0"/>
                      <w:szCs w:val="21"/>
                    </w:rPr>
                    <w:t>离心泵</w:t>
                  </w:r>
                </w:p>
              </w:tc>
              <w:tc>
                <w:tcPr>
                  <w:tcW w:w="385" w:type="pct"/>
                  <w:shd w:val="clear" w:color="auto" w:fill="auto"/>
                  <w:vAlign w:val="center"/>
                </w:tcPr>
                <w:p w14:paraId="22E303C1">
                  <w:pPr>
                    <w:widowControl/>
                    <w:jc w:val="center"/>
                    <w:rPr>
                      <w:kern w:val="0"/>
                      <w:szCs w:val="21"/>
                    </w:rPr>
                  </w:pPr>
                  <w:r>
                    <w:rPr>
                      <w:kern w:val="0"/>
                      <w:szCs w:val="21"/>
                    </w:rPr>
                    <w:t>19</w:t>
                  </w:r>
                </w:p>
              </w:tc>
              <w:tc>
                <w:tcPr>
                  <w:tcW w:w="385" w:type="pct"/>
                  <w:vMerge w:val="continue"/>
                  <w:vAlign w:val="center"/>
                </w:tcPr>
                <w:p w14:paraId="7A13B8FC">
                  <w:pPr>
                    <w:widowControl/>
                    <w:jc w:val="left"/>
                    <w:rPr>
                      <w:kern w:val="0"/>
                      <w:szCs w:val="21"/>
                    </w:rPr>
                  </w:pPr>
                </w:p>
              </w:tc>
              <w:tc>
                <w:tcPr>
                  <w:tcW w:w="385" w:type="pct"/>
                  <w:shd w:val="clear" w:color="auto" w:fill="auto"/>
                  <w:vAlign w:val="center"/>
                </w:tcPr>
                <w:p w14:paraId="61AC8C63">
                  <w:pPr>
                    <w:widowControl/>
                    <w:jc w:val="center"/>
                    <w:rPr>
                      <w:kern w:val="0"/>
                      <w:szCs w:val="21"/>
                    </w:rPr>
                  </w:pPr>
                  <w:r>
                    <w:rPr>
                      <w:kern w:val="0"/>
                      <w:szCs w:val="21"/>
                    </w:rPr>
                    <w:t>657.7</w:t>
                  </w:r>
                </w:p>
              </w:tc>
              <w:tc>
                <w:tcPr>
                  <w:tcW w:w="385" w:type="pct"/>
                  <w:shd w:val="clear" w:color="auto" w:fill="auto"/>
                  <w:vAlign w:val="center"/>
                </w:tcPr>
                <w:p w14:paraId="3392A116">
                  <w:pPr>
                    <w:widowControl/>
                    <w:jc w:val="center"/>
                    <w:rPr>
                      <w:kern w:val="0"/>
                      <w:szCs w:val="21"/>
                    </w:rPr>
                  </w:pPr>
                  <w:r>
                    <w:rPr>
                      <w:kern w:val="0"/>
                      <w:szCs w:val="21"/>
                    </w:rPr>
                    <w:t>312.3</w:t>
                  </w:r>
                </w:p>
              </w:tc>
              <w:tc>
                <w:tcPr>
                  <w:tcW w:w="385" w:type="pct"/>
                  <w:shd w:val="clear" w:color="auto" w:fill="auto"/>
                  <w:vAlign w:val="center"/>
                </w:tcPr>
                <w:p w14:paraId="1B3A8AC8">
                  <w:pPr>
                    <w:widowControl/>
                    <w:jc w:val="center"/>
                    <w:rPr>
                      <w:kern w:val="0"/>
                      <w:szCs w:val="21"/>
                    </w:rPr>
                  </w:pPr>
                  <w:r>
                    <w:rPr>
                      <w:kern w:val="0"/>
                      <w:szCs w:val="21"/>
                    </w:rPr>
                    <w:t>15</w:t>
                  </w:r>
                </w:p>
              </w:tc>
              <w:tc>
                <w:tcPr>
                  <w:tcW w:w="385" w:type="pct"/>
                  <w:shd w:val="clear" w:color="auto" w:fill="auto"/>
                  <w:vAlign w:val="center"/>
                </w:tcPr>
                <w:p w14:paraId="2FEAE091">
                  <w:pPr>
                    <w:widowControl/>
                    <w:jc w:val="center"/>
                    <w:rPr>
                      <w:kern w:val="0"/>
                      <w:szCs w:val="21"/>
                    </w:rPr>
                  </w:pPr>
                  <w:r>
                    <w:rPr>
                      <w:kern w:val="0"/>
                      <w:szCs w:val="21"/>
                    </w:rPr>
                    <w:t>20</w:t>
                  </w:r>
                </w:p>
              </w:tc>
              <w:tc>
                <w:tcPr>
                  <w:tcW w:w="385" w:type="pct"/>
                  <w:shd w:val="clear" w:color="auto" w:fill="auto"/>
                  <w:vAlign w:val="center"/>
                </w:tcPr>
                <w:p w14:paraId="60B5E035">
                  <w:pPr>
                    <w:widowControl/>
                    <w:jc w:val="center"/>
                    <w:rPr>
                      <w:kern w:val="0"/>
                      <w:szCs w:val="21"/>
                    </w:rPr>
                  </w:pPr>
                  <w:r>
                    <w:rPr>
                      <w:kern w:val="0"/>
                      <w:szCs w:val="21"/>
                    </w:rPr>
                    <w:t>90</w:t>
                  </w:r>
                </w:p>
              </w:tc>
              <w:tc>
                <w:tcPr>
                  <w:tcW w:w="385" w:type="pct"/>
                  <w:vMerge w:val="continue"/>
                  <w:vAlign w:val="center"/>
                </w:tcPr>
                <w:p w14:paraId="3C6740AC">
                  <w:pPr>
                    <w:widowControl/>
                    <w:jc w:val="left"/>
                    <w:rPr>
                      <w:kern w:val="0"/>
                      <w:szCs w:val="21"/>
                    </w:rPr>
                  </w:pPr>
                </w:p>
              </w:tc>
              <w:tc>
                <w:tcPr>
                  <w:tcW w:w="385" w:type="pct"/>
                  <w:vMerge w:val="continue"/>
                  <w:vAlign w:val="center"/>
                </w:tcPr>
                <w:p w14:paraId="6028E425">
                  <w:pPr>
                    <w:widowControl/>
                    <w:jc w:val="left"/>
                    <w:rPr>
                      <w:kern w:val="0"/>
                      <w:szCs w:val="21"/>
                    </w:rPr>
                  </w:pPr>
                </w:p>
              </w:tc>
              <w:tc>
                <w:tcPr>
                  <w:tcW w:w="385" w:type="pct"/>
                  <w:shd w:val="clear" w:color="auto" w:fill="auto"/>
                  <w:vAlign w:val="center"/>
                </w:tcPr>
                <w:p w14:paraId="1BC53B3B">
                  <w:pPr>
                    <w:widowControl/>
                    <w:jc w:val="center"/>
                    <w:rPr>
                      <w:kern w:val="0"/>
                      <w:szCs w:val="21"/>
                    </w:rPr>
                  </w:pPr>
                  <w:r>
                    <w:rPr>
                      <w:kern w:val="0"/>
                      <w:szCs w:val="21"/>
                    </w:rPr>
                    <w:t>70</w:t>
                  </w:r>
                </w:p>
              </w:tc>
              <w:tc>
                <w:tcPr>
                  <w:tcW w:w="380" w:type="pct"/>
                  <w:shd w:val="clear" w:color="auto" w:fill="auto"/>
                  <w:vAlign w:val="center"/>
                </w:tcPr>
                <w:p w14:paraId="787E0D76">
                  <w:pPr>
                    <w:widowControl/>
                    <w:jc w:val="center"/>
                    <w:rPr>
                      <w:kern w:val="0"/>
                      <w:szCs w:val="21"/>
                    </w:rPr>
                  </w:pPr>
                  <w:r>
                    <w:rPr>
                      <w:kern w:val="0"/>
                      <w:szCs w:val="21"/>
                    </w:rPr>
                    <w:t>1</w:t>
                  </w:r>
                </w:p>
              </w:tc>
            </w:tr>
            <w:tr w14:paraId="7A8217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85" w:type="pct"/>
                  <w:shd w:val="clear" w:color="auto" w:fill="auto"/>
                  <w:vAlign w:val="center"/>
                </w:tcPr>
                <w:p w14:paraId="61DFBF5A">
                  <w:pPr>
                    <w:widowControl/>
                    <w:jc w:val="center"/>
                    <w:rPr>
                      <w:kern w:val="0"/>
                      <w:szCs w:val="21"/>
                    </w:rPr>
                  </w:pPr>
                  <w:r>
                    <w:rPr>
                      <w:kern w:val="0"/>
                      <w:szCs w:val="21"/>
                    </w:rPr>
                    <w:t>5</w:t>
                  </w:r>
                </w:p>
              </w:tc>
              <w:tc>
                <w:tcPr>
                  <w:tcW w:w="385" w:type="pct"/>
                  <w:shd w:val="clear" w:color="auto" w:fill="auto"/>
                  <w:vAlign w:val="center"/>
                </w:tcPr>
                <w:p w14:paraId="5FBCC9F1">
                  <w:pPr>
                    <w:widowControl/>
                    <w:jc w:val="center"/>
                    <w:rPr>
                      <w:kern w:val="0"/>
                      <w:szCs w:val="21"/>
                    </w:rPr>
                  </w:pPr>
                  <w:r>
                    <w:rPr>
                      <w:kern w:val="0"/>
                      <w:szCs w:val="21"/>
                    </w:rPr>
                    <w:t>屏蔽泵</w:t>
                  </w:r>
                </w:p>
              </w:tc>
              <w:tc>
                <w:tcPr>
                  <w:tcW w:w="385" w:type="pct"/>
                  <w:shd w:val="clear" w:color="auto" w:fill="auto"/>
                  <w:vAlign w:val="center"/>
                </w:tcPr>
                <w:p w14:paraId="689C121E">
                  <w:pPr>
                    <w:widowControl/>
                    <w:jc w:val="center"/>
                    <w:rPr>
                      <w:kern w:val="0"/>
                      <w:szCs w:val="21"/>
                    </w:rPr>
                  </w:pPr>
                  <w:r>
                    <w:rPr>
                      <w:kern w:val="0"/>
                      <w:szCs w:val="21"/>
                    </w:rPr>
                    <w:t>2</w:t>
                  </w:r>
                </w:p>
              </w:tc>
              <w:tc>
                <w:tcPr>
                  <w:tcW w:w="385" w:type="pct"/>
                  <w:vMerge w:val="continue"/>
                  <w:vAlign w:val="center"/>
                </w:tcPr>
                <w:p w14:paraId="466FF47F">
                  <w:pPr>
                    <w:widowControl/>
                    <w:jc w:val="left"/>
                    <w:rPr>
                      <w:kern w:val="0"/>
                      <w:szCs w:val="21"/>
                    </w:rPr>
                  </w:pPr>
                </w:p>
              </w:tc>
              <w:tc>
                <w:tcPr>
                  <w:tcW w:w="385" w:type="pct"/>
                  <w:shd w:val="clear" w:color="auto" w:fill="auto"/>
                  <w:vAlign w:val="center"/>
                </w:tcPr>
                <w:p w14:paraId="50037FAE">
                  <w:pPr>
                    <w:widowControl/>
                    <w:jc w:val="center"/>
                    <w:rPr>
                      <w:kern w:val="0"/>
                      <w:szCs w:val="21"/>
                    </w:rPr>
                  </w:pPr>
                  <w:r>
                    <w:rPr>
                      <w:kern w:val="0"/>
                      <w:szCs w:val="21"/>
                    </w:rPr>
                    <w:t>687.7</w:t>
                  </w:r>
                </w:p>
              </w:tc>
              <w:tc>
                <w:tcPr>
                  <w:tcW w:w="385" w:type="pct"/>
                  <w:shd w:val="clear" w:color="auto" w:fill="auto"/>
                  <w:vAlign w:val="center"/>
                </w:tcPr>
                <w:p w14:paraId="3146245B">
                  <w:pPr>
                    <w:widowControl/>
                    <w:jc w:val="center"/>
                    <w:rPr>
                      <w:kern w:val="0"/>
                      <w:szCs w:val="21"/>
                    </w:rPr>
                  </w:pPr>
                  <w:r>
                    <w:rPr>
                      <w:kern w:val="0"/>
                      <w:szCs w:val="21"/>
                    </w:rPr>
                    <w:t>158.3</w:t>
                  </w:r>
                </w:p>
              </w:tc>
              <w:tc>
                <w:tcPr>
                  <w:tcW w:w="385" w:type="pct"/>
                  <w:shd w:val="clear" w:color="auto" w:fill="auto"/>
                  <w:vAlign w:val="center"/>
                </w:tcPr>
                <w:p w14:paraId="6AED9158">
                  <w:pPr>
                    <w:widowControl/>
                    <w:jc w:val="center"/>
                    <w:rPr>
                      <w:kern w:val="0"/>
                      <w:szCs w:val="21"/>
                    </w:rPr>
                  </w:pPr>
                  <w:r>
                    <w:rPr>
                      <w:kern w:val="0"/>
                      <w:szCs w:val="21"/>
                    </w:rPr>
                    <w:t>15</w:t>
                  </w:r>
                </w:p>
              </w:tc>
              <w:tc>
                <w:tcPr>
                  <w:tcW w:w="385" w:type="pct"/>
                  <w:shd w:val="clear" w:color="auto" w:fill="auto"/>
                  <w:vAlign w:val="center"/>
                </w:tcPr>
                <w:p w14:paraId="36EDD874">
                  <w:pPr>
                    <w:widowControl/>
                    <w:jc w:val="center"/>
                    <w:rPr>
                      <w:kern w:val="0"/>
                      <w:szCs w:val="21"/>
                    </w:rPr>
                  </w:pPr>
                  <w:r>
                    <w:rPr>
                      <w:kern w:val="0"/>
                      <w:szCs w:val="21"/>
                    </w:rPr>
                    <w:t>12</w:t>
                  </w:r>
                </w:p>
              </w:tc>
              <w:tc>
                <w:tcPr>
                  <w:tcW w:w="385" w:type="pct"/>
                  <w:shd w:val="clear" w:color="auto" w:fill="auto"/>
                  <w:vAlign w:val="center"/>
                </w:tcPr>
                <w:p w14:paraId="5D959ACD">
                  <w:pPr>
                    <w:widowControl/>
                    <w:jc w:val="center"/>
                    <w:rPr>
                      <w:kern w:val="0"/>
                      <w:szCs w:val="21"/>
                    </w:rPr>
                  </w:pPr>
                  <w:r>
                    <w:rPr>
                      <w:kern w:val="0"/>
                      <w:szCs w:val="21"/>
                    </w:rPr>
                    <w:t>85</w:t>
                  </w:r>
                </w:p>
              </w:tc>
              <w:tc>
                <w:tcPr>
                  <w:tcW w:w="385" w:type="pct"/>
                  <w:vMerge w:val="continue"/>
                  <w:vAlign w:val="center"/>
                </w:tcPr>
                <w:p w14:paraId="4F60A14F">
                  <w:pPr>
                    <w:widowControl/>
                    <w:jc w:val="left"/>
                    <w:rPr>
                      <w:kern w:val="0"/>
                      <w:szCs w:val="21"/>
                    </w:rPr>
                  </w:pPr>
                </w:p>
              </w:tc>
              <w:tc>
                <w:tcPr>
                  <w:tcW w:w="385" w:type="pct"/>
                  <w:vMerge w:val="continue"/>
                  <w:vAlign w:val="center"/>
                </w:tcPr>
                <w:p w14:paraId="491930AF">
                  <w:pPr>
                    <w:widowControl/>
                    <w:jc w:val="left"/>
                    <w:rPr>
                      <w:kern w:val="0"/>
                      <w:szCs w:val="21"/>
                    </w:rPr>
                  </w:pPr>
                </w:p>
              </w:tc>
              <w:tc>
                <w:tcPr>
                  <w:tcW w:w="385" w:type="pct"/>
                  <w:shd w:val="clear" w:color="auto" w:fill="auto"/>
                  <w:vAlign w:val="center"/>
                </w:tcPr>
                <w:p w14:paraId="666D935F">
                  <w:pPr>
                    <w:widowControl/>
                    <w:jc w:val="center"/>
                    <w:rPr>
                      <w:kern w:val="0"/>
                      <w:szCs w:val="21"/>
                    </w:rPr>
                  </w:pPr>
                  <w:r>
                    <w:rPr>
                      <w:kern w:val="0"/>
                      <w:szCs w:val="21"/>
                    </w:rPr>
                    <w:t>65</w:t>
                  </w:r>
                </w:p>
              </w:tc>
              <w:tc>
                <w:tcPr>
                  <w:tcW w:w="380" w:type="pct"/>
                  <w:shd w:val="clear" w:color="auto" w:fill="auto"/>
                  <w:vAlign w:val="center"/>
                </w:tcPr>
                <w:p w14:paraId="14BB8FA3">
                  <w:pPr>
                    <w:widowControl/>
                    <w:jc w:val="center"/>
                    <w:rPr>
                      <w:kern w:val="0"/>
                      <w:szCs w:val="21"/>
                    </w:rPr>
                  </w:pPr>
                  <w:r>
                    <w:rPr>
                      <w:kern w:val="0"/>
                      <w:szCs w:val="21"/>
                    </w:rPr>
                    <w:t>1</w:t>
                  </w:r>
                </w:p>
              </w:tc>
            </w:tr>
            <w:tr w14:paraId="064672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385" w:type="pct"/>
                  <w:shd w:val="clear" w:color="auto" w:fill="auto"/>
                  <w:vAlign w:val="center"/>
                </w:tcPr>
                <w:p w14:paraId="6BD857DB">
                  <w:pPr>
                    <w:widowControl/>
                    <w:jc w:val="center"/>
                    <w:rPr>
                      <w:kern w:val="0"/>
                      <w:szCs w:val="21"/>
                    </w:rPr>
                  </w:pPr>
                  <w:r>
                    <w:rPr>
                      <w:kern w:val="0"/>
                      <w:szCs w:val="21"/>
                    </w:rPr>
                    <w:t>6</w:t>
                  </w:r>
                </w:p>
              </w:tc>
              <w:tc>
                <w:tcPr>
                  <w:tcW w:w="385" w:type="pct"/>
                  <w:shd w:val="clear" w:color="auto" w:fill="auto"/>
                  <w:vAlign w:val="center"/>
                </w:tcPr>
                <w:p w14:paraId="65AF6FE8">
                  <w:pPr>
                    <w:widowControl/>
                    <w:jc w:val="center"/>
                    <w:rPr>
                      <w:kern w:val="0"/>
                      <w:szCs w:val="21"/>
                    </w:rPr>
                  </w:pPr>
                  <w:r>
                    <w:rPr>
                      <w:kern w:val="0"/>
                      <w:szCs w:val="21"/>
                    </w:rPr>
                    <w:t>BEY干燥系统</w:t>
                  </w:r>
                </w:p>
              </w:tc>
              <w:tc>
                <w:tcPr>
                  <w:tcW w:w="385" w:type="pct"/>
                  <w:shd w:val="clear" w:color="auto" w:fill="auto"/>
                  <w:vAlign w:val="center"/>
                </w:tcPr>
                <w:p w14:paraId="16650128">
                  <w:pPr>
                    <w:widowControl/>
                    <w:jc w:val="center"/>
                    <w:rPr>
                      <w:kern w:val="0"/>
                      <w:szCs w:val="21"/>
                    </w:rPr>
                  </w:pPr>
                  <w:r>
                    <w:rPr>
                      <w:kern w:val="0"/>
                      <w:szCs w:val="21"/>
                    </w:rPr>
                    <w:t>9</w:t>
                  </w:r>
                </w:p>
              </w:tc>
              <w:tc>
                <w:tcPr>
                  <w:tcW w:w="385" w:type="pct"/>
                  <w:vMerge w:val="continue"/>
                  <w:vAlign w:val="center"/>
                </w:tcPr>
                <w:p w14:paraId="3BEA2842">
                  <w:pPr>
                    <w:widowControl/>
                    <w:jc w:val="left"/>
                    <w:rPr>
                      <w:kern w:val="0"/>
                      <w:szCs w:val="21"/>
                    </w:rPr>
                  </w:pPr>
                </w:p>
              </w:tc>
              <w:tc>
                <w:tcPr>
                  <w:tcW w:w="385" w:type="pct"/>
                  <w:shd w:val="clear" w:color="auto" w:fill="auto"/>
                  <w:noWrap/>
                  <w:vAlign w:val="center"/>
                </w:tcPr>
                <w:p w14:paraId="211745D1">
                  <w:pPr>
                    <w:widowControl/>
                    <w:jc w:val="center"/>
                    <w:rPr>
                      <w:kern w:val="0"/>
                      <w:sz w:val="22"/>
                      <w:szCs w:val="22"/>
                    </w:rPr>
                  </w:pPr>
                  <w:r>
                    <w:rPr>
                      <w:kern w:val="0"/>
                      <w:sz w:val="22"/>
                      <w:szCs w:val="22"/>
                    </w:rPr>
                    <w:t>413.2</w:t>
                  </w:r>
                </w:p>
              </w:tc>
              <w:tc>
                <w:tcPr>
                  <w:tcW w:w="385" w:type="pct"/>
                  <w:shd w:val="clear" w:color="auto" w:fill="auto"/>
                  <w:noWrap/>
                  <w:vAlign w:val="center"/>
                </w:tcPr>
                <w:p w14:paraId="14DE349A">
                  <w:pPr>
                    <w:widowControl/>
                    <w:jc w:val="center"/>
                    <w:rPr>
                      <w:kern w:val="0"/>
                      <w:sz w:val="22"/>
                      <w:szCs w:val="22"/>
                    </w:rPr>
                  </w:pPr>
                  <w:r>
                    <w:rPr>
                      <w:kern w:val="0"/>
                      <w:sz w:val="22"/>
                      <w:szCs w:val="22"/>
                    </w:rPr>
                    <w:t>656.7</w:t>
                  </w:r>
                </w:p>
              </w:tc>
              <w:tc>
                <w:tcPr>
                  <w:tcW w:w="385" w:type="pct"/>
                  <w:shd w:val="clear" w:color="auto" w:fill="auto"/>
                  <w:noWrap/>
                  <w:vAlign w:val="center"/>
                </w:tcPr>
                <w:p w14:paraId="2B94AAF9">
                  <w:pPr>
                    <w:widowControl/>
                    <w:jc w:val="center"/>
                    <w:rPr>
                      <w:kern w:val="0"/>
                      <w:sz w:val="22"/>
                      <w:szCs w:val="22"/>
                    </w:rPr>
                  </w:pPr>
                  <w:r>
                    <w:rPr>
                      <w:kern w:val="0"/>
                      <w:sz w:val="22"/>
                      <w:szCs w:val="22"/>
                    </w:rPr>
                    <w:t>15</w:t>
                  </w:r>
                </w:p>
              </w:tc>
              <w:tc>
                <w:tcPr>
                  <w:tcW w:w="385" w:type="pct"/>
                  <w:shd w:val="clear" w:color="auto" w:fill="auto"/>
                  <w:noWrap/>
                  <w:vAlign w:val="center"/>
                </w:tcPr>
                <w:p w14:paraId="016FE0B0">
                  <w:pPr>
                    <w:widowControl/>
                    <w:jc w:val="center"/>
                    <w:rPr>
                      <w:kern w:val="0"/>
                      <w:sz w:val="22"/>
                      <w:szCs w:val="22"/>
                    </w:rPr>
                  </w:pPr>
                  <w:r>
                    <w:rPr>
                      <w:kern w:val="0"/>
                      <w:sz w:val="22"/>
                      <w:szCs w:val="22"/>
                    </w:rPr>
                    <w:t>10</w:t>
                  </w:r>
                </w:p>
              </w:tc>
              <w:tc>
                <w:tcPr>
                  <w:tcW w:w="385" w:type="pct"/>
                  <w:shd w:val="clear" w:color="auto" w:fill="auto"/>
                  <w:noWrap/>
                  <w:vAlign w:val="center"/>
                </w:tcPr>
                <w:p w14:paraId="3C0B6554">
                  <w:pPr>
                    <w:widowControl/>
                    <w:jc w:val="center"/>
                    <w:rPr>
                      <w:kern w:val="0"/>
                      <w:sz w:val="22"/>
                      <w:szCs w:val="22"/>
                    </w:rPr>
                  </w:pPr>
                  <w:r>
                    <w:rPr>
                      <w:kern w:val="0"/>
                      <w:sz w:val="22"/>
                      <w:szCs w:val="22"/>
                    </w:rPr>
                    <w:t>90</w:t>
                  </w:r>
                </w:p>
              </w:tc>
              <w:tc>
                <w:tcPr>
                  <w:tcW w:w="385" w:type="pct"/>
                  <w:vMerge w:val="continue"/>
                  <w:vAlign w:val="center"/>
                </w:tcPr>
                <w:p w14:paraId="1C3B137F">
                  <w:pPr>
                    <w:widowControl/>
                    <w:jc w:val="left"/>
                    <w:rPr>
                      <w:kern w:val="0"/>
                      <w:szCs w:val="21"/>
                    </w:rPr>
                  </w:pPr>
                </w:p>
              </w:tc>
              <w:tc>
                <w:tcPr>
                  <w:tcW w:w="385" w:type="pct"/>
                  <w:vMerge w:val="continue"/>
                  <w:vAlign w:val="center"/>
                </w:tcPr>
                <w:p w14:paraId="2167B51F">
                  <w:pPr>
                    <w:widowControl/>
                    <w:jc w:val="left"/>
                    <w:rPr>
                      <w:kern w:val="0"/>
                      <w:szCs w:val="21"/>
                    </w:rPr>
                  </w:pPr>
                </w:p>
              </w:tc>
              <w:tc>
                <w:tcPr>
                  <w:tcW w:w="385" w:type="pct"/>
                  <w:shd w:val="clear" w:color="auto" w:fill="auto"/>
                  <w:noWrap/>
                  <w:vAlign w:val="center"/>
                </w:tcPr>
                <w:p w14:paraId="229C32C4">
                  <w:pPr>
                    <w:widowControl/>
                    <w:jc w:val="center"/>
                    <w:rPr>
                      <w:kern w:val="0"/>
                      <w:sz w:val="22"/>
                      <w:szCs w:val="22"/>
                    </w:rPr>
                  </w:pPr>
                  <w:r>
                    <w:rPr>
                      <w:kern w:val="0"/>
                      <w:sz w:val="22"/>
                      <w:szCs w:val="22"/>
                    </w:rPr>
                    <w:t>70</w:t>
                  </w:r>
                </w:p>
              </w:tc>
              <w:tc>
                <w:tcPr>
                  <w:tcW w:w="380" w:type="pct"/>
                  <w:shd w:val="clear" w:color="auto" w:fill="auto"/>
                  <w:noWrap/>
                  <w:vAlign w:val="center"/>
                </w:tcPr>
                <w:p w14:paraId="5D544E23">
                  <w:pPr>
                    <w:widowControl/>
                    <w:jc w:val="center"/>
                    <w:rPr>
                      <w:kern w:val="0"/>
                      <w:sz w:val="22"/>
                      <w:szCs w:val="22"/>
                    </w:rPr>
                  </w:pPr>
                  <w:r>
                    <w:rPr>
                      <w:kern w:val="0"/>
                      <w:sz w:val="22"/>
                      <w:szCs w:val="22"/>
                    </w:rPr>
                    <w:t>1</w:t>
                  </w:r>
                </w:p>
              </w:tc>
            </w:tr>
            <w:tr w14:paraId="612EBF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5" w:type="pct"/>
                  <w:shd w:val="clear" w:color="auto" w:fill="auto"/>
                  <w:vAlign w:val="center"/>
                </w:tcPr>
                <w:p w14:paraId="57AD0804">
                  <w:pPr>
                    <w:widowControl/>
                    <w:jc w:val="center"/>
                    <w:rPr>
                      <w:kern w:val="0"/>
                      <w:szCs w:val="21"/>
                    </w:rPr>
                  </w:pPr>
                  <w:r>
                    <w:rPr>
                      <w:kern w:val="0"/>
                      <w:szCs w:val="21"/>
                    </w:rPr>
                    <w:t>7</w:t>
                  </w:r>
                </w:p>
              </w:tc>
              <w:tc>
                <w:tcPr>
                  <w:tcW w:w="385" w:type="pct"/>
                  <w:shd w:val="clear" w:color="auto" w:fill="auto"/>
                  <w:vAlign w:val="center"/>
                </w:tcPr>
                <w:p w14:paraId="24195A3F">
                  <w:pPr>
                    <w:widowControl/>
                    <w:jc w:val="center"/>
                    <w:rPr>
                      <w:kern w:val="0"/>
                      <w:szCs w:val="21"/>
                    </w:rPr>
                  </w:pPr>
                  <w:r>
                    <w:rPr>
                      <w:kern w:val="0"/>
                      <w:szCs w:val="21"/>
                    </w:rPr>
                    <w:t xml:space="preserve">细粉粉碎机 </w:t>
                  </w:r>
                </w:p>
              </w:tc>
              <w:tc>
                <w:tcPr>
                  <w:tcW w:w="385" w:type="pct"/>
                  <w:shd w:val="clear" w:color="auto" w:fill="auto"/>
                  <w:noWrap/>
                  <w:vAlign w:val="center"/>
                </w:tcPr>
                <w:p w14:paraId="7BA7DFBA">
                  <w:pPr>
                    <w:widowControl/>
                    <w:jc w:val="center"/>
                    <w:rPr>
                      <w:kern w:val="0"/>
                      <w:sz w:val="22"/>
                      <w:szCs w:val="22"/>
                    </w:rPr>
                  </w:pPr>
                  <w:r>
                    <w:rPr>
                      <w:kern w:val="0"/>
                      <w:sz w:val="22"/>
                      <w:szCs w:val="22"/>
                    </w:rPr>
                    <w:t>1</w:t>
                  </w:r>
                </w:p>
              </w:tc>
              <w:tc>
                <w:tcPr>
                  <w:tcW w:w="385" w:type="pct"/>
                  <w:vMerge w:val="continue"/>
                  <w:vAlign w:val="center"/>
                </w:tcPr>
                <w:p w14:paraId="723ECF4A">
                  <w:pPr>
                    <w:widowControl/>
                    <w:jc w:val="left"/>
                    <w:rPr>
                      <w:kern w:val="0"/>
                      <w:szCs w:val="21"/>
                    </w:rPr>
                  </w:pPr>
                </w:p>
              </w:tc>
              <w:tc>
                <w:tcPr>
                  <w:tcW w:w="385" w:type="pct"/>
                  <w:shd w:val="clear" w:color="auto" w:fill="auto"/>
                  <w:noWrap/>
                  <w:vAlign w:val="center"/>
                </w:tcPr>
                <w:p w14:paraId="6EA3394C">
                  <w:pPr>
                    <w:widowControl/>
                    <w:jc w:val="center"/>
                    <w:rPr>
                      <w:kern w:val="0"/>
                      <w:sz w:val="22"/>
                      <w:szCs w:val="22"/>
                    </w:rPr>
                  </w:pPr>
                  <w:r>
                    <w:rPr>
                      <w:kern w:val="0"/>
                      <w:sz w:val="22"/>
                      <w:szCs w:val="22"/>
                    </w:rPr>
                    <w:t>423.2</w:t>
                  </w:r>
                </w:p>
              </w:tc>
              <w:tc>
                <w:tcPr>
                  <w:tcW w:w="385" w:type="pct"/>
                  <w:shd w:val="clear" w:color="auto" w:fill="auto"/>
                  <w:noWrap/>
                  <w:vAlign w:val="center"/>
                </w:tcPr>
                <w:p w14:paraId="06DA1CB6">
                  <w:pPr>
                    <w:widowControl/>
                    <w:jc w:val="center"/>
                    <w:rPr>
                      <w:kern w:val="0"/>
                      <w:sz w:val="22"/>
                      <w:szCs w:val="22"/>
                    </w:rPr>
                  </w:pPr>
                  <w:r>
                    <w:rPr>
                      <w:kern w:val="0"/>
                      <w:sz w:val="22"/>
                      <w:szCs w:val="22"/>
                    </w:rPr>
                    <w:t>656.7</w:t>
                  </w:r>
                </w:p>
              </w:tc>
              <w:tc>
                <w:tcPr>
                  <w:tcW w:w="385" w:type="pct"/>
                  <w:shd w:val="clear" w:color="auto" w:fill="auto"/>
                  <w:noWrap/>
                  <w:vAlign w:val="center"/>
                </w:tcPr>
                <w:p w14:paraId="788C2E95">
                  <w:pPr>
                    <w:widowControl/>
                    <w:jc w:val="center"/>
                    <w:rPr>
                      <w:kern w:val="0"/>
                      <w:sz w:val="22"/>
                      <w:szCs w:val="22"/>
                    </w:rPr>
                  </w:pPr>
                  <w:r>
                    <w:rPr>
                      <w:kern w:val="0"/>
                      <w:sz w:val="22"/>
                      <w:szCs w:val="22"/>
                    </w:rPr>
                    <w:t>15</w:t>
                  </w:r>
                </w:p>
              </w:tc>
              <w:tc>
                <w:tcPr>
                  <w:tcW w:w="385" w:type="pct"/>
                  <w:shd w:val="clear" w:color="auto" w:fill="auto"/>
                  <w:noWrap/>
                  <w:vAlign w:val="center"/>
                </w:tcPr>
                <w:p w14:paraId="34E3FA5F">
                  <w:pPr>
                    <w:widowControl/>
                    <w:jc w:val="center"/>
                    <w:rPr>
                      <w:kern w:val="0"/>
                      <w:sz w:val="22"/>
                      <w:szCs w:val="22"/>
                    </w:rPr>
                  </w:pPr>
                  <w:r>
                    <w:rPr>
                      <w:kern w:val="0"/>
                      <w:sz w:val="22"/>
                      <w:szCs w:val="22"/>
                    </w:rPr>
                    <w:t>20</w:t>
                  </w:r>
                </w:p>
              </w:tc>
              <w:tc>
                <w:tcPr>
                  <w:tcW w:w="385" w:type="pct"/>
                  <w:shd w:val="clear" w:color="auto" w:fill="auto"/>
                  <w:noWrap/>
                  <w:vAlign w:val="center"/>
                </w:tcPr>
                <w:p w14:paraId="2908EC40">
                  <w:pPr>
                    <w:widowControl/>
                    <w:jc w:val="center"/>
                    <w:rPr>
                      <w:kern w:val="0"/>
                      <w:sz w:val="22"/>
                      <w:szCs w:val="22"/>
                    </w:rPr>
                  </w:pPr>
                  <w:r>
                    <w:rPr>
                      <w:kern w:val="0"/>
                      <w:sz w:val="22"/>
                      <w:szCs w:val="22"/>
                    </w:rPr>
                    <w:t>90</w:t>
                  </w:r>
                </w:p>
              </w:tc>
              <w:tc>
                <w:tcPr>
                  <w:tcW w:w="385" w:type="pct"/>
                  <w:vMerge w:val="continue"/>
                  <w:vAlign w:val="center"/>
                </w:tcPr>
                <w:p w14:paraId="565C0FA4">
                  <w:pPr>
                    <w:widowControl/>
                    <w:jc w:val="left"/>
                    <w:rPr>
                      <w:kern w:val="0"/>
                      <w:szCs w:val="21"/>
                    </w:rPr>
                  </w:pPr>
                </w:p>
              </w:tc>
              <w:tc>
                <w:tcPr>
                  <w:tcW w:w="385" w:type="pct"/>
                  <w:vMerge w:val="continue"/>
                  <w:vAlign w:val="center"/>
                </w:tcPr>
                <w:p w14:paraId="24D0EFDB">
                  <w:pPr>
                    <w:widowControl/>
                    <w:jc w:val="left"/>
                    <w:rPr>
                      <w:kern w:val="0"/>
                      <w:szCs w:val="21"/>
                    </w:rPr>
                  </w:pPr>
                </w:p>
              </w:tc>
              <w:tc>
                <w:tcPr>
                  <w:tcW w:w="385" w:type="pct"/>
                  <w:shd w:val="clear" w:color="auto" w:fill="auto"/>
                  <w:noWrap/>
                  <w:vAlign w:val="center"/>
                </w:tcPr>
                <w:p w14:paraId="7E8E5FE6">
                  <w:pPr>
                    <w:widowControl/>
                    <w:jc w:val="center"/>
                    <w:rPr>
                      <w:kern w:val="0"/>
                      <w:sz w:val="22"/>
                      <w:szCs w:val="22"/>
                    </w:rPr>
                  </w:pPr>
                  <w:r>
                    <w:rPr>
                      <w:kern w:val="0"/>
                      <w:sz w:val="22"/>
                      <w:szCs w:val="22"/>
                    </w:rPr>
                    <w:t>70</w:t>
                  </w:r>
                </w:p>
              </w:tc>
              <w:tc>
                <w:tcPr>
                  <w:tcW w:w="380" w:type="pct"/>
                  <w:shd w:val="clear" w:color="auto" w:fill="auto"/>
                  <w:noWrap/>
                  <w:vAlign w:val="center"/>
                </w:tcPr>
                <w:p w14:paraId="3701F55D">
                  <w:pPr>
                    <w:widowControl/>
                    <w:jc w:val="center"/>
                    <w:rPr>
                      <w:kern w:val="0"/>
                      <w:sz w:val="22"/>
                      <w:szCs w:val="22"/>
                    </w:rPr>
                  </w:pPr>
                  <w:r>
                    <w:rPr>
                      <w:kern w:val="0"/>
                      <w:sz w:val="22"/>
                      <w:szCs w:val="22"/>
                    </w:rPr>
                    <w:t>1</w:t>
                  </w:r>
                </w:p>
              </w:tc>
            </w:tr>
            <w:tr w14:paraId="32489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5" w:type="pct"/>
                  <w:shd w:val="clear" w:color="auto" w:fill="auto"/>
                  <w:vAlign w:val="center"/>
                </w:tcPr>
                <w:p w14:paraId="5976C0F0">
                  <w:pPr>
                    <w:widowControl/>
                    <w:jc w:val="center"/>
                    <w:rPr>
                      <w:kern w:val="0"/>
                      <w:szCs w:val="21"/>
                    </w:rPr>
                  </w:pPr>
                  <w:r>
                    <w:rPr>
                      <w:kern w:val="0"/>
                      <w:szCs w:val="21"/>
                    </w:rPr>
                    <w:t>8</w:t>
                  </w:r>
                </w:p>
              </w:tc>
              <w:tc>
                <w:tcPr>
                  <w:tcW w:w="385" w:type="pct"/>
                  <w:shd w:val="clear" w:color="auto" w:fill="auto"/>
                  <w:vAlign w:val="center"/>
                </w:tcPr>
                <w:p w14:paraId="3BD48CAE">
                  <w:pPr>
                    <w:widowControl/>
                    <w:jc w:val="center"/>
                    <w:rPr>
                      <w:kern w:val="0"/>
                      <w:szCs w:val="21"/>
                    </w:rPr>
                  </w:pPr>
                  <w:r>
                    <w:rPr>
                      <w:kern w:val="0"/>
                      <w:szCs w:val="21"/>
                    </w:rPr>
                    <w:t>摩擦聚粒主机</w:t>
                  </w:r>
                </w:p>
              </w:tc>
              <w:tc>
                <w:tcPr>
                  <w:tcW w:w="385" w:type="pct"/>
                  <w:shd w:val="clear" w:color="auto" w:fill="auto"/>
                  <w:noWrap/>
                  <w:vAlign w:val="center"/>
                </w:tcPr>
                <w:p w14:paraId="6425D2B7">
                  <w:pPr>
                    <w:widowControl/>
                    <w:jc w:val="center"/>
                    <w:rPr>
                      <w:kern w:val="0"/>
                      <w:sz w:val="22"/>
                      <w:szCs w:val="22"/>
                    </w:rPr>
                  </w:pPr>
                  <w:r>
                    <w:rPr>
                      <w:kern w:val="0"/>
                      <w:sz w:val="22"/>
                      <w:szCs w:val="22"/>
                    </w:rPr>
                    <w:t>1</w:t>
                  </w:r>
                </w:p>
              </w:tc>
              <w:tc>
                <w:tcPr>
                  <w:tcW w:w="385" w:type="pct"/>
                  <w:vMerge w:val="continue"/>
                  <w:vAlign w:val="center"/>
                </w:tcPr>
                <w:p w14:paraId="1A1198B7">
                  <w:pPr>
                    <w:widowControl/>
                    <w:jc w:val="left"/>
                    <w:rPr>
                      <w:kern w:val="0"/>
                      <w:szCs w:val="21"/>
                    </w:rPr>
                  </w:pPr>
                </w:p>
              </w:tc>
              <w:tc>
                <w:tcPr>
                  <w:tcW w:w="385" w:type="pct"/>
                  <w:shd w:val="clear" w:color="auto" w:fill="auto"/>
                  <w:noWrap/>
                  <w:vAlign w:val="center"/>
                </w:tcPr>
                <w:p w14:paraId="301C5CFA">
                  <w:pPr>
                    <w:widowControl/>
                    <w:jc w:val="center"/>
                    <w:rPr>
                      <w:kern w:val="0"/>
                      <w:sz w:val="22"/>
                      <w:szCs w:val="22"/>
                    </w:rPr>
                  </w:pPr>
                  <w:r>
                    <w:rPr>
                      <w:kern w:val="0"/>
                      <w:sz w:val="22"/>
                      <w:szCs w:val="22"/>
                    </w:rPr>
                    <w:t>423.2</w:t>
                  </w:r>
                </w:p>
              </w:tc>
              <w:tc>
                <w:tcPr>
                  <w:tcW w:w="385" w:type="pct"/>
                  <w:shd w:val="clear" w:color="auto" w:fill="auto"/>
                  <w:noWrap/>
                  <w:vAlign w:val="center"/>
                </w:tcPr>
                <w:p w14:paraId="4B27BB03">
                  <w:pPr>
                    <w:widowControl/>
                    <w:jc w:val="center"/>
                    <w:rPr>
                      <w:kern w:val="0"/>
                      <w:sz w:val="22"/>
                      <w:szCs w:val="22"/>
                    </w:rPr>
                  </w:pPr>
                  <w:r>
                    <w:rPr>
                      <w:kern w:val="0"/>
                      <w:sz w:val="22"/>
                      <w:szCs w:val="22"/>
                    </w:rPr>
                    <w:t>646.7</w:t>
                  </w:r>
                </w:p>
              </w:tc>
              <w:tc>
                <w:tcPr>
                  <w:tcW w:w="385" w:type="pct"/>
                  <w:shd w:val="clear" w:color="auto" w:fill="auto"/>
                  <w:noWrap/>
                  <w:vAlign w:val="center"/>
                </w:tcPr>
                <w:p w14:paraId="4E3E33E9">
                  <w:pPr>
                    <w:widowControl/>
                    <w:jc w:val="center"/>
                    <w:rPr>
                      <w:kern w:val="0"/>
                      <w:sz w:val="22"/>
                      <w:szCs w:val="22"/>
                    </w:rPr>
                  </w:pPr>
                  <w:r>
                    <w:rPr>
                      <w:kern w:val="0"/>
                      <w:sz w:val="22"/>
                      <w:szCs w:val="22"/>
                    </w:rPr>
                    <w:t>15</w:t>
                  </w:r>
                </w:p>
              </w:tc>
              <w:tc>
                <w:tcPr>
                  <w:tcW w:w="385" w:type="pct"/>
                  <w:shd w:val="clear" w:color="auto" w:fill="auto"/>
                  <w:noWrap/>
                  <w:vAlign w:val="center"/>
                </w:tcPr>
                <w:p w14:paraId="435A58F9">
                  <w:pPr>
                    <w:widowControl/>
                    <w:jc w:val="center"/>
                    <w:rPr>
                      <w:kern w:val="0"/>
                      <w:sz w:val="22"/>
                      <w:szCs w:val="22"/>
                    </w:rPr>
                  </w:pPr>
                  <w:r>
                    <w:rPr>
                      <w:kern w:val="0"/>
                      <w:sz w:val="22"/>
                      <w:szCs w:val="22"/>
                    </w:rPr>
                    <w:t>20</w:t>
                  </w:r>
                </w:p>
              </w:tc>
              <w:tc>
                <w:tcPr>
                  <w:tcW w:w="385" w:type="pct"/>
                  <w:shd w:val="clear" w:color="auto" w:fill="auto"/>
                  <w:noWrap/>
                  <w:vAlign w:val="center"/>
                </w:tcPr>
                <w:p w14:paraId="7C140E70">
                  <w:pPr>
                    <w:widowControl/>
                    <w:jc w:val="center"/>
                    <w:rPr>
                      <w:kern w:val="0"/>
                      <w:sz w:val="22"/>
                      <w:szCs w:val="22"/>
                    </w:rPr>
                  </w:pPr>
                  <w:r>
                    <w:rPr>
                      <w:kern w:val="0"/>
                      <w:sz w:val="22"/>
                      <w:szCs w:val="22"/>
                    </w:rPr>
                    <w:t>90</w:t>
                  </w:r>
                </w:p>
              </w:tc>
              <w:tc>
                <w:tcPr>
                  <w:tcW w:w="385" w:type="pct"/>
                  <w:vMerge w:val="continue"/>
                  <w:vAlign w:val="center"/>
                </w:tcPr>
                <w:p w14:paraId="287AD18E">
                  <w:pPr>
                    <w:widowControl/>
                    <w:jc w:val="left"/>
                    <w:rPr>
                      <w:kern w:val="0"/>
                      <w:szCs w:val="21"/>
                    </w:rPr>
                  </w:pPr>
                </w:p>
              </w:tc>
              <w:tc>
                <w:tcPr>
                  <w:tcW w:w="385" w:type="pct"/>
                  <w:vMerge w:val="continue"/>
                  <w:vAlign w:val="center"/>
                </w:tcPr>
                <w:p w14:paraId="0AC5F999">
                  <w:pPr>
                    <w:widowControl/>
                    <w:jc w:val="left"/>
                    <w:rPr>
                      <w:kern w:val="0"/>
                      <w:szCs w:val="21"/>
                    </w:rPr>
                  </w:pPr>
                </w:p>
              </w:tc>
              <w:tc>
                <w:tcPr>
                  <w:tcW w:w="385" w:type="pct"/>
                  <w:shd w:val="clear" w:color="auto" w:fill="auto"/>
                  <w:noWrap/>
                  <w:vAlign w:val="center"/>
                </w:tcPr>
                <w:p w14:paraId="68052138">
                  <w:pPr>
                    <w:widowControl/>
                    <w:jc w:val="center"/>
                    <w:rPr>
                      <w:kern w:val="0"/>
                      <w:sz w:val="22"/>
                      <w:szCs w:val="22"/>
                    </w:rPr>
                  </w:pPr>
                  <w:r>
                    <w:rPr>
                      <w:kern w:val="0"/>
                      <w:sz w:val="22"/>
                      <w:szCs w:val="22"/>
                    </w:rPr>
                    <w:t>70</w:t>
                  </w:r>
                </w:p>
              </w:tc>
              <w:tc>
                <w:tcPr>
                  <w:tcW w:w="380" w:type="pct"/>
                  <w:shd w:val="clear" w:color="auto" w:fill="auto"/>
                  <w:noWrap/>
                  <w:vAlign w:val="center"/>
                </w:tcPr>
                <w:p w14:paraId="27D85BDA">
                  <w:pPr>
                    <w:widowControl/>
                    <w:jc w:val="center"/>
                    <w:rPr>
                      <w:kern w:val="0"/>
                      <w:sz w:val="22"/>
                      <w:szCs w:val="22"/>
                    </w:rPr>
                  </w:pPr>
                  <w:r>
                    <w:rPr>
                      <w:kern w:val="0"/>
                      <w:sz w:val="22"/>
                      <w:szCs w:val="22"/>
                    </w:rPr>
                    <w:t>1</w:t>
                  </w:r>
                </w:p>
              </w:tc>
            </w:tr>
            <w:tr w14:paraId="4CB0F4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85" w:type="pct"/>
                  <w:shd w:val="clear" w:color="auto" w:fill="auto"/>
                  <w:vAlign w:val="center"/>
                </w:tcPr>
                <w:p w14:paraId="254A101B">
                  <w:pPr>
                    <w:widowControl/>
                    <w:jc w:val="center"/>
                    <w:rPr>
                      <w:kern w:val="0"/>
                      <w:szCs w:val="21"/>
                    </w:rPr>
                  </w:pPr>
                  <w:r>
                    <w:rPr>
                      <w:kern w:val="0"/>
                      <w:szCs w:val="21"/>
                    </w:rPr>
                    <w:t>9</w:t>
                  </w:r>
                </w:p>
              </w:tc>
              <w:tc>
                <w:tcPr>
                  <w:tcW w:w="385" w:type="pct"/>
                  <w:shd w:val="clear" w:color="auto" w:fill="auto"/>
                  <w:vAlign w:val="center"/>
                </w:tcPr>
                <w:p w14:paraId="2558B3ED">
                  <w:pPr>
                    <w:widowControl/>
                    <w:jc w:val="center"/>
                    <w:rPr>
                      <w:kern w:val="0"/>
                      <w:szCs w:val="21"/>
                    </w:rPr>
                  </w:pPr>
                  <w:r>
                    <w:rPr>
                      <w:kern w:val="0"/>
                      <w:szCs w:val="21"/>
                    </w:rPr>
                    <w:t>送料风机</w:t>
                  </w:r>
                </w:p>
              </w:tc>
              <w:tc>
                <w:tcPr>
                  <w:tcW w:w="385" w:type="pct"/>
                  <w:shd w:val="clear" w:color="auto" w:fill="auto"/>
                  <w:vAlign w:val="center"/>
                </w:tcPr>
                <w:p w14:paraId="56FB55F3">
                  <w:pPr>
                    <w:widowControl/>
                    <w:jc w:val="center"/>
                    <w:rPr>
                      <w:kern w:val="0"/>
                      <w:szCs w:val="21"/>
                    </w:rPr>
                  </w:pPr>
                  <w:r>
                    <w:rPr>
                      <w:kern w:val="0"/>
                      <w:szCs w:val="21"/>
                    </w:rPr>
                    <w:t>3</w:t>
                  </w:r>
                </w:p>
              </w:tc>
              <w:tc>
                <w:tcPr>
                  <w:tcW w:w="385" w:type="pct"/>
                  <w:vMerge w:val="continue"/>
                  <w:vAlign w:val="center"/>
                </w:tcPr>
                <w:p w14:paraId="031D36BB">
                  <w:pPr>
                    <w:widowControl/>
                    <w:jc w:val="left"/>
                    <w:rPr>
                      <w:kern w:val="0"/>
                      <w:szCs w:val="21"/>
                    </w:rPr>
                  </w:pPr>
                </w:p>
              </w:tc>
              <w:tc>
                <w:tcPr>
                  <w:tcW w:w="385" w:type="pct"/>
                  <w:shd w:val="clear" w:color="auto" w:fill="auto"/>
                  <w:noWrap/>
                  <w:vAlign w:val="center"/>
                </w:tcPr>
                <w:p w14:paraId="12C9432F">
                  <w:pPr>
                    <w:widowControl/>
                    <w:jc w:val="center"/>
                    <w:rPr>
                      <w:kern w:val="0"/>
                      <w:sz w:val="22"/>
                      <w:szCs w:val="22"/>
                    </w:rPr>
                  </w:pPr>
                  <w:r>
                    <w:rPr>
                      <w:kern w:val="0"/>
                      <w:sz w:val="22"/>
                      <w:szCs w:val="22"/>
                    </w:rPr>
                    <w:t>423.2</w:t>
                  </w:r>
                </w:p>
              </w:tc>
              <w:tc>
                <w:tcPr>
                  <w:tcW w:w="385" w:type="pct"/>
                  <w:shd w:val="clear" w:color="auto" w:fill="auto"/>
                  <w:noWrap/>
                  <w:vAlign w:val="center"/>
                </w:tcPr>
                <w:p w14:paraId="4E230BBC">
                  <w:pPr>
                    <w:widowControl/>
                    <w:jc w:val="center"/>
                    <w:rPr>
                      <w:kern w:val="0"/>
                      <w:sz w:val="22"/>
                      <w:szCs w:val="22"/>
                    </w:rPr>
                  </w:pPr>
                  <w:r>
                    <w:rPr>
                      <w:kern w:val="0"/>
                      <w:sz w:val="22"/>
                      <w:szCs w:val="22"/>
                    </w:rPr>
                    <w:t>646.7</w:t>
                  </w:r>
                </w:p>
              </w:tc>
              <w:tc>
                <w:tcPr>
                  <w:tcW w:w="385" w:type="pct"/>
                  <w:shd w:val="clear" w:color="auto" w:fill="auto"/>
                  <w:noWrap/>
                  <w:vAlign w:val="center"/>
                </w:tcPr>
                <w:p w14:paraId="31861BD7">
                  <w:pPr>
                    <w:widowControl/>
                    <w:jc w:val="center"/>
                    <w:rPr>
                      <w:kern w:val="0"/>
                      <w:sz w:val="22"/>
                      <w:szCs w:val="22"/>
                    </w:rPr>
                  </w:pPr>
                  <w:r>
                    <w:rPr>
                      <w:kern w:val="0"/>
                      <w:sz w:val="22"/>
                      <w:szCs w:val="22"/>
                    </w:rPr>
                    <w:t>15</w:t>
                  </w:r>
                </w:p>
              </w:tc>
              <w:tc>
                <w:tcPr>
                  <w:tcW w:w="385" w:type="pct"/>
                  <w:shd w:val="clear" w:color="auto" w:fill="auto"/>
                  <w:noWrap/>
                  <w:vAlign w:val="center"/>
                </w:tcPr>
                <w:p w14:paraId="00E6DA35">
                  <w:pPr>
                    <w:widowControl/>
                    <w:jc w:val="center"/>
                    <w:rPr>
                      <w:kern w:val="0"/>
                      <w:sz w:val="22"/>
                      <w:szCs w:val="22"/>
                    </w:rPr>
                  </w:pPr>
                  <w:r>
                    <w:rPr>
                      <w:kern w:val="0"/>
                      <w:sz w:val="22"/>
                      <w:szCs w:val="22"/>
                    </w:rPr>
                    <w:t>20</w:t>
                  </w:r>
                </w:p>
              </w:tc>
              <w:tc>
                <w:tcPr>
                  <w:tcW w:w="385" w:type="pct"/>
                  <w:shd w:val="clear" w:color="auto" w:fill="auto"/>
                  <w:noWrap/>
                  <w:vAlign w:val="center"/>
                </w:tcPr>
                <w:p w14:paraId="334DC13A">
                  <w:pPr>
                    <w:widowControl/>
                    <w:jc w:val="center"/>
                    <w:rPr>
                      <w:kern w:val="0"/>
                      <w:sz w:val="22"/>
                      <w:szCs w:val="22"/>
                    </w:rPr>
                  </w:pPr>
                  <w:r>
                    <w:rPr>
                      <w:kern w:val="0"/>
                      <w:sz w:val="22"/>
                      <w:szCs w:val="22"/>
                    </w:rPr>
                    <w:t>90</w:t>
                  </w:r>
                </w:p>
              </w:tc>
              <w:tc>
                <w:tcPr>
                  <w:tcW w:w="385" w:type="pct"/>
                  <w:vMerge w:val="continue"/>
                  <w:vAlign w:val="center"/>
                </w:tcPr>
                <w:p w14:paraId="48FA9AB9">
                  <w:pPr>
                    <w:widowControl/>
                    <w:jc w:val="left"/>
                    <w:rPr>
                      <w:kern w:val="0"/>
                      <w:szCs w:val="21"/>
                    </w:rPr>
                  </w:pPr>
                </w:p>
              </w:tc>
              <w:tc>
                <w:tcPr>
                  <w:tcW w:w="385" w:type="pct"/>
                  <w:vMerge w:val="continue"/>
                  <w:vAlign w:val="center"/>
                </w:tcPr>
                <w:p w14:paraId="510E8994">
                  <w:pPr>
                    <w:widowControl/>
                    <w:jc w:val="left"/>
                    <w:rPr>
                      <w:kern w:val="0"/>
                      <w:szCs w:val="21"/>
                    </w:rPr>
                  </w:pPr>
                </w:p>
              </w:tc>
              <w:tc>
                <w:tcPr>
                  <w:tcW w:w="385" w:type="pct"/>
                  <w:shd w:val="clear" w:color="auto" w:fill="auto"/>
                  <w:noWrap/>
                  <w:vAlign w:val="center"/>
                </w:tcPr>
                <w:p w14:paraId="35C0D72C">
                  <w:pPr>
                    <w:widowControl/>
                    <w:jc w:val="center"/>
                    <w:rPr>
                      <w:kern w:val="0"/>
                      <w:sz w:val="22"/>
                      <w:szCs w:val="22"/>
                    </w:rPr>
                  </w:pPr>
                  <w:r>
                    <w:rPr>
                      <w:kern w:val="0"/>
                      <w:sz w:val="22"/>
                      <w:szCs w:val="22"/>
                    </w:rPr>
                    <w:t>70</w:t>
                  </w:r>
                </w:p>
              </w:tc>
              <w:tc>
                <w:tcPr>
                  <w:tcW w:w="380" w:type="pct"/>
                  <w:shd w:val="clear" w:color="auto" w:fill="auto"/>
                  <w:noWrap/>
                  <w:vAlign w:val="center"/>
                </w:tcPr>
                <w:p w14:paraId="420B75BF">
                  <w:pPr>
                    <w:widowControl/>
                    <w:jc w:val="center"/>
                    <w:rPr>
                      <w:kern w:val="0"/>
                      <w:sz w:val="22"/>
                      <w:szCs w:val="22"/>
                    </w:rPr>
                  </w:pPr>
                  <w:r>
                    <w:rPr>
                      <w:kern w:val="0"/>
                      <w:sz w:val="22"/>
                      <w:szCs w:val="22"/>
                    </w:rPr>
                    <w:t>1</w:t>
                  </w:r>
                </w:p>
              </w:tc>
            </w:tr>
          </w:tbl>
          <w:p w14:paraId="3B937F38">
            <w:pPr>
              <w:ind w:firstLine="482" w:firstLineChars="200"/>
              <w:jc w:val="center"/>
              <w:rPr>
                <w:rFonts w:eastAsiaTheme="minorEastAsia"/>
                <w:b/>
                <w:sz w:val="24"/>
              </w:rPr>
            </w:pPr>
            <w:r>
              <w:rPr>
                <w:rFonts w:eastAsiaTheme="minorEastAsia"/>
                <w:b/>
                <w:sz w:val="24"/>
              </w:rPr>
              <w:t>表4-14 噪声源强调查清单（室外声源）</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974"/>
              <w:gridCol w:w="974"/>
              <w:gridCol w:w="849"/>
              <w:gridCol w:w="1113"/>
              <w:gridCol w:w="792"/>
              <w:gridCol w:w="792"/>
              <w:gridCol w:w="792"/>
              <w:gridCol w:w="796"/>
              <w:gridCol w:w="793"/>
              <w:gridCol w:w="824"/>
              <w:gridCol w:w="793"/>
              <w:gridCol w:w="824"/>
              <w:gridCol w:w="824"/>
              <w:gridCol w:w="791"/>
            </w:tblGrid>
            <w:tr w14:paraId="4BA64C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9" w:type="pct"/>
                  <w:vMerge w:val="restart"/>
                  <w:shd w:val="clear" w:color="auto" w:fill="auto"/>
                  <w:vAlign w:val="center"/>
                </w:tcPr>
                <w:p w14:paraId="24845545">
                  <w:pPr>
                    <w:widowControl/>
                    <w:jc w:val="center"/>
                    <w:rPr>
                      <w:b/>
                      <w:bCs/>
                      <w:kern w:val="0"/>
                      <w:szCs w:val="21"/>
                    </w:rPr>
                  </w:pPr>
                  <w:r>
                    <w:rPr>
                      <w:b/>
                      <w:bCs/>
                      <w:kern w:val="0"/>
                      <w:szCs w:val="21"/>
                    </w:rPr>
                    <w:t>序号</w:t>
                  </w:r>
                </w:p>
              </w:tc>
              <w:tc>
                <w:tcPr>
                  <w:tcW w:w="392" w:type="pct"/>
                  <w:vMerge w:val="restart"/>
                  <w:shd w:val="clear" w:color="auto" w:fill="auto"/>
                  <w:vAlign w:val="center"/>
                </w:tcPr>
                <w:p w14:paraId="03C80E50">
                  <w:pPr>
                    <w:widowControl/>
                    <w:jc w:val="center"/>
                    <w:rPr>
                      <w:b/>
                      <w:bCs/>
                      <w:kern w:val="0"/>
                      <w:szCs w:val="21"/>
                    </w:rPr>
                  </w:pPr>
                  <w:r>
                    <w:rPr>
                      <w:b/>
                      <w:bCs/>
                      <w:kern w:val="0"/>
                      <w:szCs w:val="21"/>
                    </w:rPr>
                    <w:t>建筑物名称</w:t>
                  </w:r>
                </w:p>
              </w:tc>
              <w:tc>
                <w:tcPr>
                  <w:tcW w:w="392" w:type="pct"/>
                  <w:vMerge w:val="restart"/>
                  <w:shd w:val="clear" w:color="auto" w:fill="auto"/>
                  <w:vAlign w:val="center"/>
                </w:tcPr>
                <w:p w14:paraId="2CD9C92A">
                  <w:pPr>
                    <w:widowControl/>
                    <w:jc w:val="center"/>
                    <w:rPr>
                      <w:b/>
                      <w:bCs/>
                      <w:kern w:val="0"/>
                      <w:szCs w:val="21"/>
                    </w:rPr>
                  </w:pPr>
                  <w:r>
                    <w:rPr>
                      <w:b/>
                      <w:bCs/>
                      <w:kern w:val="0"/>
                      <w:szCs w:val="21"/>
                    </w:rPr>
                    <w:t>声源名称</w:t>
                  </w:r>
                </w:p>
              </w:tc>
              <w:tc>
                <w:tcPr>
                  <w:tcW w:w="280" w:type="pct"/>
                  <w:vMerge w:val="restart"/>
                  <w:shd w:val="clear" w:color="auto" w:fill="auto"/>
                  <w:vAlign w:val="center"/>
                </w:tcPr>
                <w:p w14:paraId="3A070947">
                  <w:pPr>
                    <w:widowControl/>
                    <w:jc w:val="center"/>
                    <w:rPr>
                      <w:b/>
                      <w:bCs/>
                      <w:kern w:val="0"/>
                      <w:szCs w:val="21"/>
                    </w:rPr>
                  </w:pPr>
                  <w:r>
                    <w:rPr>
                      <w:b/>
                      <w:bCs/>
                      <w:kern w:val="0"/>
                      <w:szCs w:val="21"/>
                    </w:rPr>
                    <w:t>设备数量（台）</w:t>
                  </w:r>
                </w:p>
              </w:tc>
              <w:tc>
                <w:tcPr>
                  <w:tcW w:w="447" w:type="pct"/>
                  <w:shd w:val="clear" w:color="auto" w:fill="auto"/>
                  <w:vAlign w:val="center"/>
                </w:tcPr>
                <w:p w14:paraId="3AFBCB66">
                  <w:pPr>
                    <w:widowControl/>
                    <w:jc w:val="center"/>
                    <w:rPr>
                      <w:b/>
                      <w:bCs/>
                      <w:kern w:val="0"/>
                      <w:szCs w:val="21"/>
                    </w:rPr>
                  </w:pPr>
                  <w:r>
                    <w:rPr>
                      <w:b/>
                      <w:bCs/>
                      <w:kern w:val="0"/>
                      <w:szCs w:val="21"/>
                    </w:rPr>
                    <w:t>声源源强</w:t>
                  </w:r>
                </w:p>
              </w:tc>
              <w:tc>
                <w:tcPr>
                  <w:tcW w:w="320" w:type="pct"/>
                  <w:vMerge w:val="restart"/>
                  <w:shd w:val="clear" w:color="auto" w:fill="auto"/>
                  <w:vAlign w:val="center"/>
                </w:tcPr>
                <w:p w14:paraId="68B6E364">
                  <w:pPr>
                    <w:widowControl/>
                    <w:jc w:val="center"/>
                    <w:rPr>
                      <w:b/>
                      <w:bCs/>
                      <w:kern w:val="0"/>
                      <w:szCs w:val="21"/>
                    </w:rPr>
                  </w:pPr>
                  <w:r>
                    <w:rPr>
                      <w:b/>
                      <w:bCs/>
                      <w:kern w:val="0"/>
                      <w:szCs w:val="21"/>
                    </w:rPr>
                    <w:t>声源控制措施</w:t>
                  </w:r>
                </w:p>
              </w:tc>
              <w:tc>
                <w:tcPr>
                  <w:tcW w:w="961" w:type="pct"/>
                  <w:gridSpan w:val="3"/>
                  <w:shd w:val="clear" w:color="auto" w:fill="auto"/>
                  <w:vAlign w:val="center"/>
                </w:tcPr>
                <w:p w14:paraId="4B3E5D47">
                  <w:pPr>
                    <w:widowControl/>
                    <w:jc w:val="center"/>
                    <w:rPr>
                      <w:b/>
                      <w:bCs/>
                      <w:kern w:val="0"/>
                      <w:szCs w:val="21"/>
                    </w:rPr>
                  </w:pPr>
                  <w:r>
                    <w:rPr>
                      <w:b/>
                      <w:bCs/>
                      <w:kern w:val="0"/>
                      <w:szCs w:val="21"/>
                    </w:rPr>
                    <w:t>空间相对位置/m</w:t>
                  </w:r>
                </w:p>
              </w:tc>
              <w:tc>
                <w:tcPr>
                  <w:tcW w:w="320" w:type="pct"/>
                  <w:vMerge w:val="restart"/>
                  <w:shd w:val="clear" w:color="auto" w:fill="auto"/>
                  <w:vAlign w:val="center"/>
                </w:tcPr>
                <w:p w14:paraId="328D407D">
                  <w:pPr>
                    <w:widowControl/>
                    <w:jc w:val="center"/>
                    <w:rPr>
                      <w:b/>
                      <w:bCs/>
                      <w:kern w:val="0"/>
                      <w:szCs w:val="21"/>
                    </w:rPr>
                  </w:pPr>
                  <w:r>
                    <w:rPr>
                      <w:b/>
                      <w:bCs/>
                      <w:kern w:val="0"/>
                      <w:szCs w:val="21"/>
                    </w:rPr>
                    <w:t>距室内边界距离/m</w:t>
                  </w:r>
                </w:p>
              </w:tc>
              <w:tc>
                <w:tcPr>
                  <w:tcW w:w="320" w:type="pct"/>
                  <w:vMerge w:val="restart"/>
                  <w:shd w:val="clear" w:color="auto" w:fill="auto"/>
                  <w:vAlign w:val="center"/>
                </w:tcPr>
                <w:p w14:paraId="6FEFD120">
                  <w:pPr>
                    <w:widowControl/>
                    <w:jc w:val="center"/>
                    <w:rPr>
                      <w:b/>
                      <w:bCs/>
                      <w:kern w:val="0"/>
                      <w:szCs w:val="21"/>
                    </w:rPr>
                  </w:pPr>
                  <w:r>
                    <w:rPr>
                      <w:b/>
                      <w:bCs/>
                      <w:kern w:val="0"/>
                      <w:szCs w:val="21"/>
                    </w:rPr>
                    <w:t>室内边界声级/dB(A)</w:t>
                  </w:r>
                </w:p>
              </w:tc>
              <w:tc>
                <w:tcPr>
                  <w:tcW w:w="320" w:type="pct"/>
                  <w:vMerge w:val="restart"/>
                  <w:shd w:val="clear" w:color="auto" w:fill="auto"/>
                  <w:vAlign w:val="center"/>
                </w:tcPr>
                <w:p w14:paraId="5E36B109">
                  <w:pPr>
                    <w:widowControl/>
                    <w:jc w:val="center"/>
                    <w:rPr>
                      <w:b/>
                      <w:bCs/>
                      <w:kern w:val="0"/>
                      <w:szCs w:val="21"/>
                    </w:rPr>
                  </w:pPr>
                  <w:r>
                    <w:rPr>
                      <w:b/>
                      <w:bCs/>
                      <w:kern w:val="0"/>
                      <w:szCs w:val="21"/>
                    </w:rPr>
                    <w:t>运行时段</w:t>
                  </w:r>
                </w:p>
              </w:tc>
              <w:tc>
                <w:tcPr>
                  <w:tcW w:w="320" w:type="pct"/>
                  <w:vMerge w:val="restart"/>
                  <w:shd w:val="clear" w:color="auto" w:fill="auto"/>
                  <w:vAlign w:val="center"/>
                </w:tcPr>
                <w:p w14:paraId="73327C36">
                  <w:pPr>
                    <w:widowControl/>
                    <w:jc w:val="center"/>
                    <w:rPr>
                      <w:b/>
                      <w:bCs/>
                      <w:kern w:val="0"/>
                      <w:szCs w:val="21"/>
                    </w:rPr>
                  </w:pPr>
                  <w:r>
                    <w:rPr>
                      <w:b/>
                      <w:bCs/>
                      <w:kern w:val="0"/>
                      <w:szCs w:val="21"/>
                    </w:rPr>
                    <w:t>建筑物插入损失/dB(A)</w:t>
                  </w:r>
                </w:p>
              </w:tc>
              <w:tc>
                <w:tcPr>
                  <w:tcW w:w="639" w:type="pct"/>
                  <w:gridSpan w:val="2"/>
                  <w:shd w:val="clear" w:color="auto" w:fill="auto"/>
                  <w:vAlign w:val="center"/>
                </w:tcPr>
                <w:p w14:paraId="72D40A91">
                  <w:pPr>
                    <w:widowControl/>
                    <w:jc w:val="center"/>
                    <w:rPr>
                      <w:b/>
                      <w:bCs/>
                      <w:kern w:val="0"/>
                      <w:szCs w:val="21"/>
                    </w:rPr>
                  </w:pPr>
                  <w:r>
                    <w:rPr>
                      <w:b/>
                      <w:bCs/>
                      <w:kern w:val="0"/>
                      <w:szCs w:val="21"/>
                    </w:rPr>
                    <w:t>建筑物外噪声</w:t>
                  </w:r>
                </w:p>
              </w:tc>
            </w:tr>
            <w:tr w14:paraId="5FF19C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89" w:type="pct"/>
                  <w:vMerge w:val="continue"/>
                  <w:vAlign w:val="center"/>
                </w:tcPr>
                <w:p w14:paraId="45D9116B">
                  <w:pPr>
                    <w:widowControl/>
                    <w:jc w:val="left"/>
                    <w:rPr>
                      <w:b/>
                      <w:bCs/>
                      <w:kern w:val="0"/>
                      <w:szCs w:val="21"/>
                    </w:rPr>
                  </w:pPr>
                </w:p>
              </w:tc>
              <w:tc>
                <w:tcPr>
                  <w:tcW w:w="392" w:type="pct"/>
                  <w:vMerge w:val="continue"/>
                  <w:vAlign w:val="center"/>
                </w:tcPr>
                <w:p w14:paraId="337E1E06">
                  <w:pPr>
                    <w:widowControl/>
                    <w:jc w:val="left"/>
                    <w:rPr>
                      <w:b/>
                      <w:bCs/>
                      <w:kern w:val="0"/>
                      <w:szCs w:val="21"/>
                    </w:rPr>
                  </w:pPr>
                </w:p>
              </w:tc>
              <w:tc>
                <w:tcPr>
                  <w:tcW w:w="392" w:type="pct"/>
                  <w:vMerge w:val="continue"/>
                  <w:vAlign w:val="center"/>
                </w:tcPr>
                <w:p w14:paraId="08529217">
                  <w:pPr>
                    <w:widowControl/>
                    <w:jc w:val="left"/>
                    <w:rPr>
                      <w:b/>
                      <w:bCs/>
                      <w:kern w:val="0"/>
                      <w:szCs w:val="21"/>
                    </w:rPr>
                  </w:pPr>
                </w:p>
              </w:tc>
              <w:tc>
                <w:tcPr>
                  <w:tcW w:w="280" w:type="pct"/>
                  <w:vMerge w:val="continue"/>
                  <w:vAlign w:val="center"/>
                </w:tcPr>
                <w:p w14:paraId="62BB41E3">
                  <w:pPr>
                    <w:widowControl/>
                    <w:jc w:val="left"/>
                    <w:rPr>
                      <w:b/>
                      <w:bCs/>
                      <w:kern w:val="0"/>
                      <w:szCs w:val="21"/>
                    </w:rPr>
                  </w:pPr>
                </w:p>
              </w:tc>
              <w:tc>
                <w:tcPr>
                  <w:tcW w:w="447" w:type="pct"/>
                  <w:shd w:val="clear" w:color="auto" w:fill="auto"/>
                  <w:vAlign w:val="center"/>
                </w:tcPr>
                <w:p w14:paraId="44DB90E2">
                  <w:pPr>
                    <w:widowControl/>
                    <w:jc w:val="center"/>
                    <w:rPr>
                      <w:b/>
                      <w:bCs/>
                      <w:kern w:val="0"/>
                      <w:szCs w:val="21"/>
                    </w:rPr>
                  </w:pPr>
                  <w:r>
                    <w:rPr>
                      <w:b/>
                      <w:bCs/>
                      <w:kern w:val="0"/>
                      <w:szCs w:val="21"/>
                    </w:rPr>
                    <w:t>声功率级/dB(A)</w:t>
                  </w:r>
                </w:p>
              </w:tc>
              <w:tc>
                <w:tcPr>
                  <w:tcW w:w="320" w:type="pct"/>
                  <w:vMerge w:val="continue"/>
                  <w:vAlign w:val="center"/>
                </w:tcPr>
                <w:p w14:paraId="36520BC3">
                  <w:pPr>
                    <w:widowControl/>
                    <w:jc w:val="left"/>
                    <w:rPr>
                      <w:b/>
                      <w:bCs/>
                      <w:kern w:val="0"/>
                      <w:szCs w:val="21"/>
                    </w:rPr>
                  </w:pPr>
                </w:p>
              </w:tc>
              <w:tc>
                <w:tcPr>
                  <w:tcW w:w="320" w:type="pct"/>
                  <w:shd w:val="clear" w:color="auto" w:fill="auto"/>
                  <w:vAlign w:val="center"/>
                </w:tcPr>
                <w:p w14:paraId="049A13A2">
                  <w:pPr>
                    <w:widowControl/>
                    <w:jc w:val="center"/>
                    <w:rPr>
                      <w:b/>
                      <w:bCs/>
                      <w:kern w:val="0"/>
                      <w:szCs w:val="21"/>
                    </w:rPr>
                  </w:pPr>
                  <w:r>
                    <w:rPr>
                      <w:b/>
                      <w:bCs/>
                      <w:kern w:val="0"/>
                      <w:szCs w:val="21"/>
                    </w:rPr>
                    <w:t>X</w:t>
                  </w:r>
                </w:p>
              </w:tc>
              <w:tc>
                <w:tcPr>
                  <w:tcW w:w="320" w:type="pct"/>
                  <w:shd w:val="clear" w:color="auto" w:fill="auto"/>
                  <w:vAlign w:val="center"/>
                </w:tcPr>
                <w:p w14:paraId="25EFCE86">
                  <w:pPr>
                    <w:widowControl/>
                    <w:jc w:val="center"/>
                    <w:rPr>
                      <w:b/>
                      <w:bCs/>
                      <w:kern w:val="0"/>
                      <w:szCs w:val="21"/>
                    </w:rPr>
                  </w:pPr>
                  <w:r>
                    <w:rPr>
                      <w:b/>
                      <w:bCs/>
                      <w:kern w:val="0"/>
                      <w:szCs w:val="21"/>
                    </w:rPr>
                    <w:t>Y</w:t>
                  </w:r>
                </w:p>
              </w:tc>
              <w:tc>
                <w:tcPr>
                  <w:tcW w:w="321" w:type="pct"/>
                  <w:shd w:val="clear" w:color="auto" w:fill="auto"/>
                  <w:vAlign w:val="center"/>
                </w:tcPr>
                <w:p w14:paraId="7BD2A5A5">
                  <w:pPr>
                    <w:widowControl/>
                    <w:jc w:val="center"/>
                    <w:rPr>
                      <w:b/>
                      <w:bCs/>
                      <w:kern w:val="0"/>
                      <w:szCs w:val="21"/>
                    </w:rPr>
                  </w:pPr>
                  <w:r>
                    <w:rPr>
                      <w:b/>
                      <w:bCs/>
                      <w:kern w:val="0"/>
                      <w:szCs w:val="21"/>
                    </w:rPr>
                    <w:t>Z</w:t>
                  </w:r>
                </w:p>
              </w:tc>
              <w:tc>
                <w:tcPr>
                  <w:tcW w:w="320" w:type="pct"/>
                  <w:vMerge w:val="continue"/>
                  <w:vAlign w:val="center"/>
                </w:tcPr>
                <w:p w14:paraId="5B29A945">
                  <w:pPr>
                    <w:widowControl/>
                    <w:jc w:val="left"/>
                    <w:rPr>
                      <w:b/>
                      <w:bCs/>
                      <w:kern w:val="0"/>
                      <w:szCs w:val="21"/>
                    </w:rPr>
                  </w:pPr>
                </w:p>
              </w:tc>
              <w:tc>
                <w:tcPr>
                  <w:tcW w:w="320" w:type="pct"/>
                  <w:vMerge w:val="continue"/>
                  <w:vAlign w:val="center"/>
                </w:tcPr>
                <w:p w14:paraId="684F9F7E">
                  <w:pPr>
                    <w:widowControl/>
                    <w:jc w:val="left"/>
                    <w:rPr>
                      <w:b/>
                      <w:bCs/>
                      <w:kern w:val="0"/>
                      <w:szCs w:val="21"/>
                    </w:rPr>
                  </w:pPr>
                </w:p>
              </w:tc>
              <w:tc>
                <w:tcPr>
                  <w:tcW w:w="320" w:type="pct"/>
                  <w:vMerge w:val="continue"/>
                  <w:vAlign w:val="center"/>
                </w:tcPr>
                <w:p w14:paraId="51A6A666">
                  <w:pPr>
                    <w:widowControl/>
                    <w:jc w:val="left"/>
                    <w:rPr>
                      <w:b/>
                      <w:bCs/>
                      <w:kern w:val="0"/>
                      <w:szCs w:val="21"/>
                    </w:rPr>
                  </w:pPr>
                </w:p>
              </w:tc>
              <w:tc>
                <w:tcPr>
                  <w:tcW w:w="320" w:type="pct"/>
                  <w:vMerge w:val="continue"/>
                  <w:vAlign w:val="center"/>
                </w:tcPr>
                <w:p w14:paraId="014A7A0A">
                  <w:pPr>
                    <w:widowControl/>
                    <w:jc w:val="left"/>
                    <w:rPr>
                      <w:b/>
                      <w:bCs/>
                      <w:kern w:val="0"/>
                      <w:szCs w:val="21"/>
                    </w:rPr>
                  </w:pPr>
                </w:p>
              </w:tc>
              <w:tc>
                <w:tcPr>
                  <w:tcW w:w="320" w:type="pct"/>
                  <w:shd w:val="clear" w:color="auto" w:fill="auto"/>
                  <w:vAlign w:val="center"/>
                </w:tcPr>
                <w:p w14:paraId="21388316">
                  <w:pPr>
                    <w:widowControl/>
                    <w:jc w:val="center"/>
                    <w:rPr>
                      <w:b/>
                      <w:bCs/>
                      <w:kern w:val="0"/>
                      <w:szCs w:val="21"/>
                    </w:rPr>
                  </w:pPr>
                  <w:r>
                    <w:rPr>
                      <w:b/>
                      <w:bCs/>
                      <w:kern w:val="0"/>
                      <w:szCs w:val="21"/>
                    </w:rPr>
                    <w:t>声压级/dB(A)</w:t>
                  </w:r>
                </w:p>
              </w:tc>
              <w:tc>
                <w:tcPr>
                  <w:tcW w:w="319" w:type="pct"/>
                  <w:shd w:val="clear" w:color="auto" w:fill="auto"/>
                  <w:vAlign w:val="center"/>
                </w:tcPr>
                <w:p w14:paraId="1009B857">
                  <w:pPr>
                    <w:widowControl/>
                    <w:jc w:val="center"/>
                    <w:rPr>
                      <w:b/>
                      <w:bCs/>
                      <w:kern w:val="0"/>
                      <w:szCs w:val="21"/>
                    </w:rPr>
                  </w:pPr>
                  <w:r>
                    <w:rPr>
                      <w:b/>
                      <w:bCs/>
                      <w:kern w:val="0"/>
                      <w:szCs w:val="21"/>
                    </w:rPr>
                    <w:t>建筑物外距离/m</w:t>
                  </w:r>
                </w:p>
              </w:tc>
            </w:tr>
            <w:tr w14:paraId="79BC67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9" w:type="pct"/>
                  <w:vMerge w:val="restart"/>
                  <w:shd w:val="clear" w:color="auto" w:fill="auto"/>
                  <w:vAlign w:val="center"/>
                </w:tcPr>
                <w:p w14:paraId="53067BD2">
                  <w:pPr>
                    <w:widowControl/>
                    <w:jc w:val="center"/>
                    <w:rPr>
                      <w:kern w:val="0"/>
                      <w:szCs w:val="21"/>
                    </w:rPr>
                  </w:pPr>
                  <w:r>
                    <w:rPr>
                      <w:kern w:val="0"/>
                      <w:szCs w:val="21"/>
                    </w:rPr>
                    <w:t>1</w:t>
                  </w:r>
                </w:p>
              </w:tc>
              <w:tc>
                <w:tcPr>
                  <w:tcW w:w="392" w:type="pct"/>
                  <w:vMerge w:val="restart"/>
                  <w:shd w:val="clear" w:color="auto" w:fill="auto"/>
                  <w:vAlign w:val="center"/>
                </w:tcPr>
                <w:p w14:paraId="3AC905D9">
                  <w:pPr>
                    <w:widowControl/>
                    <w:jc w:val="center"/>
                    <w:rPr>
                      <w:kern w:val="0"/>
                      <w:szCs w:val="21"/>
                    </w:rPr>
                  </w:pPr>
                  <w:r>
                    <w:rPr>
                      <w:kern w:val="0"/>
                      <w:szCs w:val="21"/>
                    </w:rPr>
                    <w:t>纺丝车间2</w:t>
                  </w:r>
                </w:p>
              </w:tc>
              <w:tc>
                <w:tcPr>
                  <w:tcW w:w="392" w:type="pct"/>
                  <w:shd w:val="clear" w:color="auto" w:fill="auto"/>
                  <w:vAlign w:val="center"/>
                </w:tcPr>
                <w:p w14:paraId="4CF23883">
                  <w:pPr>
                    <w:widowControl/>
                    <w:jc w:val="center"/>
                    <w:rPr>
                      <w:kern w:val="0"/>
                      <w:szCs w:val="21"/>
                    </w:rPr>
                  </w:pPr>
                  <w:r>
                    <w:rPr>
                      <w:kern w:val="0"/>
                      <w:szCs w:val="21"/>
                    </w:rPr>
                    <w:t>风管送风式空调机组</w:t>
                  </w:r>
                </w:p>
              </w:tc>
              <w:tc>
                <w:tcPr>
                  <w:tcW w:w="280" w:type="pct"/>
                  <w:shd w:val="clear" w:color="auto" w:fill="auto"/>
                  <w:vAlign w:val="center"/>
                </w:tcPr>
                <w:p w14:paraId="036EDBE6">
                  <w:pPr>
                    <w:widowControl/>
                    <w:jc w:val="center"/>
                    <w:rPr>
                      <w:kern w:val="0"/>
                      <w:szCs w:val="21"/>
                    </w:rPr>
                  </w:pPr>
                  <w:r>
                    <w:rPr>
                      <w:kern w:val="0"/>
                      <w:szCs w:val="21"/>
                    </w:rPr>
                    <w:t>7</w:t>
                  </w:r>
                </w:p>
              </w:tc>
              <w:tc>
                <w:tcPr>
                  <w:tcW w:w="447" w:type="pct"/>
                  <w:shd w:val="clear" w:color="auto" w:fill="auto"/>
                  <w:vAlign w:val="center"/>
                </w:tcPr>
                <w:p w14:paraId="4EF6C605">
                  <w:pPr>
                    <w:widowControl/>
                    <w:jc w:val="center"/>
                    <w:rPr>
                      <w:kern w:val="0"/>
                      <w:szCs w:val="21"/>
                    </w:rPr>
                  </w:pPr>
                  <w:r>
                    <w:rPr>
                      <w:kern w:val="0"/>
                      <w:szCs w:val="21"/>
                    </w:rPr>
                    <w:t>90</w:t>
                  </w:r>
                </w:p>
              </w:tc>
              <w:tc>
                <w:tcPr>
                  <w:tcW w:w="320" w:type="pct"/>
                  <w:vMerge w:val="restart"/>
                  <w:shd w:val="clear" w:color="auto" w:fill="auto"/>
                  <w:vAlign w:val="center"/>
                </w:tcPr>
                <w:p w14:paraId="6C1781E2">
                  <w:pPr>
                    <w:widowControl/>
                    <w:jc w:val="center"/>
                    <w:rPr>
                      <w:kern w:val="0"/>
                      <w:szCs w:val="21"/>
                    </w:rPr>
                  </w:pPr>
                  <w:r>
                    <w:rPr>
                      <w:kern w:val="0"/>
                      <w:szCs w:val="21"/>
                    </w:rPr>
                    <w:t>厂房隔声、隔声罩、装减振底座</w:t>
                  </w:r>
                </w:p>
              </w:tc>
              <w:tc>
                <w:tcPr>
                  <w:tcW w:w="320" w:type="pct"/>
                  <w:shd w:val="clear" w:color="auto" w:fill="auto"/>
                  <w:vAlign w:val="center"/>
                </w:tcPr>
                <w:p w14:paraId="5CDEB3A9">
                  <w:pPr>
                    <w:widowControl/>
                    <w:jc w:val="center"/>
                    <w:rPr>
                      <w:kern w:val="0"/>
                      <w:szCs w:val="21"/>
                    </w:rPr>
                  </w:pPr>
                  <w:r>
                    <w:rPr>
                      <w:kern w:val="0"/>
                      <w:szCs w:val="21"/>
                    </w:rPr>
                    <w:t>859</w:t>
                  </w:r>
                </w:p>
              </w:tc>
              <w:tc>
                <w:tcPr>
                  <w:tcW w:w="320" w:type="pct"/>
                  <w:shd w:val="clear" w:color="auto" w:fill="auto"/>
                  <w:vAlign w:val="center"/>
                </w:tcPr>
                <w:p w14:paraId="669F3E46">
                  <w:pPr>
                    <w:widowControl/>
                    <w:jc w:val="center"/>
                    <w:rPr>
                      <w:kern w:val="0"/>
                      <w:szCs w:val="21"/>
                    </w:rPr>
                  </w:pPr>
                  <w:r>
                    <w:rPr>
                      <w:kern w:val="0"/>
                      <w:szCs w:val="21"/>
                    </w:rPr>
                    <w:t>346</w:t>
                  </w:r>
                </w:p>
              </w:tc>
              <w:tc>
                <w:tcPr>
                  <w:tcW w:w="321" w:type="pct"/>
                  <w:shd w:val="clear" w:color="auto" w:fill="auto"/>
                  <w:vAlign w:val="center"/>
                </w:tcPr>
                <w:p w14:paraId="0624E225">
                  <w:pPr>
                    <w:widowControl/>
                    <w:jc w:val="center"/>
                    <w:rPr>
                      <w:kern w:val="0"/>
                      <w:szCs w:val="21"/>
                    </w:rPr>
                  </w:pPr>
                  <w:r>
                    <w:rPr>
                      <w:kern w:val="0"/>
                      <w:szCs w:val="21"/>
                    </w:rPr>
                    <w:t>26</w:t>
                  </w:r>
                </w:p>
              </w:tc>
              <w:tc>
                <w:tcPr>
                  <w:tcW w:w="320" w:type="pct"/>
                  <w:shd w:val="clear" w:color="auto" w:fill="auto"/>
                  <w:vAlign w:val="center"/>
                </w:tcPr>
                <w:p w14:paraId="50044955">
                  <w:pPr>
                    <w:widowControl/>
                    <w:jc w:val="center"/>
                    <w:rPr>
                      <w:kern w:val="0"/>
                      <w:szCs w:val="21"/>
                    </w:rPr>
                  </w:pPr>
                  <w:r>
                    <w:rPr>
                      <w:kern w:val="0"/>
                      <w:szCs w:val="21"/>
                    </w:rPr>
                    <w:t>10</w:t>
                  </w:r>
                </w:p>
              </w:tc>
              <w:tc>
                <w:tcPr>
                  <w:tcW w:w="320" w:type="pct"/>
                  <w:shd w:val="clear" w:color="auto" w:fill="auto"/>
                  <w:vAlign w:val="center"/>
                </w:tcPr>
                <w:p w14:paraId="4F7E1BF1">
                  <w:pPr>
                    <w:widowControl/>
                    <w:jc w:val="center"/>
                    <w:rPr>
                      <w:kern w:val="0"/>
                      <w:szCs w:val="21"/>
                    </w:rPr>
                  </w:pPr>
                  <w:r>
                    <w:rPr>
                      <w:kern w:val="0"/>
                      <w:szCs w:val="21"/>
                    </w:rPr>
                    <w:t>80</w:t>
                  </w:r>
                </w:p>
              </w:tc>
              <w:tc>
                <w:tcPr>
                  <w:tcW w:w="320" w:type="pct"/>
                  <w:vMerge w:val="restart"/>
                  <w:shd w:val="clear" w:color="auto" w:fill="auto"/>
                  <w:vAlign w:val="center"/>
                </w:tcPr>
                <w:p w14:paraId="3402D321">
                  <w:pPr>
                    <w:widowControl/>
                    <w:jc w:val="center"/>
                    <w:rPr>
                      <w:kern w:val="0"/>
                      <w:szCs w:val="21"/>
                    </w:rPr>
                  </w:pPr>
                  <w:r>
                    <w:rPr>
                      <w:kern w:val="0"/>
                      <w:szCs w:val="21"/>
                    </w:rPr>
                    <w:t>24h</w:t>
                  </w:r>
                </w:p>
              </w:tc>
              <w:tc>
                <w:tcPr>
                  <w:tcW w:w="320" w:type="pct"/>
                  <w:shd w:val="clear" w:color="auto" w:fill="auto"/>
                  <w:vAlign w:val="center"/>
                </w:tcPr>
                <w:p w14:paraId="6B6A6603">
                  <w:pPr>
                    <w:widowControl/>
                    <w:jc w:val="center"/>
                    <w:rPr>
                      <w:kern w:val="0"/>
                      <w:szCs w:val="21"/>
                    </w:rPr>
                  </w:pPr>
                  <w:r>
                    <w:rPr>
                      <w:kern w:val="0"/>
                      <w:szCs w:val="21"/>
                    </w:rPr>
                    <w:t>15</w:t>
                  </w:r>
                </w:p>
              </w:tc>
              <w:tc>
                <w:tcPr>
                  <w:tcW w:w="320" w:type="pct"/>
                  <w:shd w:val="clear" w:color="auto" w:fill="auto"/>
                  <w:vAlign w:val="center"/>
                </w:tcPr>
                <w:p w14:paraId="6BD876CD">
                  <w:pPr>
                    <w:widowControl/>
                    <w:jc w:val="center"/>
                    <w:rPr>
                      <w:kern w:val="0"/>
                      <w:szCs w:val="21"/>
                    </w:rPr>
                  </w:pPr>
                  <w:r>
                    <w:rPr>
                      <w:kern w:val="0"/>
                      <w:szCs w:val="21"/>
                    </w:rPr>
                    <w:t>65</w:t>
                  </w:r>
                </w:p>
              </w:tc>
              <w:tc>
                <w:tcPr>
                  <w:tcW w:w="319" w:type="pct"/>
                  <w:shd w:val="clear" w:color="auto" w:fill="auto"/>
                  <w:vAlign w:val="center"/>
                </w:tcPr>
                <w:p w14:paraId="6A527E19">
                  <w:pPr>
                    <w:widowControl/>
                    <w:jc w:val="center"/>
                    <w:rPr>
                      <w:kern w:val="0"/>
                      <w:szCs w:val="21"/>
                    </w:rPr>
                  </w:pPr>
                  <w:r>
                    <w:rPr>
                      <w:kern w:val="0"/>
                      <w:szCs w:val="21"/>
                    </w:rPr>
                    <w:t>1</w:t>
                  </w:r>
                </w:p>
              </w:tc>
            </w:tr>
            <w:tr w14:paraId="6E511A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9" w:type="pct"/>
                  <w:vMerge w:val="continue"/>
                  <w:vAlign w:val="center"/>
                </w:tcPr>
                <w:p w14:paraId="4BC8C770">
                  <w:pPr>
                    <w:widowControl/>
                    <w:jc w:val="left"/>
                    <w:rPr>
                      <w:kern w:val="0"/>
                      <w:szCs w:val="21"/>
                    </w:rPr>
                  </w:pPr>
                </w:p>
              </w:tc>
              <w:tc>
                <w:tcPr>
                  <w:tcW w:w="392" w:type="pct"/>
                  <w:vMerge w:val="continue"/>
                  <w:vAlign w:val="center"/>
                </w:tcPr>
                <w:p w14:paraId="7097FC82">
                  <w:pPr>
                    <w:widowControl/>
                    <w:jc w:val="left"/>
                    <w:rPr>
                      <w:kern w:val="0"/>
                      <w:szCs w:val="21"/>
                    </w:rPr>
                  </w:pPr>
                </w:p>
              </w:tc>
              <w:tc>
                <w:tcPr>
                  <w:tcW w:w="392" w:type="pct"/>
                  <w:shd w:val="clear" w:color="auto" w:fill="auto"/>
                  <w:vAlign w:val="center"/>
                </w:tcPr>
                <w:p w14:paraId="11BF0BDA">
                  <w:pPr>
                    <w:widowControl/>
                    <w:jc w:val="center"/>
                    <w:rPr>
                      <w:kern w:val="0"/>
                      <w:szCs w:val="21"/>
                    </w:rPr>
                  </w:pPr>
                  <w:r>
                    <w:rPr>
                      <w:kern w:val="0"/>
                      <w:szCs w:val="21"/>
                    </w:rPr>
                    <w:t>风管送风式空调机组</w:t>
                  </w:r>
                </w:p>
              </w:tc>
              <w:tc>
                <w:tcPr>
                  <w:tcW w:w="280" w:type="pct"/>
                  <w:shd w:val="clear" w:color="auto" w:fill="auto"/>
                  <w:noWrap/>
                  <w:vAlign w:val="center"/>
                </w:tcPr>
                <w:p w14:paraId="69367126">
                  <w:pPr>
                    <w:widowControl/>
                    <w:jc w:val="center"/>
                    <w:rPr>
                      <w:kern w:val="0"/>
                      <w:szCs w:val="21"/>
                    </w:rPr>
                  </w:pPr>
                  <w:r>
                    <w:rPr>
                      <w:kern w:val="0"/>
                      <w:szCs w:val="21"/>
                    </w:rPr>
                    <w:t>6</w:t>
                  </w:r>
                </w:p>
              </w:tc>
              <w:tc>
                <w:tcPr>
                  <w:tcW w:w="447" w:type="pct"/>
                  <w:shd w:val="clear" w:color="auto" w:fill="auto"/>
                  <w:noWrap/>
                  <w:vAlign w:val="center"/>
                </w:tcPr>
                <w:p w14:paraId="689FBF88">
                  <w:pPr>
                    <w:widowControl/>
                    <w:jc w:val="center"/>
                    <w:rPr>
                      <w:kern w:val="0"/>
                      <w:szCs w:val="21"/>
                    </w:rPr>
                  </w:pPr>
                  <w:r>
                    <w:rPr>
                      <w:kern w:val="0"/>
                      <w:szCs w:val="21"/>
                    </w:rPr>
                    <w:t>90</w:t>
                  </w:r>
                </w:p>
              </w:tc>
              <w:tc>
                <w:tcPr>
                  <w:tcW w:w="320" w:type="pct"/>
                  <w:vMerge w:val="continue"/>
                  <w:vAlign w:val="center"/>
                </w:tcPr>
                <w:p w14:paraId="5383A07E">
                  <w:pPr>
                    <w:widowControl/>
                    <w:jc w:val="left"/>
                    <w:rPr>
                      <w:kern w:val="0"/>
                      <w:szCs w:val="21"/>
                    </w:rPr>
                  </w:pPr>
                </w:p>
              </w:tc>
              <w:tc>
                <w:tcPr>
                  <w:tcW w:w="320" w:type="pct"/>
                  <w:shd w:val="clear" w:color="auto" w:fill="auto"/>
                  <w:noWrap/>
                  <w:vAlign w:val="center"/>
                </w:tcPr>
                <w:p w14:paraId="7BB0E4AD">
                  <w:pPr>
                    <w:widowControl/>
                    <w:jc w:val="center"/>
                    <w:rPr>
                      <w:kern w:val="0"/>
                      <w:szCs w:val="21"/>
                    </w:rPr>
                  </w:pPr>
                  <w:r>
                    <w:rPr>
                      <w:kern w:val="0"/>
                      <w:szCs w:val="21"/>
                    </w:rPr>
                    <w:t>759</w:t>
                  </w:r>
                </w:p>
              </w:tc>
              <w:tc>
                <w:tcPr>
                  <w:tcW w:w="320" w:type="pct"/>
                  <w:shd w:val="clear" w:color="auto" w:fill="auto"/>
                  <w:noWrap/>
                  <w:vAlign w:val="center"/>
                </w:tcPr>
                <w:p w14:paraId="4C41B80F">
                  <w:pPr>
                    <w:widowControl/>
                    <w:jc w:val="center"/>
                    <w:rPr>
                      <w:kern w:val="0"/>
                      <w:szCs w:val="21"/>
                    </w:rPr>
                  </w:pPr>
                  <w:r>
                    <w:rPr>
                      <w:kern w:val="0"/>
                      <w:szCs w:val="21"/>
                    </w:rPr>
                    <w:t>326</w:t>
                  </w:r>
                </w:p>
              </w:tc>
              <w:tc>
                <w:tcPr>
                  <w:tcW w:w="321" w:type="pct"/>
                  <w:shd w:val="clear" w:color="auto" w:fill="auto"/>
                  <w:noWrap/>
                  <w:vAlign w:val="center"/>
                </w:tcPr>
                <w:p w14:paraId="103EF0FE">
                  <w:pPr>
                    <w:widowControl/>
                    <w:jc w:val="center"/>
                    <w:rPr>
                      <w:kern w:val="0"/>
                      <w:szCs w:val="21"/>
                    </w:rPr>
                  </w:pPr>
                  <w:r>
                    <w:rPr>
                      <w:kern w:val="0"/>
                      <w:szCs w:val="21"/>
                    </w:rPr>
                    <w:t>26</w:t>
                  </w:r>
                </w:p>
              </w:tc>
              <w:tc>
                <w:tcPr>
                  <w:tcW w:w="320" w:type="pct"/>
                  <w:shd w:val="clear" w:color="auto" w:fill="auto"/>
                  <w:vAlign w:val="center"/>
                </w:tcPr>
                <w:p w14:paraId="59AFF612">
                  <w:pPr>
                    <w:widowControl/>
                    <w:jc w:val="center"/>
                    <w:rPr>
                      <w:kern w:val="0"/>
                      <w:szCs w:val="21"/>
                    </w:rPr>
                  </w:pPr>
                  <w:r>
                    <w:rPr>
                      <w:kern w:val="0"/>
                      <w:szCs w:val="21"/>
                    </w:rPr>
                    <w:t>10</w:t>
                  </w:r>
                </w:p>
              </w:tc>
              <w:tc>
                <w:tcPr>
                  <w:tcW w:w="320" w:type="pct"/>
                  <w:shd w:val="clear" w:color="auto" w:fill="auto"/>
                  <w:noWrap/>
                  <w:vAlign w:val="center"/>
                </w:tcPr>
                <w:p w14:paraId="4E7FFA6A">
                  <w:pPr>
                    <w:widowControl/>
                    <w:jc w:val="center"/>
                    <w:rPr>
                      <w:kern w:val="0"/>
                      <w:szCs w:val="21"/>
                    </w:rPr>
                  </w:pPr>
                  <w:r>
                    <w:rPr>
                      <w:kern w:val="0"/>
                      <w:szCs w:val="21"/>
                    </w:rPr>
                    <w:t>80</w:t>
                  </w:r>
                </w:p>
              </w:tc>
              <w:tc>
                <w:tcPr>
                  <w:tcW w:w="320" w:type="pct"/>
                  <w:vMerge w:val="continue"/>
                  <w:vAlign w:val="center"/>
                </w:tcPr>
                <w:p w14:paraId="1EB6813D">
                  <w:pPr>
                    <w:widowControl/>
                    <w:jc w:val="left"/>
                    <w:rPr>
                      <w:kern w:val="0"/>
                      <w:szCs w:val="21"/>
                    </w:rPr>
                  </w:pPr>
                </w:p>
              </w:tc>
              <w:tc>
                <w:tcPr>
                  <w:tcW w:w="320" w:type="pct"/>
                  <w:shd w:val="clear" w:color="auto" w:fill="auto"/>
                  <w:vAlign w:val="center"/>
                </w:tcPr>
                <w:p w14:paraId="5A88B4A2">
                  <w:pPr>
                    <w:widowControl/>
                    <w:jc w:val="center"/>
                    <w:rPr>
                      <w:kern w:val="0"/>
                      <w:szCs w:val="21"/>
                    </w:rPr>
                  </w:pPr>
                  <w:r>
                    <w:rPr>
                      <w:kern w:val="0"/>
                      <w:szCs w:val="21"/>
                    </w:rPr>
                    <w:t>15</w:t>
                  </w:r>
                </w:p>
              </w:tc>
              <w:tc>
                <w:tcPr>
                  <w:tcW w:w="320" w:type="pct"/>
                  <w:shd w:val="clear" w:color="auto" w:fill="auto"/>
                  <w:noWrap/>
                  <w:vAlign w:val="center"/>
                </w:tcPr>
                <w:p w14:paraId="4986A2E3">
                  <w:pPr>
                    <w:widowControl/>
                    <w:jc w:val="center"/>
                    <w:rPr>
                      <w:kern w:val="0"/>
                      <w:szCs w:val="21"/>
                    </w:rPr>
                  </w:pPr>
                  <w:r>
                    <w:rPr>
                      <w:kern w:val="0"/>
                      <w:szCs w:val="21"/>
                    </w:rPr>
                    <w:t>65</w:t>
                  </w:r>
                </w:p>
              </w:tc>
              <w:tc>
                <w:tcPr>
                  <w:tcW w:w="319" w:type="pct"/>
                  <w:shd w:val="clear" w:color="auto" w:fill="auto"/>
                  <w:vAlign w:val="center"/>
                </w:tcPr>
                <w:p w14:paraId="4D23B7DB">
                  <w:pPr>
                    <w:widowControl/>
                    <w:jc w:val="center"/>
                    <w:rPr>
                      <w:kern w:val="0"/>
                      <w:szCs w:val="21"/>
                    </w:rPr>
                  </w:pPr>
                  <w:r>
                    <w:rPr>
                      <w:kern w:val="0"/>
                      <w:szCs w:val="21"/>
                    </w:rPr>
                    <w:t>1</w:t>
                  </w:r>
                </w:p>
              </w:tc>
            </w:tr>
            <w:tr w14:paraId="381B8A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9" w:type="pct"/>
                  <w:vMerge w:val="restart"/>
                  <w:shd w:val="clear" w:color="auto" w:fill="auto"/>
                  <w:noWrap/>
                  <w:vAlign w:val="center"/>
                </w:tcPr>
                <w:p w14:paraId="387D5CC6">
                  <w:pPr>
                    <w:widowControl/>
                    <w:jc w:val="center"/>
                    <w:rPr>
                      <w:kern w:val="0"/>
                      <w:szCs w:val="21"/>
                    </w:rPr>
                  </w:pPr>
                  <w:r>
                    <w:rPr>
                      <w:kern w:val="0"/>
                      <w:szCs w:val="21"/>
                    </w:rPr>
                    <w:t>2</w:t>
                  </w:r>
                </w:p>
              </w:tc>
              <w:tc>
                <w:tcPr>
                  <w:tcW w:w="392" w:type="pct"/>
                  <w:vMerge w:val="restart"/>
                  <w:shd w:val="clear" w:color="auto" w:fill="auto"/>
                  <w:vAlign w:val="center"/>
                </w:tcPr>
                <w:p w14:paraId="3C5CE3FC">
                  <w:pPr>
                    <w:widowControl/>
                    <w:jc w:val="center"/>
                    <w:rPr>
                      <w:kern w:val="0"/>
                      <w:szCs w:val="21"/>
                    </w:rPr>
                  </w:pPr>
                  <w:r>
                    <w:rPr>
                      <w:kern w:val="0"/>
                      <w:szCs w:val="21"/>
                    </w:rPr>
                    <w:t>汽脱站</w:t>
                  </w:r>
                </w:p>
              </w:tc>
              <w:tc>
                <w:tcPr>
                  <w:tcW w:w="392" w:type="pct"/>
                  <w:shd w:val="clear" w:color="auto" w:fill="auto"/>
                  <w:vAlign w:val="center"/>
                </w:tcPr>
                <w:p w14:paraId="52A2FC09">
                  <w:pPr>
                    <w:widowControl/>
                    <w:jc w:val="center"/>
                    <w:rPr>
                      <w:kern w:val="0"/>
                      <w:szCs w:val="21"/>
                    </w:rPr>
                  </w:pPr>
                  <w:r>
                    <w:rPr>
                      <w:kern w:val="0"/>
                      <w:szCs w:val="21"/>
                    </w:rPr>
                    <w:t>发电机</w:t>
                  </w:r>
                </w:p>
              </w:tc>
              <w:tc>
                <w:tcPr>
                  <w:tcW w:w="280" w:type="pct"/>
                  <w:shd w:val="clear" w:color="auto" w:fill="auto"/>
                  <w:noWrap/>
                  <w:vAlign w:val="center"/>
                </w:tcPr>
                <w:p w14:paraId="51ABB5AB">
                  <w:pPr>
                    <w:widowControl/>
                    <w:jc w:val="center"/>
                    <w:rPr>
                      <w:kern w:val="0"/>
                      <w:szCs w:val="21"/>
                    </w:rPr>
                  </w:pPr>
                  <w:r>
                    <w:rPr>
                      <w:kern w:val="0"/>
                      <w:szCs w:val="21"/>
                    </w:rPr>
                    <w:t>1</w:t>
                  </w:r>
                </w:p>
              </w:tc>
              <w:tc>
                <w:tcPr>
                  <w:tcW w:w="447" w:type="pct"/>
                  <w:shd w:val="clear" w:color="auto" w:fill="auto"/>
                  <w:noWrap/>
                  <w:vAlign w:val="center"/>
                </w:tcPr>
                <w:p w14:paraId="43653724">
                  <w:pPr>
                    <w:widowControl/>
                    <w:jc w:val="center"/>
                    <w:rPr>
                      <w:kern w:val="0"/>
                      <w:szCs w:val="21"/>
                    </w:rPr>
                  </w:pPr>
                  <w:r>
                    <w:rPr>
                      <w:kern w:val="0"/>
                      <w:szCs w:val="21"/>
                    </w:rPr>
                    <w:t>85</w:t>
                  </w:r>
                </w:p>
              </w:tc>
              <w:tc>
                <w:tcPr>
                  <w:tcW w:w="320" w:type="pct"/>
                  <w:vMerge w:val="continue"/>
                  <w:vAlign w:val="center"/>
                </w:tcPr>
                <w:p w14:paraId="1D0127A3">
                  <w:pPr>
                    <w:widowControl/>
                    <w:jc w:val="left"/>
                    <w:rPr>
                      <w:kern w:val="0"/>
                      <w:szCs w:val="21"/>
                    </w:rPr>
                  </w:pPr>
                </w:p>
              </w:tc>
              <w:tc>
                <w:tcPr>
                  <w:tcW w:w="320" w:type="pct"/>
                  <w:shd w:val="clear" w:color="auto" w:fill="auto"/>
                  <w:noWrap/>
                  <w:vAlign w:val="center"/>
                </w:tcPr>
                <w:p w14:paraId="505A5D99">
                  <w:pPr>
                    <w:widowControl/>
                    <w:jc w:val="center"/>
                    <w:rPr>
                      <w:kern w:val="0"/>
                      <w:szCs w:val="21"/>
                    </w:rPr>
                  </w:pPr>
                  <w:r>
                    <w:rPr>
                      <w:kern w:val="0"/>
                      <w:szCs w:val="21"/>
                    </w:rPr>
                    <w:t>819</w:t>
                  </w:r>
                </w:p>
              </w:tc>
              <w:tc>
                <w:tcPr>
                  <w:tcW w:w="320" w:type="pct"/>
                  <w:shd w:val="clear" w:color="auto" w:fill="auto"/>
                  <w:noWrap/>
                  <w:vAlign w:val="center"/>
                </w:tcPr>
                <w:p w14:paraId="35C59811">
                  <w:pPr>
                    <w:widowControl/>
                    <w:jc w:val="center"/>
                    <w:rPr>
                      <w:kern w:val="0"/>
                      <w:szCs w:val="21"/>
                    </w:rPr>
                  </w:pPr>
                  <w:r>
                    <w:rPr>
                      <w:kern w:val="0"/>
                      <w:szCs w:val="21"/>
                    </w:rPr>
                    <w:t>506</w:t>
                  </w:r>
                </w:p>
              </w:tc>
              <w:tc>
                <w:tcPr>
                  <w:tcW w:w="321" w:type="pct"/>
                  <w:shd w:val="clear" w:color="auto" w:fill="auto"/>
                  <w:noWrap/>
                  <w:vAlign w:val="center"/>
                </w:tcPr>
                <w:p w14:paraId="786783B6">
                  <w:pPr>
                    <w:widowControl/>
                    <w:jc w:val="center"/>
                    <w:rPr>
                      <w:kern w:val="0"/>
                      <w:szCs w:val="21"/>
                    </w:rPr>
                  </w:pPr>
                  <w:r>
                    <w:rPr>
                      <w:kern w:val="0"/>
                      <w:szCs w:val="21"/>
                    </w:rPr>
                    <w:t>0.5</w:t>
                  </w:r>
                </w:p>
              </w:tc>
              <w:tc>
                <w:tcPr>
                  <w:tcW w:w="320" w:type="pct"/>
                  <w:shd w:val="clear" w:color="auto" w:fill="auto"/>
                  <w:vAlign w:val="center"/>
                </w:tcPr>
                <w:p w14:paraId="3634DE85">
                  <w:pPr>
                    <w:widowControl/>
                    <w:jc w:val="center"/>
                    <w:rPr>
                      <w:kern w:val="0"/>
                      <w:szCs w:val="21"/>
                    </w:rPr>
                  </w:pPr>
                  <w:r>
                    <w:rPr>
                      <w:kern w:val="0"/>
                      <w:szCs w:val="21"/>
                    </w:rPr>
                    <w:t>10</w:t>
                  </w:r>
                </w:p>
              </w:tc>
              <w:tc>
                <w:tcPr>
                  <w:tcW w:w="320" w:type="pct"/>
                  <w:shd w:val="clear" w:color="auto" w:fill="auto"/>
                  <w:noWrap/>
                  <w:vAlign w:val="center"/>
                </w:tcPr>
                <w:p w14:paraId="25496278">
                  <w:pPr>
                    <w:widowControl/>
                    <w:jc w:val="center"/>
                    <w:rPr>
                      <w:kern w:val="0"/>
                      <w:szCs w:val="21"/>
                    </w:rPr>
                  </w:pPr>
                  <w:r>
                    <w:rPr>
                      <w:kern w:val="0"/>
                      <w:szCs w:val="21"/>
                    </w:rPr>
                    <w:t>75</w:t>
                  </w:r>
                </w:p>
              </w:tc>
              <w:tc>
                <w:tcPr>
                  <w:tcW w:w="320" w:type="pct"/>
                  <w:vMerge w:val="continue"/>
                  <w:vAlign w:val="center"/>
                </w:tcPr>
                <w:p w14:paraId="0B535A62">
                  <w:pPr>
                    <w:widowControl/>
                    <w:jc w:val="left"/>
                    <w:rPr>
                      <w:kern w:val="0"/>
                      <w:szCs w:val="21"/>
                    </w:rPr>
                  </w:pPr>
                </w:p>
              </w:tc>
              <w:tc>
                <w:tcPr>
                  <w:tcW w:w="320" w:type="pct"/>
                  <w:shd w:val="clear" w:color="auto" w:fill="auto"/>
                  <w:vAlign w:val="center"/>
                </w:tcPr>
                <w:p w14:paraId="17BF0B57">
                  <w:pPr>
                    <w:widowControl/>
                    <w:jc w:val="center"/>
                    <w:rPr>
                      <w:kern w:val="0"/>
                      <w:szCs w:val="21"/>
                    </w:rPr>
                  </w:pPr>
                  <w:r>
                    <w:rPr>
                      <w:kern w:val="0"/>
                      <w:szCs w:val="21"/>
                    </w:rPr>
                    <w:t>15</w:t>
                  </w:r>
                </w:p>
              </w:tc>
              <w:tc>
                <w:tcPr>
                  <w:tcW w:w="320" w:type="pct"/>
                  <w:shd w:val="clear" w:color="auto" w:fill="auto"/>
                  <w:noWrap/>
                  <w:vAlign w:val="center"/>
                </w:tcPr>
                <w:p w14:paraId="1722C2C1">
                  <w:pPr>
                    <w:widowControl/>
                    <w:jc w:val="center"/>
                    <w:rPr>
                      <w:kern w:val="0"/>
                      <w:szCs w:val="21"/>
                    </w:rPr>
                  </w:pPr>
                  <w:r>
                    <w:rPr>
                      <w:kern w:val="0"/>
                      <w:szCs w:val="21"/>
                    </w:rPr>
                    <w:t>60</w:t>
                  </w:r>
                </w:p>
              </w:tc>
              <w:tc>
                <w:tcPr>
                  <w:tcW w:w="319" w:type="pct"/>
                  <w:shd w:val="clear" w:color="auto" w:fill="auto"/>
                  <w:vAlign w:val="center"/>
                </w:tcPr>
                <w:p w14:paraId="2B9617CB">
                  <w:pPr>
                    <w:widowControl/>
                    <w:jc w:val="center"/>
                    <w:rPr>
                      <w:kern w:val="0"/>
                      <w:szCs w:val="21"/>
                    </w:rPr>
                  </w:pPr>
                  <w:r>
                    <w:rPr>
                      <w:kern w:val="0"/>
                      <w:szCs w:val="21"/>
                    </w:rPr>
                    <w:t>1</w:t>
                  </w:r>
                </w:p>
              </w:tc>
            </w:tr>
            <w:tr w14:paraId="20DE3B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9" w:type="pct"/>
                  <w:vMerge w:val="continue"/>
                  <w:vAlign w:val="center"/>
                </w:tcPr>
                <w:p w14:paraId="13A2320F">
                  <w:pPr>
                    <w:widowControl/>
                    <w:jc w:val="left"/>
                    <w:rPr>
                      <w:kern w:val="0"/>
                      <w:szCs w:val="21"/>
                    </w:rPr>
                  </w:pPr>
                </w:p>
              </w:tc>
              <w:tc>
                <w:tcPr>
                  <w:tcW w:w="392" w:type="pct"/>
                  <w:vMerge w:val="continue"/>
                  <w:vAlign w:val="center"/>
                </w:tcPr>
                <w:p w14:paraId="50672EAF">
                  <w:pPr>
                    <w:widowControl/>
                    <w:jc w:val="left"/>
                    <w:rPr>
                      <w:kern w:val="0"/>
                      <w:szCs w:val="21"/>
                    </w:rPr>
                  </w:pPr>
                </w:p>
              </w:tc>
              <w:tc>
                <w:tcPr>
                  <w:tcW w:w="392" w:type="pct"/>
                  <w:shd w:val="clear" w:color="auto" w:fill="auto"/>
                  <w:vAlign w:val="center"/>
                </w:tcPr>
                <w:p w14:paraId="2176C31F">
                  <w:pPr>
                    <w:widowControl/>
                    <w:jc w:val="center"/>
                    <w:rPr>
                      <w:kern w:val="0"/>
                      <w:szCs w:val="21"/>
                    </w:rPr>
                  </w:pPr>
                  <w:r>
                    <w:rPr>
                      <w:kern w:val="0"/>
                      <w:szCs w:val="21"/>
                    </w:rPr>
                    <w:t>空气压缩机组</w:t>
                  </w:r>
                </w:p>
              </w:tc>
              <w:tc>
                <w:tcPr>
                  <w:tcW w:w="280" w:type="pct"/>
                  <w:shd w:val="clear" w:color="auto" w:fill="auto"/>
                  <w:noWrap/>
                  <w:vAlign w:val="center"/>
                </w:tcPr>
                <w:p w14:paraId="6428440B">
                  <w:pPr>
                    <w:widowControl/>
                    <w:jc w:val="center"/>
                    <w:rPr>
                      <w:kern w:val="0"/>
                      <w:szCs w:val="21"/>
                    </w:rPr>
                  </w:pPr>
                  <w:r>
                    <w:rPr>
                      <w:kern w:val="0"/>
                      <w:szCs w:val="21"/>
                    </w:rPr>
                    <w:t>3</w:t>
                  </w:r>
                </w:p>
              </w:tc>
              <w:tc>
                <w:tcPr>
                  <w:tcW w:w="447" w:type="pct"/>
                  <w:shd w:val="clear" w:color="auto" w:fill="auto"/>
                  <w:noWrap/>
                  <w:vAlign w:val="center"/>
                </w:tcPr>
                <w:p w14:paraId="77C73448">
                  <w:pPr>
                    <w:widowControl/>
                    <w:jc w:val="center"/>
                    <w:rPr>
                      <w:kern w:val="0"/>
                      <w:szCs w:val="21"/>
                    </w:rPr>
                  </w:pPr>
                  <w:r>
                    <w:rPr>
                      <w:kern w:val="0"/>
                      <w:szCs w:val="21"/>
                    </w:rPr>
                    <w:t>105</w:t>
                  </w:r>
                </w:p>
              </w:tc>
              <w:tc>
                <w:tcPr>
                  <w:tcW w:w="320" w:type="pct"/>
                  <w:vMerge w:val="continue"/>
                  <w:vAlign w:val="center"/>
                </w:tcPr>
                <w:p w14:paraId="302DA9A4">
                  <w:pPr>
                    <w:widowControl/>
                    <w:jc w:val="left"/>
                    <w:rPr>
                      <w:kern w:val="0"/>
                      <w:szCs w:val="21"/>
                    </w:rPr>
                  </w:pPr>
                </w:p>
              </w:tc>
              <w:tc>
                <w:tcPr>
                  <w:tcW w:w="320" w:type="pct"/>
                  <w:shd w:val="clear" w:color="auto" w:fill="auto"/>
                  <w:noWrap/>
                  <w:vAlign w:val="center"/>
                </w:tcPr>
                <w:p w14:paraId="62D1B93D">
                  <w:pPr>
                    <w:widowControl/>
                    <w:jc w:val="center"/>
                    <w:rPr>
                      <w:kern w:val="0"/>
                      <w:szCs w:val="21"/>
                    </w:rPr>
                  </w:pPr>
                  <w:r>
                    <w:rPr>
                      <w:kern w:val="0"/>
                      <w:szCs w:val="21"/>
                    </w:rPr>
                    <w:t>839</w:t>
                  </w:r>
                </w:p>
              </w:tc>
              <w:tc>
                <w:tcPr>
                  <w:tcW w:w="320" w:type="pct"/>
                  <w:shd w:val="clear" w:color="auto" w:fill="auto"/>
                  <w:noWrap/>
                  <w:vAlign w:val="center"/>
                </w:tcPr>
                <w:p w14:paraId="22BC5000">
                  <w:pPr>
                    <w:widowControl/>
                    <w:jc w:val="center"/>
                    <w:rPr>
                      <w:kern w:val="0"/>
                      <w:szCs w:val="21"/>
                    </w:rPr>
                  </w:pPr>
                  <w:r>
                    <w:rPr>
                      <w:kern w:val="0"/>
                      <w:szCs w:val="21"/>
                    </w:rPr>
                    <w:t>506</w:t>
                  </w:r>
                </w:p>
              </w:tc>
              <w:tc>
                <w:tcPr>
                  <w:tcW w:w="321" w:type="pct"/>
                  <w:shd w:val="clear" w:color="auto" w:fill="auto"/>
                  <w:noWrap/>
                  <w:vAlign w:val="center"/>
                </w:tcPr>
                <w:p w14:paraId="2D55C6A0">
                  <w:pPr>
                    <w:widowControl/>
                    <w:jc w:val="center"/>
                    <w:rPr>
                      <w:kern w:val="0"/>
                      <w:szCs w:val="21"/>
                    </w:rPr>
                  </w:pPr>
                  <w:r>
                    <w:rPr>
                      <w:kern w:val="0"/>
                      <w:szCs w:val="21"/>
                    </w:rPr>
                    <w:t>0.5</w:t>
                  </w:r>
                </w:p>
              </w:tc>
              <w:tc>
                <w:tcPr>
                  <w:tcW w:w="320" w:type="pct"/>
                  <w:shd w:val="clear" w:color="auto" w:fill="auto"/>
                  <w:vAlign w:val="center"/>
                </w:tcPr>
                <w:p w14:paraId="4EB1AB8F">
                  <w:pPr>
                    <w:widowControl/>
                    <w:jc w:val="center"/>
                    <w:rPr>
                      <w:kern w:val="0"/>
                      <w:szCs w:val="21"/>
                    </w:rPr>
                  </w:pPr>
                  <w:r>
                    <w:rPr>
                      <w:kern w:val="0"/>
                      <w:szCs w:val="21"/>
                    </w:rPr>
                    <w:t>10</w:t>
                  </w:r>
                </w:p>
              </w:tc>
              <w:tc>
                <w:tcPr>
                  <w:tcW w:w="320" w:type="pct"/>
                  <w:shd w:val="clear" w:color="auto" w:fill="auto"/>
                  <w:noWrap/>
                  <w:vAlign w:val="center"/>
                </w:tcPr>
                <w:p w14:paraId="110F7913">
                  <w:pPr>
                    <w:widowControl/>
                    <w:jc w:val="center"/>
                    <w:rPr>
                      <w:kern w:val="0"/>
                      <w:szCs w:val="21"/>
                    </w:rPr>
                  </w:pPr>
                  <w:r>
                    <w:rPr>
                      <w:kern w:val="0"/>
                      <w:szCs w:val="21"/>
                    </w:rPr>
                    <w:t>95</w:t>
                  </w:r>
                </w:p>
              </w:tc>
              <w:tc>
                <w:tcPr>
                  <w:tcW w:w="320" w:type="pct"/>
                  <w:vMerge w:val="continue"/>
                  <w:vAlign w:val="center"/>
                </w:tcPr>
                <w:p w14:paraId="19A48580">
                  <w:pPr>
                    <w:widowControl/>
                    <w:jc w:val="left"/>
                    <w:rPr>
                      <w:kern w:val="0"/>
                      <w:szCs w:val="21"/>
                    </w:rPr>
                  </w:pPr>
                </w:p>
              </w:tc>
              <w:tc>
                <w:tcPr>
                  <w:tcW w:w="320" w:type="pct"/>
                  <w:shd w:val="clear" w:color="auto" w:fill="auto"/>
                  <w:vAlign w:val="center"/>
                </w:tcPr>
                <w:p w14:paraId="57A250CC">
                  <w:pPr>
                    <w:widowControl/>
                    <w:jc w:val="center"/>
                    <w:rPr>
                      <w:kern w:val="0"/>
                      <w:szCs w:val="21"/>
                    </w:rPr>
                  </w:pPr>
                  <w:r>
                    <w:rPr>
                      <w:kern w:val="0"/>
                      <w:szCs w:val="21"/>
                    </w:rPr>
                    <w:t>15</w:t>
                  </w:r>
                </w:p>
              </w:tc>
              <w:tc>
                <w:tcPr>
                  <w:tcW w:w="320" w:type="pct"/>
                  <w:shd w:val="clear" w:color="auto" w:fill="auto"/>
                  <w:noWrap/>
                  <w:vAlign w:val="center"/>
                </w:tcPr>
                <w:p w14:paraId="09027F06">
                  <w:pPr>
                    <w:widowControl/>
                    <w:jc w:val="center"/>
                    <w:rPr>
                      <w:kern w:val="0"/>
                      <w:szCs w:val="21"/>
                    </w:rPr>
                  </w:pPr>
                  <w:r>
                    <w:rPr>
                      <w:kern w:val="0"/>
                      <w:szCs w:val="21"/>
                    </w:rPr>
                    <w:t>80</w:t>
                  </w:r>
                </w:p>
              </w:tc>
              <w:tc>
                <w:tcPr>
                  <w:tcW w:w="319" w:type="pct"/>
                  <w:shd w:val="clear" w:color="auto" w:fill="auto"/>
                  <w:vAlign w:val="center"/>
                </w:tcPr>
                <w:p w14:paraId="3FCFC5A6">
                  <w:pPr>
                    <w:widowControl/>
                    <w:jc w:val="center"/>
                    <w:rPr>
                      <w:kern w:val="0"/>
                      <w:szCs w:val="21"/>
                    </w:rPr>
                  </w:pPr>
                  <w:r>
                    <w:rPr>
                      <w:kern w:val="0"/>
                      <w:szCs w:val="21"/>
                    </w:rPr>
                    <w:t>1</w:t>
                  </w:r>
                </w:p>
              </w:tc>
            </w:tr>
          </w:tbl>
          <w:p w14:paraId="089157AA"/>
          <w:p w14:paraId="4ADCC337"/>
        </w:tc>
      </w:tr>
    </w:tbl>
    <w:p w14:paraId="5158594F"/>
    <w:p w14:paraId="45670730"/>
    <w:p w14:paraId="1C8B8DF6">
      <w:pPr>
        <w:sectPr>
          <w:pgSz w:w="16840" w:h="11907" w:orient="landscape"/>
          <w:pgMar w:top="1531" w:right="1701" w:bottom="1531" w:left="2268" w:header="851" w:footer="851" w:gutter="0"/>
          <w:cols w:space="720" w:num="1"/>
          <w:docGrid w:linePitch="312" w:charSpace="0"/>
        </w:sectPr>
      </w:pPr>
    </w:p>
    <w:p w14:paraId="30D1E1D2">
      <w:pPr>
        <w:widowControl/>
        <w:jc w:val="left"/>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42BE4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6" w:hRule="atLeast"/>
        </w:trPr>
        <w:tc>
          <w:tcPr>
            <w:tcW w:w="12861" w:type="dxa"/>
          </w:tcPr>
          <w:p w14:paraId="7ED10BC1">
            <w:pPr>
              <w:adjustRightInd w:val="0"/>
              <w:snapToGrid w:val="0"/>
              <w:spacing w:line="500" w:lineRule="exact"/>
              <w:ind w:firstLine="420" w:firstLineChars="200"/>
              <w:rPr>
                <w:b/>
                <w:bCs/>
                <w:sz w:val="32"/>
                <w:szCs w:val="32"/>
              </w:rPr>
            </w:pPr>
            <w:r>
              <w:br w:type="page"/>
            </w:r>
            <w:r>
              <w:rPr>
                <w:b/>
                <w:bCs/>
                <w:sz w:val="24"/>
              </w:rPr>
              <w:t>（2）噪声影响及达标分析</w:t>
            </w:r>
          </w:p>
          <w:p w14:paraId="34BCDC7B">
            <w:pPr>
              <w:spacing w:line="500" w:lineRule="exact"/>
              <w:ind w:firstLine="480" w:firstLineChars="200"/>
              <w:jc w:val="left"/>
              <w:rPr>
                <w:sz w:val="24"/>
              </w:rPr>
            </w:pPr>
            <w:r>
              <w:rPr>
                <w:sz w:val="24"/>
              </w:rPr>
              <w:t>本项目采取三班制，昼夜生产，根据项目设备噪声排放特点，结合《环境影响评价技术导则 声环境》（HJ2.4-2021）附录A和附录B推荐的工业噪声预测计算模型对厂界噪声进行预测。预测计算只考虑各声源所在生产车间围护结构的屏蔽效应和声源至受声点的几何发散衰减，不考虑空气吸收及影响较小的附加衰减。</w:t>
            </w:r>
          </w:p>
          <w:p w14:paraId="4C632DC7">
            <w:pPr>
              <w:pStyle w:val="56"/>
              <w:spacing w:line="500" w:lineRule="exact"/>
              <w:ind w:firstLine="480" w:firstLineChars="200"/>
              <w:jc w:val="both"/>
              <w:rPr>
                <w:rFonts w:ascii="Times New Roman" w:cs="Times New Roman"/>
                <w:color w:val="auto"/>
              </w:rPr>
            </w:pPr>
            <w:r>
              <w:rPr>
                <w:rFonts w:ascii="Cambria Math" w:hAnsi="Cambria Math" w:cs="Cambria Math"/>
                <w:color w:val="auto"/>
              </w:rPr>
              <w:t>①</w:t>
            </w:r>
            <w:r>
              <w:rPr>
                <w:rFonts w:ascii="Times New Roman" w:cs="Times New Roman"/>
                <w:color w:val="auto"/>
              </w:rPr>
              <w:t>室内声源等效室外声源声功率级计算</w:t>
            </w:r>
          </w:p>
          <w:p w14:paraId="13E015FE">
            <w:pPr>
              <w:pStyle w:val="56"/>
              <w:spacing w:line="500" w:lineRule="exact"/>
              <w:ind w:firstLine="480" w:firstLineChars="200"/>
              <w:jc w:val="both"/>
              <w:rPr>
                <w:rFonts w:ascii="Times New Roman" w:cs="Times New Roman"/>
                <w:color w:val="auto"/>
              </w:rPr>
            </w:pPr>
            <w:r>
              <w:rPr>
                <w:rFonts w:ascii="Times New Roman" w:cs="Times New Roman"/>
                <w:color w:val="auto"/>
              </w:rPr>
              <w:t>若声源所在室内声场近似扩散声场，</w:t>
            </w:r>
            <w:r>
              <w:rPr>
                <w:rFonts w:ascii="Times New Roman" w:cs="Times New Roman"/>
                <w:i/>
                <w:iCs/>
                <w:color w:val="auto"/>
              </w:rPr>
              <w:t>L</w:t>
            </w:r>
            <w:r>
              <w:rPr>
                <w:rFonts w:ascii="Times New Roman" w:cs="Times New Roman"/>
                <w:color w:val="auto"/>
                <w:vertAlign w:val="subscript"/>
              </w:rPr>
              <w:t>p1</w:t>
            </w:r>
            <w:r>
              <w:rPr>
                <w:rFonts w:ascii="Times New Roman" w:cs="Times New Roman"/>
                <w:color w:val="auto"/>
              </w:rPr>
              <w:t>、</w:t>
            </w:r>
            <w:r>
              <w:rPr>
                <w:rFonts w:ascii="Times New Roman" w:cs="Times New Roman"/>
                <w:i/>
                <w:iCs/>
                <w:color w:val="auto"/>
              </w:rPr>
              <w:t>L</w:t>
            </w:r>
            <w:r>
              <w:rPr>
                <w:rFonts w:ascii="Times New Roman" w:cs="Times New Roman"/>
                <w:color w:val="auto"/>
                <w:vertAlign w:val="subscript"/>
              </w:rPr>
              <w:t>p2</w:t>
            </w:r>
            <w:r>
              <w:rPr>
                <w:rFonts w:ascii="Times New Roman" w:cs="Times New Roman"/>
                <w:color w:val="auto"/>
              </w:rPr>
              <w:t>分别为靠近开口处(或窗户)室内、室外的声级，则</w:t>
            </w:r>
            <w:r>
              <w:rPr>
                <w:rFonts w:ascii="Times New Roman" w:cs="Times New Roman"/>
                <w:i/>
                <w:iCs/>
                <w:color w:val="auto"/>
              </w:rPr>
              <w:t>L</w:t>
            </w:r>
            <w:r>
              <w:rPr>
                <w:rFonts w:ascii="Times New Roman" w:cs="Times New Roman"/>
                <w:i/>
                <w:iCs/>
                <w:color w:val="auto"/>
                <w:vertAlign w:val="subscript"/>
              </w:rPr>
              <w:t>P2</w:t>
            </w:r>
            <w:r>
              <w:rPr>
                <w:rFonts w:ascii="Times New Roman" w:cs="Times New Roman"/>
                <w:color w:val="auto"/>
              </w:rPr>
              <w:t>可表示为：</w:t>
            </w:r>
          </w:p>
          <w:p w14:paraId="16B87DEE">
            <w:pPr>
              <w:pStyle w:val="56"/>
              <w:spacing w:line="500" w:lineRule="exact"/>
              <w:rPr>
                <w:rFonts w:ascii="Times New Roman" w:cs="Times New Roman"/>
                <w:iCs/>
                <w:color w:val="auto"/>
              </w:rPr>
            </w:pPr>
            <m:oMathPara>
              <m:oMath>
                <m:sSub>
                  <m:sSubPr>
                    <m:ctrlPr>
                      <w:rPr>
                        <w:rFonts w:ascii="Cambria Math" w:hAnsi="Cambria Math" w:cs="Times New Roman"/>
                        <w:i/>
                        <w:color w:val="auto"/>
                      </w:rPr>
                    </m:ctrlPr>
                  </m:sSubPr>
                  <m:e>
                    <m:r>
                      <m:rPr/>
                      <w:rPr>
                        <w:rFonts w:ascii="Cambria Math" w:hAnsi="Cambria Math" w:cs="Times New Roman"/>
                        <w:color w:val="auto"/>
                      </w:rPr>
                      <m:t>L</m:t>
                    </m:r>
                    <m:ctrlPr>
                      <w:rPr>
                        <w:rFonts w:ascii="Cambria Math" w:hAnsi="Cambria Math" w:cs="Times New Roman"/>
                        <w:i/>
                        <w:color w:val="auto"/>
                      </w:rPr>
                    </m:ctrlPr>
                  </m:e>
                  <m:sub>
                    <m:r>
                      <m:rPr/>
                      <w:rPr>
                        <w:rFonts w:ascii="Cambria Math" w:hAnsi="Cambria Math" w:cs="Times New Roman"/>
                        <w:color w:val="auto"/>
                      </w:rPr>
                      <m:t>P2</m:t>
                    </m:r>
                    <m:ctrlPr>
                      <w:rPr>
                        <w:rFonts w:ascii="Cambria Math" w:hAnsi="Cambria Math" w:cs="Times New Roman"/>
                        <w:i/>
                        <w:color w:val="auto"/>
                      </w:rPr>
                    </m:ctrlPr>
                  </m:sub>
                </m:sSub>
                <m:r>
                  <m:rPr/>
                  <w:rPr>
                    <w:rFonts w:ascii="Cambria Math" w:hAnsi="Cambria Math" w:cs="Times New Roman"/>
                    <w:color w:val="auto"/>
                  </w:rPr>
                  <m:t>=</m:t>
                </m:r>
                <m:sSub>
                  <m:sSubPr>
                    <m:ctrlPr>
                      <w:rPr>
                        <w:rFonts w:ascii="Cambria Math" w:hAnsi="Cambria Math" w:cs="Times New Roman"/>
                        <w:i/>
                        <w:color w:val="auto"/>
                      </w:rPr>
                    </m:ctrlPr>
                  </m:sSubPr>
                  <m:e>
                    <m:r>
                      <m:rPr/>
                      <w:rPr>
                        <w:rFonts w:ascii="Cambria Math" w:hAnsi="Cambria Math" w:cs="Times New Roman"/>
                        <w:color w:val="auto"/>
                      </w:rPr>
                      <m:t>L</m:t>
                    </m:r>
                    <m:ctrlPr>
                      <w:rPr>
                        <w:rFonts w:ascii="Cambria Math" w:hAnsi="Cambria Math" w:cs="Times New Roman"/>
                        <w:i/>
                        <w:color w:val="auto"/>
                      </w:rPr>
                    </m:ctrlPr>
                  </m:e>
                  <m:sub>
                    <m:r>
                      <m:rPr/>
                      <w:rPr>
                        <w:rFonts w:ascii="Cambria Math" w:hAnsi="Cambria Math" w:cs="Times New Roman"/>
                        <w:color w:val="auto"/>
                      </w:rPr>
                      <m:t>P1</m:t>
                    </m:r>
                    <m:ctrlPr>
                      <w:rPr>
                        <w:rFonts w:ascii="Cambria Math" w:hAnsi="Cambria Math" w:cs="Times New Roman"/>
                        <w:i/>
                        <w:color w:val="auto"/>
                      </w:rPr>
                    </m:ctrlPr>
                  </m:sub>
                </m:sSub>
                <m:r>
                  <m:rPr/>
                  <w:rPr>
                    <w:rFonts w:ascii="Cambria Math" w:hAnsi="Cambria Math" w:cs="Times New Roman"/>
                    <w:color w:val="auto"/>
                  </w:rPr>
                  <m:t>−</m:t>
                </m:r>
                <m:r>
                  <m:rPr>
                    <m:sty m:val="p"/>
                  </m:rPr>
                  <w:rPr>
                    <w:rFonts w:ascii="Cambria Math" w:hAnsi="Cambria Math" w:cs="Times New Roman"/>
                    <w:color w:val="auto"/>
                  </w:rPr>
                  <m:t>(</m:t>
                </m:r>
                <m:r>
                  <m:rPr/>
                  <w:rPr>
                    <w:rFonts w:ascii="Cambria Math" w:hAnsi="Cambria Math" w:cs="Times New Roman"/>
                    <w:color w:val="auto"/>
                  </w:rPr>
                  <m:t>TL</m:t>
                </m:r>
                <m:r>
                  <m:rPr>
                    <m:sty m:val="p"/>
                  </m:rPr>
                  <w:rPr>
                    <w:rFonts w:ascii="Cambria Math" w:hAnsi="Cambria Math" w:cs="Times New Roman"/>
                    <w:color w:val="auto"/>
                  </w:rPr>
                  <m:t>+6)</m:t>
                </m:r>
              </m:oMath>
            </m:oMathPara>
          </w:p>
          <w:p w14:paraId="3EC3BFF8">
            <w:pPr>
              <w:pStyle w:val="56"/>
              <w:spacing w:line="500" w:lineRule="exact"/>
              <w:ind w:firstLine="480" w:firstLineChars="200"/>
              <w:jc w:val="both"/>
              <w:rPr>
                <w:rFonts w:ascii="Times New Roman" w:cs="Times New Roman"/>
                <w:color w:val="auto"/>
              </w:rPr>
            </w:pPr>
            <w:r>
              <w:rPr>
                <w:rFonts w:ascii="Times New Roman" w:cs="Times New Roman"/>
                <w:color w:val="auto"/>
              </w:rPr>
              <w:t>式中：</w:t>
            </w:r>
            <w:r>
              <w:rPr>
                <w:rFonts w:ascii="Times New Roman" w:cs="Times New Roman"/>
                <w:i/>
                <w:iCs/>
                <w:color w:val="auto"/>
              </w:rPr>
              <w:t>L</w:t>
            </w:r>
            <w:r>
              <w:rPr>
                <w:rFonts w:ascii="Times New Roman" w:cs="Times New Roman"/>
                <w:i/>
                <w:iCs/>
                <w:color w:val="auto"/>
                <w:vertAlign w:val="subscript"/>
              </w:rPr>
              <w:t>p1</w:t>
            </w:r>
            <w:r>
              <w:rPr>
                <w:rFonts w:ascii="Times New Roman" w:cs="Times New Roman"/>
                <w:color w:val="auto"/>
              </w:rPr>
              <w:t>—靠近开口处（或窗户）室内某倍频带的声压级或A声级，dB；</w:t>
            </w:r>
          </w:p>
          <w:p w14:paraId="76A862E2">
            <w:pPr>
              <w:pStyle w:val="56"/>
              <w:spacing w:line="500" w:lineRule="exact"/>
              <w:ind w:firstLine="1200" w:firstLineChars="500"/>
              <w:rPr>
                <w:rFonts w:ascii="Times New Roman" w:cs="Times New Roman"/>
                <w:color w:val="auto"/>
              </w:rPr>
            </w:pPr>
            <w:r>
              <w:rPr>
                <w:rFonts w:ascii="Times New Roman" w:cs="Times New Roman"/>
                <w:i/>
                <w:iCs/>
                <w:color w:val="auto"/>
              </w:rPr>
              <w:t>L</w:t>
            </w:r>
            <w:r>
              <w:rPr>
                <w:rFonts w:ascii="Times New Roman" w:cs="Times New Roman"/>
                <w:i/>
                <w:iCs/>
                <w:color w:val="auto"/>
                <w:vertAlign w:val="subscript"/>
              </w:rPr>
              <w:t>p2</w:t>
            </w:r>
            <w:r>
              <w:rPr>
                <w:rFonts w:ascii="Times New Roman" w:cs="Times New Roman"/>
                <w:color w:val="auto"/>
              </w:rPr>
              <w:t>—靠近开口处（或窗户）室外某倍频带的声压级或A声级，dB；</w:t>
            </w:r>
          </w:p>
          <w:p w14:paraId="34E6777B">
            <w:pPr>
              <w:pStyle w:val="56"/>
              <w:spacing w:line="500" w:lineRule="exact"/>
              <w:ind w:firstLine="1200" w:firstLineChars="500"/>
              <w:rPr>
                <w:rFonts w:ascii="Times New Roman" w:cs="Times New Roman"/>
                <w:color w:val="auto"/>
              </w:rPr>
            </w:pPr>
            <w:r>
              <w:rPr>
                <w:rFonts w:ascii="Times New Roman" w:cs="Times New Roman"/>
                <w:i/>
                <w:iCs/>
                <w:color w:val="auto"/>
              </w:rPr>
              <w:t>TL</w:t>
            </w:r>
            <w:r>
              <w:rPr>
                <w:rFonts w:ascii="Times New Roman" w:cs="Times New Roman"/>
                <w:color w:val="auto"/>
              </w:rPr>
              <w:t>—隔墙（或窗户）倍频带或A声级的隔声量，dB。</w:t>
            </w:r>
          </w:p>
          <w:p w14:paraId="08827B6F">
            <w:pPr>
              <w:pStyle w:val="56"/>
              <w:spacing w:line="500" w:lineRule="exact"/>
              <w:ind w:firstLine="480" w:firstLineChars="200"/>
              <w:rPr>
                <w:rFonts w:ascii="Times New Roman" w:cs="Times New Roman"/>
                <w:color w:val="auto"/>
              </w:rPr>
            </w:pPr>
            <w:r>
              <w:rPr>
                <w:rFonts w:ascii="Times New Roman" w:cs="Times New Roman"/>
                <w:i/>
                <w:iCs/>
                <w:color w:val="auto"/>
              </w:rPr>
              <w:t>L</w:t>
            </w:r>
            <w:r>
              <w:rPr>
                <w:rFonts w:ascii="Times New Roman" w:cs="Times New Roman"/>
                <w:i/>
                <w:iCs/>
                <w:color w:val="auto"/>
                <w:vertAlign w:val="subscript"/>
              </w:rPr>
              <w:t>p1</w:t>
            </w:r>
            <w:r>
              <w:rPr>
                <w:rFonts w:ascii="Times New Roman" w:cs="Times New Roman"/>
                <w:color w:val="auto"/>
              </w:rPr>
              <w:t>可以是测量值或计算值，若为计算值，有如下计算公式：</w:t>
            </w:r>
          </w:p>
          <w:p w14:paraId="10C60B52">
            <w:pPr>
              <w:pStyle w:val="56"/>
              <w:spacing w:line="360" w:lineRule="auto"/>
              <w:rPr>
                <w:rFonts w:ascii="Times New Roman" w:cs="Times New Roman"/>
                <w:iCs/>
                <w:color w:val="auto"/>
              </w:rPr>
            </w:pPr>
            <m:oMathPara>
              <m:oMath>
                <m:sSub>
                  <m:sSubPr>
                    <m:ctrlPr>
                      <w:rPr>
                        <w:rFonts w:ascii="Cambria Math" w:hAnsi="Cambria Math" w:cs="Times New Roman"/>
                        <w:i/>
                        <w:color w:val="auto"/>
                      </w:rPr>
                    </m:ctrlPr>
                  </m:sSubPr>
                  <m:e>
                    <m:r>
                      <m:rPr/>
                      <w:rPr>
                        <w:rFonts w:ascii="Cambria Math" w:hAnsi="Cambria Math" w:cs="Times New Roman"/>
                        <w:color w:val="auto"/>
                      </w:rPr>
                      <m:t>L</m:t>
                    </m:r>
                    <m:ctrlPr>
                      <w:rPr>
                        <w:rFonts w:ascii="Cambria Math" w:hAnsi="Cambria Math" w:cs="Times New Roman"/>
                        <w:i/>
                        <w:color w:val="auto"/>
                      </w:rPr>
                    </m:ctrlPr>
                  </m:e>
                  <m:sub>
                    <m:r>
                      <m:rPr/>
                      <w:rPr>
                        <w:rFonts w:ascii="Cambria Math" w:hAnsi="Cambria Math" w:cs="Times New Roman"/>
                        <w:color w:val="auto"/>
                      </w:rPr>
                      <m:t>P1</m:t>
                    </m:r>
                    <m:ctrlPr>
                      <w:rPr>
                        <w:rFonts w:ascii="Cambria Math" w:hAnsi="Cambria Math" w:cs="Times New Roman"/>
                        <w:i/>
                        <w:color w:val="auto"/>
                      </w:rPr>
                    </m:ctrlPr>
                  </m:sub>
                </m:sSub>
                <m:r>
                  <m:rPr/>
                  <w:rPr>
                    <w:rFonts w:ascii="Cambria Math" w:hAnsi="Cambria Math" w:cs="Times New Roman"/>
                    <w:color w:val="auto"/>
                  </w:rPr>
                  <m:t>=</m:t>
                </m:r>
                <m:sSub>
                  <m:sSubPr>
                    <m:ctrlPr>
                      <w:rPr>
                        <w:rFonts w:ascii="Cambria Math" w:hAnsi="Cambria Math" w:cs="Times New Roman"/>
                        <w:i/>
                        <w:color w:val="auto"/>
                      </w:rPr>
                    </m:ctrlPr>
                  </m:sSubPr>
                  <m:e>
                    <m:r>
                      <m:rPr/>
                      <w:rPr>
                        <w:rFonts w:ascii="Cambria Math" w:hAnsi="Cambria Math" w:cs="Times New Roman"/>
                        <w:color w:val="auto"/>
                      </w:rPr>
                      <m:t>L</m:t>
                    </m:r>
                    <m:ctrlPr>
                      <w:rPr>
                        <w:rFonts w:ascii="Cambria Math" w:hAnsi="Cambria Math" w:cs="Times New Roman"/>
                        <w:i/>
                        <w:color w:val="auto"/>
                      </w:rPr>
                    </m:ctrlPr>
                  </m:e>
                  <m:sub>
                    <m:r>
                      <m:rPr/>
                      <w:rPr>
                        <w:rFonts w:ascii="Cambria Math" w:hAnsi="Cambria Math" w:cs="Times New Roman"/>
                        <w:color w:val="auto"/>
                      </w:rPr>
                      <m:t>w</m:t>
                    </m:r>
                    <m:ctrlPr>
                      <w:rPr>
                        <w:rFonts w:ascii="Cambria Math" w:hAnsi="Cambria Math" w:cs="Times New Roman"/>
                        <w:i/>
                        <w:color w:val="auto"/>
                      </w:rPr>
                    </m:ctrlPr>
                  </m:sub>
                </m:sSub>
                <m:r>
                  <m:rPr>
                    <m:sty m:val="p"/>
                  </m:rPr>
                  <w:rPr>
                    <w:rFonts w:ascii="Cambria Math" w:hAnsi="Cambria Math" w:cs="Times New Roman"/>
                    <w:color w:val="auto"/>
                  </w:rPr>
                  <m:t>+101g(</m:t>
                </m:r>
                <m:f>
                  <m:fPr>
                    <m:ctrlPr>
                      <w:rPr>
                        <w:rFonts w:ascii="Cambria Math" w:hAnsi="Cambria Math" w:cs="Times New Roman"/>
                        <w:i/>
                        <w:color w:val="auto"/>
                      </w:rPr>
                    </m:ctrlPr>
                  </m:fPr>
                  <m:num>
                    <m:r>
                      <m:rPr/>
                      <w:rPr>
                        <w:rFonts w:ascii="Cambria Math" w:hAnsi="Cambria Math" w:cs="Times New Roman"/>
                        <w:color w:val="auto"/>
                      </w:rPr>
                      <m:t>Q</m:t>
                    </m:r>
                    <m:ctrlPr>
                      <w:rPr>
                        <w:rFonts w:ascii="Cambria Math" w:hAnsi="Cambria Math" w:cs="Times New Roman"/>
                        <w:i/>
                        <w:color w:val="auto"/>
                      </w:rPr>
                    </m:ctrlPr>
                  </m:num>
                  <m:den>
                    <m:r>
                      <m:rPr/>
                      <w:rPr>
                        <w:rFonts w:ascii="Cambria Math" w:hAnsi="Cambria Math" w:cs="Times New Roman"/>
                        <w:color w:val="auto"/>
                      </w:rPr>
                      <m:t>4Π</m:t>
                    </m:r>
                    <m:sSubSup>
                      <m:sSubSupPr>
                        <m:ctrlPr>
                          <w:rPr>
                            <w:rFonts w:ascii="Cambria Math" w:hAnsi="Cambria Math" w:cs="Times New Roman"/>
                            <w:i/>
                            <w:color w:val="auto"/>
                          </w:rPr>
                        </m:ctrlPr>
                      </m:sSubSupPr>
                      <m:e>
                        <m:r>
                          <m:rPr/>
                          <w:rPr>
                            <w:rFonts w:ascii="Cambria Math" w:hAnsi="Cambria Math" w:cs="Times New Roman"/>
                            <w:color w:val="auto"/>
                          </w:rPr>
                          <m:t>r</m:t>
                        </m:r>
                        <m:ctrlPr>
                          <w:rPr>
                            <w:rFonts w:ascii="Cambria Math" w:hAnsi="Cambria Math" w:cs="Times New Roman"/>
                            <w:i/>
                            <w:color w:val="auto"/>
                          </w:rPr>
                        </m:ctrlPr>
                      </m:e>
                      <m:sub>
                        <m:r>
                          <m:rPr/>
                          <w:rPr>
                            <w:rFonts w:ascii="Cambria Math" w:hAnsi="Cambria Math" w:cs="Times New Roman"/>
                            <w:color w:val="auto"/>
                          </w:rPr>
                          <m:t>1</m:t>
                        </m:r>
                        <m:ctrlPr>
                          <w:rPr>
                            <w:rFonts w:ascii="Cambria Math" w:hAnsi="Cambria Math" w:cs="Times New Roman"/>
                            <w:i/>
                            <w:color w:val="auto"/>
                          </w:rPr>
                        </m:ctrlPr>
                      </m:sub>
                      <m:sup>
                        <m:r>
                          <m:rPr/>
                          <w:rPr>
                            <w:rFonts w:ascii="Cambria Math" w:hAnsi="Cambria Math" w:cs="Times New Roman"/>
                            <w:color w:val="auto"/>
                          </w:rPr>
                          <m:t>2</m:t>
                        </m:r>
                        <m:ctrlPr>
                          <w:rPr>
                            <w:rFonts w:ascii="Cambria Math" w:hAnsi="Cambria Math" w:cs="Times New Roman"/>
                            <w:i/>
                            <w:color w:val="auto"/>
                          </w:rPr>
                        </m:ctrlPr>
                      </m:sup>
                    </m:sSubSup>
                    <m:ctrlPr>
                      <w:rPr>
                        <w:rFonts w:ascii="Cambria Math" w:hAnsi="Cambria Math" w:cs="Times New Roman"/>
                        <w:i/>
                        <w:color w:val="auto"/>
                      </w:rPr>
                    </m:ctrlPr>
                  </m:den>
                </m:f>
                <m:r>
                  <m:rPr>
                    <m:sty m:val="p"/>
                  </m:rPr>
                  <w:rPr>
                    <w:rFonts w:ascii="Cambria Math" w:hAnsi="Cambria Math" w:cs="Times New Roman"/>
                    <w:color w:val="auto"/>
                  </w:rPr>
                  <m:t>+</m:t>
                </m:r>
                <m:f>
                  <m:fPr>
                    <m:ctrlPr>
                      <w:rPr>
                        <w:rFonts w:ascii="Cambria Math" w:hAnsi="Cambria Math" w:cs="Times New Roman"/>
                        <w:iCs/>
                        <w:color w:val="auto"/>
                      </w:rPr>
                    </m:ctrlPr>
                  </m:fPr>
                  <m:num>
                    <m:r>
                      <m:rPr/>
                      <w:rPr>
                        <w:rFonts w:ascii="Cambria Math" w:hAnsi="Cambria Math" w:cs="Times New Roman"/>
                        <w:color w:val="auto"/>
                      </w:rPr>
                      <m:t>4</m:t>
                    </m:r>
                    <m:ctrlPr>
                      <w:rPr>
                        <w:rFonts w:ascii="Cambria Math" w:hAnsi="Cambria Math" w:cs="Times New Roman"/>
                        <w:iCs/>
                        <w:color w:val="auto"/>
                      </w:rPr>
                    </m:ctrlPr>
                  </m:num>
                  <m:den>
                    <m:r>
                      <m:rPr/>
                      <w:rPr>
                        <w:rFonts w:ascii="Cambria Math" w:hAnsi="Cambria Math" w:cs="Times New Roman"/>
                        <w:color w:val="auto"/>
                      </w:rPr>
                      <m:t>R</m:t>
                    </m:r>
                    <m:ctrlPr>
                      <w:rPr>
                        <w:rFonts w:ascii="Cambria Math" w:hAnsi="Cambria Math" w:cs="Times New Roman"/>
                        <w:iCs/>
                        <w:color w:val="auto"/>
                      </w:rPr>
                    </m:ctrlPr>
                  </m:den>
                </m:f>
                <m:r>
                  <m:rPr>
                    <m:sty m:val="p"/>
                  </m:rPr>
                  <w:rPr>
                    <w:rFonts w:ascii="Cambria Math" w:hAnsi="Cambria Math" w:cs="Times New Roman"/>
                    <w:color w:val="auto"/>
                  </w:rPr>
                  <m:t>)</m:t>
                </m:r>
              </m:oMath>
            </m:oMathPara>
          </w:p>
          <w:p w14:paraId="18AD12E5">
            <w:pPr>
              <w:pStyle w:val="56"/>
              <w:spacing w:line="500" w:lineRule="exact"/>
              <w:ind w:firstLine="480" w:firstLineChars="200"/>
              <w:rPr>
                <w:rFonts w:ascii="Times New Roman" w:cs="Times New Roman"/>
                <w:color w:val="auto"/>
              </w:rPr>
            </w:pPr>
            <w:r>
              <w:rPr>
                <w:rFonts w:ascii="Times New Roman" w:cs="Times New Roman"/>
                <w:color w:val="auto"/>
              </w:rPr>
              <w:t>式中：</w:t>
            </w:r>
            <w:r>
              <w:rPr>
                <w:rFonts w:ascii="Times New Roman" w:cs="Times New Roman"/>
                <w:i/>
                <w:iCs/>
                <w:color w:val="auto"/>
              </w:rPr>
              <w:t>Q</w:t>
            </w:r>
            <w:r>
              <w:rPr>
                <w:rFonts w:ascii="Times New Roman" w:cs="Times New Roman"/>
                <w:color w:val="auto"/>
              </w:rPr>
              <w:t>—指向因数；通常对无指向性声源，当声源放在房间中心时，</w:t>
            </w:r>
            <w:r>
              <w:rPr>
                <w:rFonts w:ascii="Times New Roman" w:cs="Times New Roman"/>
                <w:i/>
                <w:iCs/>
                <w:color w:val="auto"/>
              </w:rPr>
              <w:t>Q</w:t>
            </w:r>
            <w:r>
              <w:rPr>
                <w:rFonts w:ascii="Times New Roman" w:cs="Times New Roman"/>
                <w:color w:val="auto"/>
              </w:rPr>
              <w:t>=1；当放在一面墙的中心时，</w:t>
            </w:r>
            <w:r>
              <w:rPr>
                <w:rFonts w:ascii="Times New Roman" w:cs="Times New Roman"/>
                <w:i/>
                <w:iCs/>
                <w:color w:val="auto"/>
              </w:rPr>
              <w:t>Q</w:t>
            </w:r>
            <w:r>
              <w:rPr>
                <w:rFonts w:ascii="Times New Roman" w:cs="Times New Roman"/>
                <w:color w:val="auto"/>
              </w:rPr>
              <w:t>=2；当放在两面墙夹角处时，</w:t>
            </w:r>
            <w:r>
              <w:rPr>
                <w:rFonts w:ascii="Times New Roman" w:cs="Times New Roman"/>
                <w:i/>
                <w:iCs/>
                <w:color w:val="auto"/>
              </w:rPr>
              <w:t>Q</w:t>
            </w:r>
            <w:r>
              <w:rPr>
                <w:rFonts w:ascii="Times New Roman" w:cs="Times New Roman"/>
                <w:color w:val="auto"/>
              </w:rPr>
              <w:t>=4；当放在三面墙夹角处时，</w:t>
            </w:r>
            <w:r>
              <w:rPr>
                <w:rFonts w:ascii="Times New Roman" w:cs="Times New Roman"/>
                <w:i/>
                <w:iCs/>
                <w:color w:val="auto"/>
              </w:rPr>
              <w:t>Q</w:t>
            </w:r>
            <w:r>
              <w:rPr>
                <w:rFonts w:ascii="Times New Roman" w:cs="Times New Roman"/>
                <w:color w:val="auto"/>
              </w:rPr>
              <w:t>=8；</w:t>
            </w:r>
          </w:p>
          <w:p w14:paraId="42BAA752">
            <w:pPr>
              <w:pStyle w:val="56"/>
              <w:spacing w:line="500" w:lineRule="exact"/>
              <w:ind w:firstLine="1200" w:firstLineChars="500"/>
              <w:rPr>
                <w:rFonts w:ascii="Times New Roman" w:cs="Times New Roman"/>
                <w:color w:val="auto"/>
              </w:rPr>
            </w:pPr>
            <w:r>
              <w:rPr>
                <w:rFonts w:ascii="Times New Roman" w:cs="Times New Roman"/>
                <w:i/>
                <w:iCs/>
                <w:color w:val="auto"/>
              </w:rPr>
              <w:t>Lw</w:t>
            </w:r>
            <w:r>
              <w:rPr>
                <w:rFonts w:ascii="Times New Roman" w:cs="Times New Roman"/>
                <w:color w:val="auto"/>
              </w:rPr>
              <w:t>—点声源声功率级（A计权或倍频带），dB；</w:t>
            </w:r>
          </w:p>
          <w:p w14:paraId="0DB1BD40">
            <w:pPr>
              <w:pStyle w:val="56"/>
              <w:spacing w:line="500" w:lineRule="exact"/>
              <w:ind w:firstLine="1200" w:firstLineChars="500"/>
              <w:rPr>
                <w:rFonts w:ascii="Times New Roman" w:cs="Times New Roman"/>
                <w:color w:val="auto"/>
              </w:rPr>
            </w:pPr>
            <w:r>
              <w:rPr>
                <w:rFonts w:ascii="Times New Roman" w:cs="Times New Roman"/>
                <w:i/>
                <w:iCs/>
                <w:color w:val="auto"/>
              </w:rPr>
              <w:t>R</w:t>
            </w:r>
            <w:r>
              <w:rPr>
                <w:rFonts w:ascii="Times New Roman" w:cs="Times New Roman"/>
                <w:color w:val="auto"/>
              </w:rPr>
              <w:t>—房间常数，R=Sα/（1-α），S为房间内表面面积，m</w:t>
            </w:r>
            <w:r>
              <w:rPr>
                <w:rFonts w:ascii="Times New Roman" w:cs="Times New Roman"/>
                <w:color w:val="auto"/>
                <w:vertAlign w:val="superscript"/>
              </w:rPr>
              <w:t>2</w:t>
            </w:r>
            <w:r>
              <w:rPr>
                <w:rFonts w:ascii="Times New Roman" w:cs="Times New Roman"/>
                <w:color w:val="auto"/>
              </w:rPr>
              <w:t>；α为平均吸声系数；</w:t>
            </w:r>
          </w:p>
          <w:p w14:paraId="76B5E629">
            <w:pPr>
              <w:pStyle w:val="56"/>
              <w:spacing w:line="500" w:lineRule="exact"/>
              <w:ind w:firstLine="1200" w:firstLineChars="500"/>
              <w:rPr>
                <w:rFonts w:ascii="Times New Roman" w:cs="Times New Roman"/>
                <w:color w:val="auto"/>
              </w:rPr>
            </w:pPr>
            <w:r>
              <w:rPr>
                <w:rFonts w:ascii="Times New Roman" w:cs="Times New Roman"/>
                <w:color w:val="auto"/>
              </w:rPr>
              <w:t>r—声源到靠近围护结构某点处的距离，m。</w:t>
            </w:r>
          </w:p>
          <w:p w14:paraId="3B4BAFA7">
            <w:pPr>
              <w:pStyle w:val="56"/>
              <w:spacing w:line="500" w:lineRule="exact"/>
              <w:ind w:firstLine="480" w:firstLineChars="200"/>
              <w:rPr>
                <w:rFonts w:ascii="Times New Roman" w:cs="Times New Roman"/>
                <w:color w:val="auto"/>
              </w:rPr>
            </w:pPr>
            <w:r>
              <w:rPr>
                <w:rFonts w:ascii="Cambria Math" w:hAnsi="Cambria Math" w:cs="Cambria Math"/>
                <w:color w:val="auto"/>
              </w:rPr>
              <w:t>②</w:t>
            </w:r>
            <w:r>
              <w:rPr>
                <w:rFonts w:ascii="Times New Roman" w:cs="Times New Roman"/>
                <w:color w:val="auto"/>
              </w:rPr>
              <w:t>声级计算</w:t>
            </w:r>
          </w:p>
          <w:p w14:paraId="619E5DC7">
            <w:pPr>
              <w:pStyle w:val="56"/>
              <w:spacing w:line="500" w:lineRule="exact"/>
              <w:ind w:firstLine="480" w:firstLineChars="200"/>
              <w:rPr>
                <w:rFonts w:ascii="Times New Roman" w:cs="Times New Roman"/>
                <w:color w:val="auto"/>
              </w:rPr>
            </w:pPr>
            <w:r>
              <w:rPr>
                <w:rFonts w:ascii="Times New Roman" w:cs="Times New Roman"/>
                <w:color w:val="auto"/>
              </w:rPr>
              <w:t>建设项目声源在预测点产生的等效声级贡献值（</w:t>
            </w:r>
            <w:r>
              <w:rPr>
                <w:rFonts w:ascii="Times New Roman" w:cs="Times New Roman"/>
                <w:i/>
                <w:iCs/>
                <w:color w:val="auto"/>
              </w:rPr>
              <w:t>L</w:t>
            </w:r>
            <w:r>
              <w:rPr>
                <w:rFonts w:ascii="Times New Roman" w:cs="Times New Roman"/>
                <w:i/>
                <w:iCs/>
                <w:color w:val="auto"/>
                <w:vertAlign w:val="subscript"/>
              </w:rPr>
              <w:t>eqg</w:t>
            </w:r>
            <w:r>
              <w:rPr>
                <w:rFonts w:ascii="Times New Roman" w:cs="Times New Roman"/>
                <w:color w:val="auto"/>
              </w:rPr>
              <w:t>）计算公式：</w:t>
            </w:r>
          </w:p>
          <w:p w14:paraId="13807968">
            <w:pPr>
              <w:widowControl/>
              <w:jc w:val="left"/>
            </w:pPr>
          </w:p>
        </w:tc>
      </w:tr>
    </w:tbl>
    <w:p w14:paraId="18363257">
      <w:pPr>
        <w:widowControl/>
        <w:jc w:val="left"/>
      </w:pPr>
    </w:p>
    <w:tbl>
      <w:tblPr>
        <w:tblStyle w:val="4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74"/>
        <w:gridCol w:w="8551"/>
      </w:tblGrid>
      <w:tr w14:paraId="0B27EE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07" w:hRule="atLeast"/>
          <w:jc w:val="center"/>
        </w:trPr>
        <w:tc>
          <w:tcPr>
            <w:tcW w:w="274" w:type="dxa"/>
            <w:tcMar>
              <w:left w:w="28" w:type="dxa"/>
              <w:right w:w="28" w:type="dxa"/>
            </w:tcMar>
            <w:vAlign w:val="center"/>
          </w:tcPr>
          <w:p w14:paraId="7235F0D2">
            <w:pPr>
              <w:adjustRightInd w:val="0"/>
              <w:snapToGrid w:val="0"/>
              <w:jc w:val="center"/>
              <w:rPr>
                <w:bCs/>
                <w:szCs w:val="21"/>
              </w:rPr>
            </w:pPr>
            <w:r>
              <w:rPr>
                <w:bCs/>
                <w:szCs w:val="21"/>
              </w:rPr>
              <w:t>运营期环境影响和保护措施</w:t>
            </w:r>
          </w:p>
        </w:tc>
        <w:tc>
          <w:tcPr>
            <w:tcW w:w="8551" w:type="dxa"/>
            <w:vAlign w:val="center"/>
          </w:tcPr>
          <w:p w14:paraId="1A64917E">
            <w:pPr>
              <w:pStyle w:val="56"/>
              <w:spacing w:line="360" w:lineRule="auto"/>
              <w:ind w:firstLine="480" w:firstLineChars="200"/>
              <w:rPr>
                <w:rFonts w:ascii="Times New Roman" w:cs="Times New Roman"/>
                <w:iCs/>
                <w:color w:val="auto"/>
              </w:rPr>
            </w:pPr>
            <m:oMathPara>
              <m:oMath>
                <m:sSub>
                  <m:sSubPr>
                    <m:ctrlPr>
                      <w:rPr>
                        <w:rFonts w:ascii="Cambria Math" w:hAnsi="Cambria Math" w:cs="Times New Roman"/>
                        <w:i/>
                        <w:color w:val="auto"/>
                      </w:rPr>
                    </m:ctrlPr>
                  </m:sSubPr>
                  <m:e>
                    <m:r>
                      <m:rPr/>
                      <w:rPr>
                        <w:rFonts w:ascii="Cambria Math" w:hAnsi="Cambria Math" w:cs="Times New Roman"/>
                        <w:color w:val="auto"/>
                      </w:rPr>
                      <m:t>L</m:t>
                    </m:r>
                    <m:ctrlPr>
                      <w:rPr>
                        <w:rFonts w:ascii="Cambria Math" w:hAnsi="Cambria Math" w:cs="Times New Roman"/>
                        <w:i/>
                        <w:color w:val="auto"/>
                      </w:rPr>
                    </m:ctrlPr>
                  </m:e>
                  <m:sub>
                    <m:r>
                      <m:rPr/>
                      <w:rPr>
                        <w:rFonts w:ascii="Cambria Math" w:hAnsi="Cambria Math" w:cs="Times New Roman"/>
                        <w:color w:val="auto"/>
                      </w:rPr>
                      <m:t>eqg</m:t>
                    </m:r>
                    <m:ctrlPr>
                      <w:rPr>
                        <w:rFonts w:ascii="Cambria Math" w:hAnsi="Cambria Math" w:cs="Times New Roman"/>
                        <w:i/>
                        <w:color w:val="auto"/>
                      </w:rPr>
                    </m:ctrlPr>
                  </m:sub>
                </m:sSub>
                <m:r>
                  <m:rPr/>
                  <w:rPr>
                    <w:rFonts w:ascii="Cambria Math" w:hAnsi="Cambria Math" w:cs="Times New Roman"/>
                    <w:color w:val="auto"/>
                  </w:rPr>
                  <m:t>=</m:t>
                </m:r>
                <m:r>
                  <m:rPr>
                    <m:sty m:val="p"/>
                  </m:rPr>
                  <w:rPr>
                    <w:rFonts w:ascii="Cambria Math" w:hAnsi="Cambria Math" w:cs="Times New Roman"/>
                    <w:color w:val="auto"/>
                  </w:rPr>
                  <m:t>101g[</m:t>
                </m:r>
                <m:f>
                  <m:fPr>
                    <m:ctrlPr>
                      <w:rPr>
                        <w:rFonts w:ascii="Cambria Math" w:hAnsi="Cambria Math" w:cs="Times New Roman"/>
                        <w:iCs/>
                        <w:color w:val="auto"/>
                      </w:rPr>
                    </m:ctrlPr>
                  </m:fPr>
                  <m:num>
                    <m:r>
                      <m:rPr/>
                      <w:rPr>
                        <w:rFonts w:ascii="Cambria Math" w:hAnsi="Cambria Math" w:cs="Times New Roman"/>
                        <w:color w:val="auto"/>
                      </w:rPr>
                      <m:t>1</m:t>
                    </m:r>
                    <m:ctrlPr>
                      <w:rPr>
                        <w:rFonts w:ascii="Cambria Math" w:hAnsi="Cambria Math" w:cs="Times New Roman"/>
                        <w:iCs/>
                        <w:color w:val="auto"/>
                      </w:rPr>
                    </m:ctrlPr>
                  </m:num>
                  <m:den>
                    <m:r>
                      <m:rPr/>
                      <w:rPr>
                        <w:rFonts w:ascii="Cambria Math" w:hAnsi="Cambria Math" w:cs="Times New Roman"/>
                        <w:color w:val="auto"/>
                      </w:rPr>
                      <m:t>T</m:t>
                    </m:r>
                    <m:ctrlPr>
                      <w:rPr>
                        <w:rFonts w:ascii="Cambria Math" w:hAnsi="Cambria Math" w:cs="Times New Roman"/>
                        <w:iCs/>
                        <w:color w:val="auto"/>
                      </w:rPr>
                    </m:ctrlPr>
                  </m:den>
                </m:f>
                <m:d>
                  <m:dPr>
                    <m:ctrlPr>
                      <w:rPr>
                        <w:rFonts w:ascii="Cambria Math" w:hAnsi="Cambria Math" w:cs="Times New Roman"/>
                        <w:iCs/>
                        <w:color w:val="auto"/>
                      </w:rPr>
                    </m:ctrlPr>
                  </m:dPr>
                  <m:e>
                    <m:nary>
                      <m:naryPr>
                        <m:chr m:val="∑"/>
                        <m:limLoc m:val="undOvr"/>
                        <m:ctrlPr>
                          <w:rPr>
                            <w:rFonts w:ascii="Cambria Math" w:hAnsi="Cambria Math" w:cs="Times New Roman"/>
                            <w:i/>
                            <w:iCs/>
                            <w:color w:val="auto"/>
                          </w:rPr>
                        </m:ctrlPr>
                      </m:naryPr>
                      <m:sub>
                        <m:r>
                          <m:rPr/>
                          <w:rPr>
                            <w:rFonts w:ascii="Cambria Math" w:hAnsi="Cambria Math" w:cs="Times New Roman"/>
                            <w:color w:val="auto"/>
                          </w:rPr>
                          <m:t>i=1</m:t>
                        </m:r>
                        <m:ctrlPr>
                          <w:rPr>
                            <w:rFonts w:ascii="Cambria Math" w:hAnsi="Cambria Math" w:cs="Times New Roman"/>
                            <w:i/>
                            <w:iCs/>
                            <w:color w:val="auto"/>
                          </w:rPr>
                        </m:ctrlPr>
                      </m:sub>
                      <m:sup>
                        <m:r>
                          <m:rPr/>
                          <w:rPr>
                            <w:rFonts w:ascii="Cambria Math" w:hAnsi="Cambria Math" w:cs="Times New Roman"/>
                            <w:color w:val="auto"/>
                          </w:rPr>
                          <m:t>N</m:t>
                        </m:r>
                        <m:ctrlPr>
                          <w:rPr>
                            <w:rFonts w:ascii="Cambria Math" w:hAnsi="Cambria Math" w:cs="Times New Roman"/>
                            <w:i/>
                            <w:iCs/>
                            <w:color w:val="auto"/>
                          </w:rPr>
                        </m:ctrlPr>
                      </m:sup>
                      <m:e>
                        <m:sSub>
                          <m:sSubPr>
                            <m:ctrlPr>
                              <w:rPr>
                                <w:rFonts w:ascii="Cambria Math" w:hAnsi="Cambria Math" w:cs="Times New Roman"/>
                                <w:i/>
                                <w:iCs/>
                                <w:color w:val="auto"/>
                              </w:rPr>
                            </m:ctrlPr>
                          </m:sSubPr>
                          <m:e>
                            <m:r>
                              <m:rPr/>
                              <w:rPr>
                                <w:rFonts w:ascii="Cambria Math" w:hAnsi="Cambria Math" w:cs="Times New Roman"/>
                                <w:color w:val="auto"/>
                              </w:rPr>
                              <m:t>t</m:t>
                            </m:r>
                            <m:ctrlPr>
                              <w:rPr>
                                <w:rFonts w:ascii="Cambria Math" w:hAnsi="Cambria Math" w:cs="Times New Roman"/>
                                <w:i/>
                                <w:iCs/>
                                <w:color w:val="auto"/>
                              </w:rPr>
                            </m:ctrlPr>
                          </m:e>
                          <m:sub>
                            <m:r>
                              <m:rPr/>
                              <w:rPr>
                                <w:rFonts w:ascii="Cambria Math" w:hAnsi="Cambria Math" w:cs="Times New Roman"/>
                                <w:color w:val="auto"/>
                              </w:rPr>
                              <m:t>i</m:t>
                            </m:r>
                            <m:ctrlPr>
                              <w:rPr>
                                <w:rFonts w:ascii="Cambria Math" w:hAnsi="Cambria Math" w:cs="Times New Roman"/>
                                <w:i/>
                                <w:iCs/>
                                <w:color w:val="auto"/>
                              </w:rPr>
                            </m:ctrlPr>
                          </m:sub>
                        </m:sSub>
                        <m:sSup>
                          <m:sSupPr>
                            <m:ctrlPr>
                              <w:rPr>
                                <w:rFonts w:ascii="Cambria Math" w:hAnsi="Cambria Math" w:cs="Times New Roman"/>
                                <w:i/>
                                <w:iCs/>
                                <w:color w:val="auto"/>
                              </w:rPr>
                            </m:ctrlPr>
                          </m:sSupPr>
                          <m:e>
                            <m:r>
                              <m:rPr/>
                              <w:rPr>
                                <w:rFonts w:ascii="Cambria Math" w:hAnsi="Cambria Math" w:cs="Times New Roman"/>
                                <w:color w:val="auto"/>
                              </w:rPr>
                              <m:t>10</m:t>
                            </m:r>
                            <m:ctrlPr>
                              <w:rPr>
                                <w:rFonts w:ascii="Cambria Math" w:hAnsi="Cambria Math" w:cs="Times New Roman"/>
                                <w:i/>
                                <w:iCs/>
                                <w:color w:val="auto"/>
                              </w:rPr>
                            </m:ctrlPr>
                          </m:e>
                          <m:sup>
                            <m:r>
                              <m:rPr/>
                              <w:rPr>
                                <w:rFonts w:ascii="Cambria Math" w:hAnsi="Cambria Math" w:cs="Times New Roman"/>
                                <w:color w:val="auto"/>
                              </w:rPr>
                              <m:t>0.1</m:t>
                            </m:r>
                            <m:sSub>
                              <m:sSubPr>
                                <m:ctrlPr>
                                  <w:rPr>
                                    <w:rFonts w:ascii="Cambria Math" w:hAnsi="Cambria Math" w:cs="Times New Roman"/>
                                    <w:i/>
                                    <w:iCs/>
                                    <w:color w:val="auto"/>
                                  </w:rPr>
                                </m:ctrlPr>
                              </m:sSubPr>
                              <m:e>
                                <m:r>
                                  <m:rPr/>
                                  <w:rPr>
                                    <w:rFonts w:ascii="Cambria Math" w:hAnsi="Cambria Math" w:cs="Times New Roman"/>
                                    <w:color w:val="auto"/>
                                  </w:rPr>
                                  <m:t>L</m:t>
                                </m:r>
                                <m:ctrlPr>
                                  <w:rPr>
                                    <w:rFonts w:ascii="Cambria Math" w:hAnsi="Cambria Math" w:cs="Times New Roman"/>
                                    <w:i/>
                                    <w:iCs/>
                                    <w:color w:val="auto"/>
                                  </w:rPr>
                                </m:ctrlPr>
                              </m:e>
                              <m:sub>
                                <m:r>
                                  <m:rPr/>
                                  <w:rPr>
                                    <w:rFonts w:ascii="Cambria Math" w:hAnsi="Cambria Math" w:cs="Times New Roman"/>
                                    <w:color w:val="auto"/>
                                  </w:rPr>
                                  <m:t>Ai</m:t>
                                </m:r>
                                <m:ctrlPr>
                                  <w:rPr>
                                    <w:rFonts w:ascii="Cambria Math" w:hAnsi="Cambria Math" w:cs="Times New Roman"/>
                                    <w:i/>
                                    <w:iCs/>
                                    <w:color w:val="auto"/>
                                  </w:rPr>
                                </m:ctrlPr>
                              </m:sub>
                            </m:sSub>
                            <m:ctrlPr>
                              <w:rPr>
                                <w:rFonts w:ascii="Cambria Math" w:hAnsi="Cambria Math" w:cs="Times New Roman"/>
                                <w:i/>
                                <w:iCs/>
                                <w:color w:val="auto"/>
                              </w:rPr>
                            </m:ctrlPr>
                          </m:sup>
                        </m:sSup>
                        <m:ctrlPr>
                          <w:rPr>
                            <w:rFonts w:ascii="Cambria Math" w:hAnsi="Cambria Math" w:cs="Times New Roman"/>
                            <w:i/>
                            <w:iCs/>
                            <w:color w:val="auto"/>
                          </w:rPr>
                        </m:ctrlPr>
                      </m:e>
                    </m:nary>
                    <m:r>
                      <m:rPr/>
                      <w:rPr>
                        <w:rFonts w:ascii="Cambria Math" w:hAnsi="Cambria Math" w:cs="Times New Roman"/>
                        <w:color w:val="auto"/>
                      </w:rPr>
                      <m:t>+</m:t>
                    </m:r>
                    <m:nary>
                      <m:naryPr>
                        <m:chr m:val="∑"/>
                        <m:limLoc m:val="undOvr"/>
                        <m:ctrlPr>
                          <w:rPr>
                            <w:rFonts w:ascii="Cambria Math" w:hAnsi="Cambria Math" w:cs="Times New Roman"/>
                            <w:i/>
                            <w:iCs/>
                            <w:color w:val="auto"/>
                          </w:rPr>
                        </m:ctrlPr>
                      </m:naryPr>
                      <m:sub>
                        <m:r>
                          <m:rPr/>
                          <w:rPr>
                            <w:rFonts w:ascii="Cambria Math" w:hAnsi="Cambria Math" w:cs="Times New Roman"/>
                            <w:color w:val="auto"/>
                          </w:rPr>
                          <m:t>j=1</m:t>
                        </m:r>
                        <m:ctrlPr>
                          <w:rPr>
                            <w:rFonts w:ascii="Cambria Math" w:hAnsi="Cambria Math" w:cs="Times New Roman"/>
                            <w:i/>
                            <w:iCs/>
                            <w:color w:val="auto"/>
                          </w:rPr>
                        </m:ctrlPr>
                      </m:sub>
                      <m:sup>
                        <m:r>
                          <m:rPr/>
                          <w:rPr>
                            <w:rFonts w:ascii="Cambria Math" w:hAnsi="Cambria Math" w:cs="Times New Roman"/>
                            <w:color w:val="auto"/>
                          </w:rPr>
                          <m:t>M</m:t>
                        </m:r>
                        <m:ctrlPr>
                          <w:rPr>
                            <w:rFonts w:ascii="Cambria Math" w:hAnsi="Cambria Math" w:cs="Times New Roman"/>
                            <w:i/>
                            <w:iCs/>
                            <w:color w:val="auto"/>
                          </w:rPr>
                        </m:ctrlPr>
                      </m:sup>
                      <m:e>
                        <m:sSub>
                          <m:sSubPr>
                            <m:ctrlPr>
                              <w:rPr>
                                <w:rFonts w:ascii="Cambria Math" w:hAnsi="Cambria Math" w:cs="Times New Roman"/>
                                <w:i/>
                                <w:iCs/>
                                <w:color w:val="auto"/>
                              </w:rPr>
                            </m:ctrlPr>
                          </m:sSubPr>
                          <m:e>
                            <m:r>
                              <m:rPr/>
                              <w:rPr>
                                <w:rFonts w:ascii="Cambria Math" w:hAnsi="Cambria Math" w:cs="Times New Roman"/>
                                <w:color w:val="auto"/>
                              </w:rPr>
                              <m:t>t</m:t>
                            </m:r>
                            <m:ctrlPr>
                              <w:rPr>
                                <w:rFonts w:ascii="Cambria Math" w:hAnsi="Cambria Math" w:cs="Times New Roman"/>
                                <w:i/>
                                <w:iCs/>
                                <w:color w:val="auto"/>
                              </w:rPr>
                            </m:ctrlPr>
                          </m:e>
                          <m:sub>
                            <m:r>
                              <m:rPr/>
                              <w:rPr>
                                <w:rFonts w:ascii="Cambria Math" w:hAnsi="Cambria Math" w:cs="Times New Roman"/>
                                <w:color w:val="auto"/>
                              </w:rPr>
                              <m:t>j</m:t>
                            </m:r>
                            <m:ctrlPr>
                              <w:rPr>
                                <w:rFonts w:ascii="Cambria Math" w:hAnsi="Cambria Math" w:cs="Times New Roman"/>
                                <w:i/>
                                <w:iCs/>
                                <w:color w:val="auto"/>
                              </w:rPr>
                            </m:ctrlPr>
                          </m:sub>
                        </m:sSub>
                        <m:sSup>
                          <m:sSupPr>
                            <m:ctrlPr>
                              <w:rPr>
                                <w:rFonts w:ascii="Cambria Math" w:hAnsi="Cambria Math" w:cs="Times New Roman"/>
                                <w:i/>
                                <w:iCs/>
                                <w:color w:val="auto"/>
                              </w:rPr>
                            </m:ctrlPr>
                          </m:sSupPr>
                          <m:e>
                            <m:r>
                              <m:rPr/>
                              <w:rPr>
                                <w:rFonts w:ascii="Cambria Math" w:hAnsi="Cambria Math" w:cs="Times New Roman"/>
                                <w:color w:val="auto"/>
                              </w:rPr>
                              <m:t>10</m:t>
                            </m:r>
                            <m:ctrlPr>
                              <w:rPr>
                                <w:rFonts w:ascii="Cambria Math" w:hAnsi="Cambria Math" w:cs="Times New Roman"/>
                                <w:i/>
                                <w:iCs/>
                                <w:color w:val="auto"/>
                              </w:rPr>
                            </m:ctrlPr>
                          </m:e>
                          <m:sup>
                            <m:r>
                              <m:rPr/>
                              <w:rPr>
                                <w:rFonts w:ascii="Cambria Math" w:hAnsi="Cambria Math" w:cs="Times New Roman"/>
                                <w:color w:val="auto"/>
                              </w:rPr>
                              <m:t>0.1</m:t>
                            </m:r>
                            <m:sSub>
                              <m:sSubPr>
                                <m:ctrlPr>
                                  <w:rPr>
                                    <w:rFonts w:ascii="Cambria Math" w:hAnsi="Cambria Math" w:cs="Times New Roman"/>
                                    <w:i/>
                                    <w:iCs/>
                                    <w:color w:val="auto"/>
                                  </w:rPr>
                                </m:ctrlPr>
                              </m:sSubPr>
                              <m:e>
                                <m:r>
                                  <m:rPr/>
                                  <w:rPr>
                                    <w:rFonts w:ascii="Cambria Math" w:hAnsi="Cambria Math" w:cs="Times New Roman"/>
                                    <w:color w:val="auto"/>
                                  </w:rPr>
                                  <m:t>L</m:t>
                                </m:r>
                                <m:ctrlPr>
                                  <w:rPr>
                                    <w:rFonts w:ascii="Cambria Math" w:hAnsi="Cambria Math" w:cs="Times New Roman"/>
                                    <w:i/>
                                    <w:iCs/>
                                    <w:color w:val="auto"/>
                                  </w:rPr>
                                </m:ctrlPr>
                              </m:e>
                              <m:sub>
                                <m:r>
                                  <m:rPr/>
                                  <w:rPr>
                                    <w:rFonts w:ascii="Cambria Math" w:hAnsi="Cambria Math" w:cs="Times New Roman"/>
                                    <w:color w:val="auto"/>
                                  </w:rPr>
                                  <m:t>Aj</m:t>
                                </m:r>
                                <m:ctrlPr>
                                  <w:rPr>
                                    <w:rFonts w:ascii="Cambria Math" w:hAnsi="Cambria Math" w:cs="Times New Roman"/>
                                    <w:i/>
                                    <w:iCs/>
                                    <w:color w:val="auto"/>
                                  </w:rPr>
                                </m:ctrlPr>
                              </m:sub>
                            </m:sSub>
                            <m:ctrlPr>
                              <w:rPr>
                                <w:rFonts w:ascii="Cambria Math" w:hAnsi="Cambria Math" w:cs="Times New Roman"/>
                                <w:i/>
                                <w:iCs/>
                                <w:color w:val="auto"/>
                              </w:rPr>
                            </m:ctrlPr>
                          </m:sup>
                        </m:sSup>
                        <m:ctrlPr>
                          <w:rPr>
                            <w:rFonts w:ascii="Cambria Math" w:hAnsi="Cambria Math" w:cs="Times New Roman"/>
                            <w:i/>
                            <w:iCs/>
                            <w:color w:val="auto"/>
                          </w:rPr>
                        </m:ctrlPr>
                      </m:e>
                    </m:nary>
                    <m:ctrlPr>
                      <w:rPr>
                        <w:rFonts w:ascii="Cambria Math" w:hAnsi="Cambria Math" w:cs="Times New Roman"/>
                        <w:iCs/>
                        <w:color w:val="auto"/>
                      </w:rPr>
                    </m:ctrlPr>
                  </m:e>
                </m:d>
                <m:r>
                  <m:rPr>
                    <m:sty m:val="p"/>
                  </m:rPr>
                  <w:rPr>
                    <w:rFonts w:ascii="Cambria Math" w:hAnsi="Cambria Math" w:cs="Times New Roman"/>
                    <w:color w:val="auto"/>
                  </w:rPr>
                  <m:t>]</m:t>
                </m:r>
              </m:oMath>
            </m:oMathPara>
          </w:p>
          <w:p w14:paraId="1F2E4327">
            <w:pPr>
              <w:pStyle w:val="56"/>
              <w:spacing w:line="500" w:lineRule="exact"/>
              <w:ind w:firstLine="480" w:firstLineChars="200"/>
              <w:rPr>
                <w:rFonts w:ascii="Times New Roman" w:cs="Times New Roman"/>
                <w:color w:val="auto"/>
              </w:rPr>
            </w:pPr>
            <w:r>
              <w:rPr>
                <w:rFonts w:ascii="Times New Roman" w:cs="Times New Roman"/>
                <w:color w:val="auto"/>
              </w:rPr>
              <w:t>式中：</w:t>
            </w:r>
            <w:r>
              <w:rPr>
                <w:rFonts w:ascii="Times New Roman" w:cs="Times New Roman"/>
                <w:i/>
                <w:iCs/>
                <w:color w:val="auto"/>
              </w:rPr>
              <w:t>L</w:t>
            </w:r>
            <w:r>
              <w:rPr>
                <w:rFonts w:ascii="Times New Roman" w:cs="Times New Roman"/>
                <w:i/>
                <w:iCs/>
                <w:color w:val="auto"/>
                <w:vertAlign w:val="subscript"/>
              </w:rPr>
              <w:t>eqg</w:t>
            </w:r>
            <w:r>
              <w:rPr>
                <w:rFonts w:ascii="Times New Roman" w:cs="Times New Roman"/>
                <w:color w:val="auto"/>
              </w:rPr>
              <w:t>—建设项目声源在预测点产生的噪声贡献值，dB；</w:t>
            </w:r>
          </w:p>
          <w:p w14:paraId="4CD2E15F">
            <w:pPr>
              <w:pStyle w:val="56"/>
              <w:spacing w:line="500" w:lineRule="exact"/>
              <w:ind w:firstLine="1200" w:firstLineChars="500"/>
              <w:rPr>
                <w:rFonts w:ascii="Times New Roman" w:cs="Times New Roman"/>
                <w:color w:val="auto"/>
              </w:rPr>
            </w:pPr>
            <w:r>
              <w:rPr>
                <w:rFonts w:ascii="Times New Roman" w:cs="Times New Roman"/>
                <w:i/>
                <w:iCs/>
                <w:color w:val="auto"/>
              </w:rPr>
              <w:t>T</w:t>
            </w:r>
            <w:r>
              <w:rPr>
                <w:rFonts w:ascii="Times New Roman" w:cs="Times New Roman"/>
                <w:color w:val="auto"/>
              </w:rPr>
              <w:t>—用于计算等效声级的时间，s；</w:t>
            </w:r>
            <w:r>
              <w:rPr>
                <w:rFonts w:ascii="Times New Roman" w:cs="Times New Roman"/>
                <w:i/>
                <w:iCs/>
                <w:color w:val="auto"/>
              </w:rPr>
              <w:t>t</w:t>
            </w:r>
            <w:r>
              <w:rPr>
                <w:rFonts w:ascii="Times New Roman" w:cs="Times New Roman"/>
                <w:i/>
                <w:iCs/>
                <w:color w:val="auto"/>
                <w:vertAlign w:val="subscript"/>
              </w:rPr>
              <w:t>i</w:t>
            </w:r>
            <w:r>
              <w:rPr>
                <w:rFonts w:ascii="Times New Roman" w:cs="Times New Roman"/>
                <w:color w:val="auto"/>
              </w:rPr>
              <w:t>—在T时间内i声源工作时间，s；</w:t>
            </w:r>
          </w:p>
          <w:p w14:paraId="511CC7D0">
            <w:pPr>
              <w:pStyle w:val="56"/>
              <w:spacing w:line="500" w:lineRule="exact"/>
              <w:ind w:firstLine="1200" w:firstLineChars="500"/>
              <w:rPr>
                <w:rFonts w:ascii="Times New Roman" w:cs="Times New Roman"/>
                <w:color w:val="auto"/>
              </w:rPr>
            </w:pPr>
            <w:r>
              <w:rPr>
                <w:rFonts w:ascii="Times New Roman" w:cs="Times New Roman"/>
                <w:i/>
                <w:iCs/>
                <w:color w:val="auto"/>
              </w:rPr>
              <w:t>M</w:t>
            </w:r>
            <w:r>
              <w:rPr>
                <w:rFonts w:ascii="Times New Roman" w:cs="Times New Roman"/>
                <w:color w:val="auto"/>
              </w:rPr>
              <w:t>—等效室外声源个数；</w:t>
            </w:r>
            <w:r>
              <w:rPr>
                <w:rFonts w:ascii="Times New Roman" w:cs="Times New Roman"/>
                <w:i/>
                <w:iCs/>
                <w:color w:val="auto"/>
              </w:rPr>
              <w:t>t</w:t>
            </w:r>
            <w:r>
              <w:rPr>
                <w:rFonts w:ascii="Times New Roman" w:cs="Times New Roman"/>
                <w:i/>
                <w:iCs/>
                <w:color w:val="auto"/>
                <w:vertAlign w:val="subscript"/>
              </w:rPr>
              <w:t>j</w:t>
            </w:r>
            <w:r>
              <w:rPr>
                <w:rFonts w:ascii="Times New Roman" w:cs="Times New Roman"/>
                <w:color w:val="auto"/>
              </w:rPr>
              <w:t>—在T时间内j声源工作时间，s。</w:t>
            </w:r>
          </w:p>
          <w:p w14:paraId="582A4948">
            <w:pPr>
              <w:pStyle w:val="56"/>
              <w:spacing w:line="500" w:lineRule="exact"/>
              <w:ind w:firstLine="480" w:firstLineChars="200"/>
              <w:rPr>
                <w:rFonts w:ascii="Times New Roman" w:cs="Times New Roman"/>
                <w:color w:val="auto"/>
              </w:rPr>
            </w:pPr>
            <w:r>
              <w:rPr>
                <w:rFonts w:ascii="Cambria Math" w:hAnsi="Cambria Math" w:cs="Cambria Math"/>
                <w:color w:val="auto"/>
              </w:rPr>
              <w:t>③</w:t>
            </w:r>
            <w:r>
              <w:rPr>
                <w:rFonts w:ascii="Times New Roman" w:cs="Times New Roman"/>
                <w:color w:val="auto"/>
              </w:rPr>
              <w:t>预测点的预测等效声级（</w:t>
            </w:r>
            <w:r>
              <w:rPr>
                <w:rFonts w:ascii="Times New Roman" w:cs="Times New Roman"/>
                <w:i/>
                <w:iCs/>
                <w:color w:val="auto"/>
              </w:rPr>
              <w:t>L</w:t>
            </w:r>
            <w:r>
              <w:rPr>
                <w:rFonts w:ascii="Times New Roman" w:cs="Times New Roman"/>
                <w:i/>
                <w:iCs/>
                <w:color w:val="auto"/>
                <w:vertAlign w:val="subscript"/>
              </w:rPr>
              <w:t>eq</w:t>
            </w:r>
            <w:r>
              <w:rPr>
                <w:rFonts w:ascii="Times New Roman" w:cs="Times New Roman"/>
                <w:color w:val="auto"/>
              </w:rPr>
              <w:t>）计算公式：</w:t>
            </w:r>
          </w:p>
          <w:p w14:paraId="694A3D60">
            <w:pPr>
              <w:pStyle w:val="56"/>
              <w:spacing w:line="360" w:lineRule="auto"/>
              <w:ind w:firstLine="1200" w:firstLineChars="500"/>
              <w:rPr>
                <w:rFonts w:ascii="Times New Roman" w:cs="Times New Roman"/>
                <w:i/>
                <w:iCs/>
                <w:color w:val="auto"/>
              </w:rPr>
            </w:pPr>
            <m:oMathPara>
              <m:oMath>
                <m:sSub>
                  <m:sSubPr>
                    <m:ctrlPr>
                      <w:rPr>
                        <w:rFonts w:ascii="Cambria Math" w:hAnsi="Cambria Math" w:cs="Times New Roman"/>
                        <w:i/>
                        <w:color w:val="auto"/>
                      </w:rPr>
                    </m:ctrlPr>
                  </m:sSubPr>
                  <m:e>
                    <m:r>
                      <m:rPr/>
                      <w:rPr>
                        <w:rFonts w:ascii="Cambria Math" w:hAnsi="Cambria Math" w:cs="Times New Roman"/>
                        <w:color w:val="auto"/>
                      </w:rPr>
                      <m:t>L</m:t>
                    </m:r>
                    <m:ctrlPr>
                      <w:rPr>
                        <w:rFonts w:ascii="Cambria Math" w:hAnsi="Cambria Math" w:cs="Times New Roman"/>
                        <w:i/>
                        <w:color w:val="auto"/>
                      </w:rPr>
                    </m:ctrlPr>
                  </m:e>
                  <m:sub>
                    <m:r>
                      <m:rPr/>
                      <w:rPr>
                        <w:rFonts w:ascii="Cambria Math" w:hAnsi="Cambria Math" w:cs="Times New Roman"/>
                        <w:color w:val="auto"/>
                      </w:rPr>
                      <m:t>eq</m:t>
                    </m:r>
                    <m:ctrlPr>
                      <w:rPr>
                        <w:rFonts w:ascii="Cambria Math" w:hAnsi="Cambria Math" w:cs="Times New Roman"/>
                        <w:i/>
                        <w:color w:val="auto"/>
                      </w:rPr>
                    </m:ctrlPr>
                  </m:sub>
                </m:sSub>
                <m:r>
                  <m:rPr/>
                  <w:rPr>
                    <w:rFonts w:ascii="Cambria Math" w:hAnsi="Cambria Math" w:cs="Times New Roman"/>
                    <w:color w:val="auto"/>
                  </w:rPr>
                  <m:t>=</m:t>
                </m:r>
                <m:r>
                  <m:rPr>
                    <m:sty m:val="p"/>
                  </m:rPr>
                  <w:rPr>
                    <w:rFonts w:ascii="Cambria Math" w:hAnsi="Cambria Math" w:cs="Times New Roman"/>
                    <w:color w:val="auto"/>
                  </w:rPr>
                  <m:t>101g</m:t>
                </m:r>
                <m:d>
                  <m:dPr>
                    <m:ctrlPr>
                      <w:rPr>
                        <w:rFonts w:ascii="Cambria Math" w:hAnsi="Cambria Math" w:cs="Times New Roman"/>
                        <w:iCs/>
                        <w:color w:val="auto"/>
                      </w:rPr>
                    </m:ctrlPr>
                  </m:dPr>
                  <m:e>
                    <m:sSup>
                      <m:sSupPr>
                        <m:ctrlPr>
                          <w:rPr>
                            <w:rFonts w:ascii="Cambria Math" w:hAnsi="Cambria Math" w:cs="Times New Roman"/>
                            <w:i/>
                            <w:iCs/>
                            <w:color w:val="auto"/>
                          </w:rPr>
                        </m:ctrlPr>
                      </m:sSupPr>
                      <m:e>
                        <m:r>
                          <m:rPr/>
                          <w:rPr>
                            <w:rFonts w:ascii="Cambria Math" w:hAnsi="Cambria Math" w:cs="Times New Roman"/>
                            <w:color w:val="auto"/>
                          </w:rPr>
                          <m:t>10</m:t>
                        </m:r>
                        <m:ctrlPr>
                          <w:rPr>
                            <w:rFonts w:ascii="Cambria Math" w:hAnsi="Cambria Math" w:cs="Times New Roman"/>
                            <w:i/>
                            <w:iCs/>
                            <w:color w:val="auto"/>
                          </w:rPr>
                        </m:ctrlPr>
                      </m:e>
                      <m:sup>
                        <m:r>
                          <m:rPr/>
                          <w:rPr>
                            <w:rFonts w:ascii="Cambria Math" w:hAnsi="Cambria Math" w:cs="Times New Roman"/>
                            <w:color w:val="auto"/>
                          </w:rPr>
                          <m:t>0.1</m:t>
                        </m:r>
                        <m:sSub>
                          <m:sSubPr>
                            <m:ctrlPr>
                              <w:rPr>
                                <w:rFonts w:ascii="Cambria Math" w:hAnsi="Cambria Math" w:cs="Times New Roman"/>
                                <w:i/>
                                <w:iCs/>
                                <w:color w:val="auto"/>
                              </w:rPr>
                            </m:ctrlPr>
                          </m:sSubPr>
                          <m:e>
                            <m:r>
                              <m:rPr/>
                              <w:rPr>
                                <w:rFonts w:ascii="Cambria Math" w:hAnsi="Cambria Math" w:cs="Times New Roman"/>
                                <w:color w:val="auto"/>
                              </w:rPr>
                              <m:t>L</m:t>
                            </m:r>
                            <m:ctrlPr>
                              <w:rPr>
                                <w:rFonts w:ascii="Cambria Math" w:hAnsi="Cambria Math" w:cs="Times New Roman"/>
                                <w:i/>
                                <w:iCs/>
                                <w:color w:val="auto"/>
                              </w:rPr>
                            </m:ctrlPr>
                          </m:e>
                          <m:sub>
                            <m:r>
                              <m:rPr/>
                              <w:rPr>
                                <w:rFonts w:ascii="Cambria Math" w:hAnsi="Cambria Math" w:cs="Times New Roman"/>
                                <w:color w:val="auto"/>
                              </w:rPr>
                              <m:t>eqg</m:t>
                            </m:r>
                            <m:ctrlPr>
                              <w:rPr>
                                <w:rFonts w:ascii="Cambria Math" w:hAnsi="Cambria Math" w:cs="Times New Roman"/>
                                <w:i/>
                                <w:iCs/>
                                <w:color w:val="auto"/>
                              </w:rPr>
                            </m:ctrlPr>
                          </m:sub>
                        </m:sSub>
                        <m:ctrlPr>
                          <w:rPr>
                            <w:rFonts w:ascii="Cambria Math" w:hAnsi="Cambria Math" w:cs="Times New Roman"/>
                            <w:i/>
                            <w:iCs/>
                            <w:color w:val="auto"/>
                          </w:rPr>
                        </m:ctrlPr>
                      </m:sup>
                    </m:sSup>
                    <m:r>
                      <m:rPr/>
                      <w:rPr>
                        <w:rFonts w:ascii="Cambria Math" w:hAnsi="Cambria Math" w:cs="Times New Roman"/>
                        <w:color w:val="auto"/>
                      </w:rPr>
                      <m:t>+</m:t>
                    </m:r>
                    <m:sSup>
                      <m:sSupPr>
                        <m:ctrlPr>
                          <w:rPr>
                            <w:rFonts w:ascii="Cambria Math" w:hAnsi="Cambria Math" w:cs="Times New Roman"/>
                            <w:i/>
                            <w:iCs/>
                            <w:color w:val="auto"/>
                          </w:rPr>
                        </m:ctrlPr>
                      </m:sSupPr>
                      <m:e>
                        <m:r>
                          <m:rPr/>
                          <w:rPr>
                            <w:rFonts w:ascii="Cambria Math" w:hAnsi="Cambria Math" w:cs="Times New Roman"/>
                            <w:color w:val="auto"/>
                          </w:rPr>
                          <m:t>10</m:t>
                        </m:r>
                        <m:ctrlPr>
                          <w:rPr>
                            <w:rFonts w:ascii="Cambria Math" w:hAnsi="Cambria Math" w:cs="Times New Roman"/>
                            <w:i/>
                            <w:iCs/>
                            <w:color w:val="auto"/>
                          </w:rPr>
                        </m:ctrlPr>
                      </m:e>
                      <m:sup>
                        <m:sSup>
                          <m:sSupPr>
                            <m:ctrlPr>
                              <w:rPr>
                                <w:rFonts w:ascii="Cambria Math" w:hAnsi="Cambria Math" w:cs="Times New Roman"/>
                                <w:i/>
                                <w:iCs/>
                                <w:color w:val="auto"/>
                              </w:rPr>
                            </m:ctrlPr>
                          </m:sSupPr>
                          <m:e>
                            <m:r>
                              <m:rPr/>
                              <w:rPr>
                                <w:rFonts w:ascii="Cambria Math" w:hAnsi="Cambria Math" w:cs="Times New Roman"/>
                                <w:color w:val="auto"/>
                              </w:rPr>
                              <m:t>0.1</m:t>
                            </m:r>
                            <m:ctrlPr>
                              <w:rPr>
                                <w:rFonts w:ascii="Cambria Math" w:hAnsi="Cambria Math" w:cs="Times New Roman"/>
                                <w:i/>
                                <w:iCs/>
                                <w:color w:val="auto"/>
                              </w:rPr>
                            </m:ctrlPr>
                          </m:e>
                          <m:sup>
                            <m:r>
                              <m:rPr/>
                              <w:rPr>
                                <w:rFonts w:ascii="Cambria Math" w:hAnsi="Cambria Math" w:cs="Times New Roman"/>
                                <w:color w:val="auto"/>
                              </w:rPr>
                              <m:t>Leqb</m:t>
                            </m:r>
                            <m:ctrlPr>
                              <w:rPr>
                                <w:rFonts w:ascii="Cambria Math" w:hAnsi="Cambria Math" w:cs="Times New Roman"/>
                                <w:i/>
                                <w:iCs/>
                                <w:color w:val="auto"/>
                              </w:rPr>
                            </m:ctrlPr>
                          </m:sup>
                        </m:sSup>
                        <m:ctrlPr>
                          <w:rPr>
                            <w:rFonts w:ascii="Cambria Math" w:hAnsi="Cambria Math" w:cs="Times New Roman"/>
                            <w:i/>
                            <w:iCs/>
                            <w:color w:val="auto"/>
                          </w:rPr>
                        </m:ctrlPr>
                      </m:sup>
                    </m:sSup>
                    <m:ctrlPr>
                      <w:rPr>
                        <w:rFonts w:ascii="Cambria Math" w:hAnsi="Cambria Math" w:cs="Times New Roman"/>
                        <w:iCs/>
                        <w:color w:val="auto"/>
                      </w:rPr>
                    </m:ctrlPr>
                  </m:e>
                </m:d>
              </m:oMath>
            </m:oMathPara>
          </w:p>
          <w:p w14:paraId="60216D21">
            <w:pPr>
              <w:pStyle w:val="56"/>
              <w:spacing w:line="500" w:lineRule="exact"/>
              <w:ind w:firstLine="480" w:firstLineChars="200"/>
              <w:rPr>
                <w:rFonts w:ascii="Times New Roman" w:cs="Times New Roman"/>
                <w:color w:val="auto"/>
              </w:rPr>
            </w:pPr>
            <w:r>
              <w:rPr>
                <w:rFonts w:ascii="Times New Roman" w:cs="Times New Roman"/>
                <w:color w:val="auto"/>
              </w:rPr>
              <w:t>式中：</w:t>
            </w:r>
            <w:r>
              <w:rPr>
                <w:rFonts w:ascii="Times New Roman" w:cs="Times New Roman"/>
                <w:i/>
                <w:iCs/>
                <w:color w:val="auto"/>
              </w:rPr>
              <w:t>L</w:t>
            </w:r>
            <w:r>
              <w:rPr>
                <w:rFonts w:ascii="Times New Roman" w:cs="Times New Roman"/>
                <w:i/>
                <w:iCs/>
                <w:color w:val="auto"/>
                <w:vertAlign w:val="subscript"/>
              </w:rPr>
              <w:t>eq</w:t>
            </w:r>
            <w:r>
              <w:rPr>
                <w:rFonts w:ascii="Times New Roman" w:cs="Times New Roman"/>
                <w:color w:val="auto"/>
              </w:rPr>
              <w:t>—预测点的噪声预测值，dB；</w:t>
            </w:r>
            <w:r>
              <w:rPr>
                <w:rFonts w:ascii="Times New Roman" w:cs="Times New Roman"/>
                <w:i/>
                <w:iCs/>
                <w:color w:val="auto"/>
              </w:rPr>
              <w:t>L</w:t>
            </w:r>
            <w:r>
              <w:rPr>
                <w:rFonts w:ascii="Times New Roman" w:cs="Times New Roman"/>
                <w:i/>
                <w:iCs/>
                <w:color w:val="auto"/>
                <w:vertAlign w:val="subscript"/>
              </w:rPr>
              <w:t>eqb</w:t>
            </w:r>
            <w:r>
              <w:rPr>
                <w:rFonts w:ascii="Times New Roman" w:cs="Times New Roman"/>
                <w:color w:val="auto"/>
              </w:rPr>
              <w:t>—预测点的背景噪声值，dB。</w:t>
            </w:r>
          </w:p>
          <w:p w14:paraId="7D648258">
            <w:pPr>
              <w:pStyle w:val="56"/>
              <w:spacing w:line="500" w:lineRule="exact"/>
              <w:ind w:firstLine="480" w:firstLineChars="200"/>
              <w:rPr>
                <w:rFonts w:ascii="Times New Roman" w:cs="Times New Roman"/>
                <w:color w:val="auto"/>
              </w:rPr>
            </w:pPr>
            <w:r>
              <w:rPr>
                <w:rFonts w:ascii="Cambria Math" w:hAnsi="Cambria Math" w:cs="Cambria Math"/>
                <w:color w:val="auto"/>
              </w:rPr>
              <w:t>④</w:t>
            </w:r>
            <w:r>
              <w:rPr>
                <w:rFonts w:ascii="Times New Roman" w:cs="Times New Roman"/>
                <w:color w:val="auto"/>
              </w:rPr>
              <w:t>户外声传播衰减计算</w:t>
            </w:r>
          </w:p>
          <w:p w14:paraId="13E977BC">
            <w:pPr>
              <w:pStyle w:val="56"/>
              <w:spacing w:line="500" w:lineRule="exact"/>
              <w:ind w:firstLine="480" w:firstLineChars="200"/>
              <w:rPr>
                <w:rFonts w:ascii="Times New Roman" w:cs="Times New Roman"/>
                <w:color w:val="auto"/>
              </w:rPr>
            </w:pPr>
            <w:r>
              <w:rPr>
                <w:rFonts w:ascii="Times New Roman" w:cs="Times New Roman"/>
                <w:color w:val="auto"/>
              </w:rPr>
              <w:t>户外声传播衰减包括几何发散（A</w:t>
            </w:r>
            <w:r>
              <w:rPr>
                <w:rFonts w:ascii="Times New Roman" w:cs="Times New Roman"/>
                <w:color w:val="auto"/>
                <w:vertAlign w:val="subscript"/>
              </w:rPr>
              <w:t>div</w:t>
            </w:r>
            <w:r>
              <w:rPr>
                <w:rFonts w:ascii="Times New Roman" w:cs="Times New Roman"/>
                <w:color w:val="auto"/>
              </w:rPr>
              <w:t>）、大气吸收（A</w:t>
            </w:r>
            <w:r>
              <w:rPr>
                <w:rFonts w:ascii="Times New Roman" w:cs="Times New Roman"/>
                <w:color w:val="auto"/>
                <w:vertAlign w:val="subscript"/>
              </w:rPr>
              <w:t>atm</w:t>
            </w:r>
            <w:r>
              <w:rPr>
                <w:rFonts w:ascii="Times New Roman" w:cs="Times New Roman"/>
                <w:color w:val="auto"/>
              </w:rPr>
              <w:t>）、地面效应（A</w:t>
            </w:r>
            <w:r>
              <w:rPr>
                <w:rFonts w:ascii="Times New Roman" w:cs="Times New Roman"/>
                <w:color w:val="auto"/>
                <w:vertAlign w:val="subscript"/>
              </w:rPr>
              <w:t>gr</w:t>
            </w:r>
            <w:r>
              <w:rPr>
                <w:rFonts w:ascii="Times New Roman" w:cs="Times New Roman"/>
                <w:color w:val="auto"/>
              </w:rPr>
              <w:t>）、屏障屏蔽（A</w:t>
            </w:r>
            <w:r>
              <w:rPr>
                <w:rFonts w:ascii="Times New Roman" w:cs="Times New Roman"/>
                <w:color w:val="auto"/>
                <w:vertAlign w:val="subscript"/>
              </w:rPr>
              <w:t>bar</w:t>
            </w:r>
            <w:r>
              <w:rPr>
                <w:rFonts w:ascii="Times New Roman" w:cs="Times New Roman"/>
                <w:color w:val="auto"/>
              </w:rPr>
              <w:t>）、其他多方面效应（A</w:t>
            </w:r>
            <w:r>
              <w:rPr>
                <w:rFonts w:ascii="Times New Roman" w:cs="Times New Roman"/>
                <w:color w:val="auto"/>
                <w:vertAlign w:val="subscript"/>
              </w:rPr>
              <w:t>misc</w:t>
            </w:r>
            <w:r>
              <w:rPr>
                <w:rFonts w:ascii="Times New Roman" w:cs="Times New Roman"/>
                <w:color w:val="auto"/>
              </w:rPr>
              <w:t>）引起的衰减。</w:t>
            </w:r>
          </w:p>
          <w:p w14:paraId="7EA3343F">
            <w:pPr>
              <w:pStyle w:val="56"/>
              <w:spacing w:line="500" w:lineRule="exact"/>
              <w:ind w:firstLine="480" w:firstLineChars="200"/>
              <w:rPr>
                <w:rFonts w:ascii="Times New Roman" w:cs="Times New Roman"/>
                <w:color w:val="auto"/>
              </w:rPr>
            </w:pPr>
            <w:r>
              <w:rPr>
                <w:rFonts w:ascii="Times New Roman" w:cs="Times New Roman"/>
                <w:color w:val="auto"/>
              </w:rPr>
              <w:t>距声源点r处的A声级按下式计算：</w:t>
            </w:r>
          </w:p>
          <w:p w14:paraId="561843A1">
            <w:pPr>
              <w:pStyle w:val="56"/>
              <w:spacing w:line="360" w:lineRule="auto"/>
              <w:ind w:firstLine="1200" w:firstLineChars="500"/>
              <w:rPr>
                <w:rFonts w:ascii="Times New Roman" w:cs="Times New Roman"/>
                <w:i/>
                <w:iCs/>
                <w:color w:val="auto"/>
              </w:rPr>
            </w:pPr>
            <m:oMathPara>
              <m:oMath>
                <m:sSub>
                  <m:sSubPr>
                    <m:ctrlPr>
                      <w:rPr>
                        <w:rFonts w:ascii="Cambria Math" w:hAnsi="Cambria Math" w:cs="Times New Roman"/>
                        <w:i/>
                        <w:color w:val="auto"/>
                      </w:rPr>
                    </m:ctrlPr>
                  </m:sSubPr>
                  <m:e>
                    <m:r>
                      <m:rPr/>
                      <w:rPr>
                        <w:rFonts w:ascii="Cambria Math" w:hAnsi="Cambria Math" w:cs="Times New Roman"/>
                        <w:color w:val="auto"/>
                      </w:rPr>
                      <m:t>L</m:t>
                    </m:r>
                    <m:ctrlPr>
                      <w:rPr>
                        <w:rFonts w:ascii="Cambria Math" w:hAnsi="Cambria Math" w:cs="Times New Roman"/>
                        <w:i/>
                        <w:color w:val="auto"/>
                      </w:rPr>
                    </m:ctrlPr>
                  </m:e>
                  <m:sub>
                    <m:r>
                      <m:rPr/>
                      <w:rPr>
                        <w:rFonts w:ascii="Cambria Math" w:hAnsi="Cambria Math" w:cs="Times New Roman"/>
                        <w:color w:val="auto"/>
                      </w:rPr>
                      <m:t>p(r)</m:t>
                    </m:r>
                    <m:ctrlPr>
                      <w:rPr>
                        <w:rFonts w:ascii="Cambria Math" w:hAnsi="Cambria Math" w:cs="Times New Roman"/>
                        <w:i/>
                        <w:color w:val="auto"/>
                      </w:rPr>
                    </m:ctrlPr>
                  </m:sub>
                </m:sSub>
                <m:r>
                  <m:rPr/>
                  <w:rPr>
                    <w:rFonts w:ascii="Cambria Math" w:hAnsi="Cambria Math" w:cs="Times New Roman"/>
                    <w:color w:val="auto"/>
                  </w:rPr>
                  <m:t>=</m:t>
                </m:r>
                <m:sSub>
                  <m:sSubPr>
                    <m:ctrlPr>
                      <w:rPr>
                        <w:rFonts w:ascii="Cambria Math" w:hAnsi="Cambria Math" w:cs="Times New Roman"/>
                        <w:i/>
                        <w:color w:val="auto"/>
                      </w:rPr>
                    </m:ctrlPr>
                  </m:sSubPr>
                  <m:e>
                    <m:r>
                      <m:rPr/>
                      <w:rPr>
                        <w:rFonts w:ascii="Cambria Math" w:hAnsi="Cambria Math" w:cs="Times New Roman"/>
                        <w:color w:val="auto"/>
                      </w:rPr>
                      <m:t>L</m:t>
                    </m:r>
                    <m:ctrlPr>
                      <w:rPr>
                        <w:rFonts w:ascii="Cambria Math" w:hAnsi="Cambria Math" w:cs="Times New Roman"/>
                        <w:i/>
                        <w:color w:val="auto"/>
                      </w:rPr>
                    </m:ctrlPr>
                  </m:e>
                  <m:sub>
                    <m:r>
                      <m:rPr/>
                      <w:rPr>
                        <w:rFonts w:ascii="Cambria Math" w:hAnsi="Cambria Math" w:cs="Times New Roman"/>
                        <w:color w:val="auto"/>
                      </w:rPr>
                      <m:t>p</m:t>
                    </m:r>
                    <m:d>
                      <m:dPr>
                        <m:ctrlPr>
                          <w:rPr>
                            <w:rFonts w:ascii="Cambria Math" w:hAnsi="Cambria Math" w:cs="Times New Roman"/>
                            <w:i/>
                            <w:color w:val="auto"/>
                          </w:rPr>
                        </m:ctrlPr>
                      </m:dPr>
                      <m:e>
                        <m:r>
                          <m:rPr/>
                          <w:rPr>
                            <w:rFonts w:ascii="Cambria Math" w:hAnsi="Cambria Math" w:cs="Times New Roman"/>
                            <w:color w:val="auto"/>
                          </w:rPr>
                          <m:t>r0</m:t>
                        </m:r>
                        <m:ctrlPr>
                          <w:rPr>
                            <w:rFonts w:ascii="Cambria Math" w:hAnsi="Cambria Math" w:cs="Times New Roman"/>
                            <w:i/>
                            <w:color w:val="auto"/>
                          </w:rPr>
                        </m:ctrlPr>
                      </m:e>
                    </m:d>
                    <m:ctrlPr>
                      <w:rPr>
                        <w:rFonts w:ascii="Cambria Math" w:hAnsi="Cambria Math" w:cs="Times New Roman"/>
                        <w:i/>
                        <w:color w:val="auto"/>
                      </w:rPr>
                    </m:ctrlPr>
                  </m:sub>
                </m:sSub>
                <m:r>
                  <m:rPr/>
                  <w:rPr>
                    <w:rFonts w:ascii="Cambria Math" w:hAnsi="Cambria Math" w:cs="Times New Roman"/>
                    <w:color w:val="auto"/>
                  </w:rPr>
                  <m:t>+</m:t>
                </m:r>
                <m:sSub>
                  <m:sSubPr>
                    <m:ctrlPr>
                      <w:rPr>
                        <w:rFonts w:ascii="Cambria Math" w:hAnsi="Cambria Math" w:cs="Times New Roman"/>
                        <w:i/>
                        <w:color w:val="auto"/>
                      </w:rPr>
                    </m:ctrlPr>
                  </m:sSubPr>
                  <m:e>
                    <m:r>
                      <m:rPr/>
                      <w:rPr>
                        <w:rFonts w:ascii="Cambria Math" w:hAnsi="Cambria Math" w:cs="Times New Roman"/>
                        <w:color w:val="auto"/>
                      </w:rPr>
                      <m:t>D</m:t>
                    </m:r>
                    <m:ctrlPr>
                      <w:rPr>
                        <w:rFonts w:ascii="Cambria Math" w:hAnsi="Cambria Math" w:cs="Times New Roman"/>
                        <w:i/>
                        <w:color w:val="auto"/>
                      </w:rPr>
                    </m:ctrlPr>
                  </m:e>
                  <m:sub>
                    <m:r>
                      <m:rPr/>
                      <w:rPr>
                        <w:rFonts w:ascii="Cambria Math" w:hAnsi="Cambria Math" w:cs="Times New Roman"/>
                        <w:color w:val="auto"/>
                      </w:rPr>
                      <m:t>C</m:t>
                    </m:r>
                    <m:ctrlPr>
                      <w:rPr>
                        <w:rFonts w:ascii="Cambria Math" w:hAnsi="Cambria Math" w:cs="Times New Roman"/>
                        <w:i/>
                        <w:color w:val="auto"/>
                      </w:rPr>
                    </m:ctrlPr>
                  </m:sub>
                </m:sSub>
                <m:r>
                  <m:rPr/>
                  <w:rPr>
                    <w:rFonts w:ascii="Cambria Math" w:hAnsi="Cambria Math" w:cs="Times New Roman"/>
                    <w:color w:val="auto"/>
                  </w:rPr>
                  <m:t>−(</m:t>
                </m:r>
                <m:sSub>
                  <m:sSubPr>
                    <m:ctrlPr>
                      <w:rPr>
                        <w:rFonts w:ascii="Cambria Math" w:hAnsi="Cambria Math" w:cs="Times New Roman"/>
                        <w:i/>
                        <w:color w:val="auto"/>
                      </w:rPr>
                    </m:ctrlPr>
                  </m:sSubPr>
                  <m:e>
                    <m:r>
                      <m:rPr/>
                      <w:rPr>
                        <w:rFonts w:ascii="Cambria Math" w:hAnsi="Cambria Math" w:cs="Times New Roman"/>
                        <w:color w:val="auto"/>
                      </w:rPr>
                      <m:t>A</m:t>
                    </m:r>
                    <m:ctrlPr>
                      <w:rPr>
                        <w:rFonts w:ascii="Cambria Math" w:hAnsi="Cambria Math" w:cs="Times New Roman"/>
                        <w:i/>
                        <w:color w:val="auto"/>
                      </w:rPr>
                    </m:ctrlPr>
                  </m:e>
                  <m:sub>
                    <m:r>
                      <m:rPr/>
                      <w:rPr>
                        <w:rFonts w:ascii="Cambria Math" w:hAnsi="Cambria Math" w:cs="Times New Roman"/>
                        <w:color w:val="auto"/>
                      </w:rPr>
                      <m:t>div</m:t>
                    </m:r>
                    <m:ctrlPr>
                      <w:rPr>
                        <w:rFonts w:ascii="Cambria Math" w:hAnsi="Cambria Math" w:cs="Times New Roman"/>
                        <w:i/>
                        <w:color w:val="auto"/>
                      </w:rPr>
                    </m:ctrlPr>
                  </m:sub>
                </m:sSub>
                <m:r>
                  <m:rPr/>
                  <w:rPr>
                    <w:rFonts w:ascii="Cambria Math" w:hAnsi="Cambria Math" w:cs="Times New Roman"/>
                    <w:color w:val="auto"/>
                  </w:rPr>
                  <m:t>+</m:t>
                </m:r>
                <m:sSub>
                  <m:sSubPr>
                    <m:ctrlPr>
                      <w:rPr>
                        <w:rFonts w:ascii="Cambria Math" w:hAnsi="Cambria Math" w:cs="Times New Roman"/>
                        <w:i/>
                        <w:color w:val="auto"/>
                      </w:rPr>
                    </m:ctrlPr>
                  </m:sSubPr>
                  <m:e>
                    <m:r>
                      <m:rPr/>
                      <w:rPr>
                        <w:rFonts w:ascii="Cambria Math" w:hAnsi="Cambria Math" w:cs="Times New Roman"/>
                        <w:color w:val="auto"/>
                      </w:rPr>
                      <m:t>A</m:t>
                    </m:r>
                    <m:ctrlPr>
                      <w:rPr>
                        <w:rFonts w:ascii="Cambria Math" w:hAnsi="Cambria Math" w:cs="Times New Roman"/>
                        <w:i/>
                        <w:color w:val="auto"/>
                      </w:rPr>
                    </m:ctrlPr>
                  </m:e>
                  <m:sub>
                    <m:r>
                      <m:rPr/>
                      <w:rPr>
                        <w:rFonts w:ascii="Cambria Math" w:hAnsi="Cambria Math" w:cs="Times New Roman"/>
                        <w:color w:val="auto"/>
                      </w:rPr>
                      <m:t>atm</m:t>
                    </m:r>
                    <m:ctrlPr>
                      <w:rPr>
                        <w:rFonts w:ascii="Cambria Math" w:hAnsi="Cambria Math" w:cs="Times New Roman"/>
                        <w:i/>
                        <w:color w:val="auto"/>
                      </w:rPr>
                    </m:ctrlPr>
                  </m:sub>
                </m:sSub>
                <m:r>
                  <m:rPr/>
                  <w:rPr>
                    <w:rFonts w:ascii="Cambria Math" w:hAnsi="Cambria Math" w:cs="Times New Roman"/>
                    <w:color w:val="auto"/>
                  </w:rPr>
                  <m:t>+</m:t>
                </m:r>
                <m:sSub>
                  <m:sSubPr>
                    <m:ctrlPr>
                      <w:rPr>
                        <w:rFonts w:ascii="Cambria Math" w:hAnsi="Cambria Math" w:cs="Times New Roman"/>
                        <w:i/>
                        <w:color w:val="auto"/>
                      </w:rPr>
                    </m:ctrlPr>
                  </m:sSubPr>
                  <m:e>
                    <m:r>
                      <m:rPr/>
                      <w:rPr>
                        <w:rFonts w:ascii="Cambria Math" w:hAnsi="Cambria Math" w:cs="Times New Roman"/>
                        <w:color w:val="auto"/>
                      </w:rPr>
                      <m:t>A</m:t>
                    </m:r>
                    <m:ctrlPr>
                      <w:rPr>
                        <w:rFonts w:ascii="Cambria Math" w:hAnsi="Cambria Math" w:cs="Times New Roman"/>
                        <w:i/>
                        <w:color w:val="auto"/>
                      </w:rPr>
                    </m:ctrlPr>
                  </m:e>
                  <m:sub>
                    <m:r>
                      <m:rPr/>
                      <w:rPr>
                        <w:rFonts w:ascii="Cambria Math" w:hAnsi="Cambria Math" w:cs="Times New Roman"/>
                        <w:color w:val="auto"/>
                      </w:rPr>
                      <m:t>gr</m:t>
                    </m:r>
                    <m:ctrlPr>
                      <w:rPr>
                        <w:rFonts w:ascii="Cambria Math" w:hAnsi="Cambria Math" w:cs="Times New Roman"/>
                        <w:i/>
                        <w:color w:val="auto"/>
                      </w:rPr>
                    </m:ctrlPr>
                  </m:sub>
                </m:sSub>
                <m:r>
                  <m:rPr/>
                  <w:rPr>
                    <w:rFonts w:ascii="Cambria Math" w:hAnsi="Cambria Math" w:cs="Times New Roman"/>
                    <w:color w:val="auto"/>
                  </w:rPr>
                  <m:t>+</m:t>
                </m:r>
                <m:sSub>
                  <m:sSubPr>
                    <m:ctrlPr>
                      <w:rPr>
                        <w:rFonts w:ascii="Cambria Math" w:hAnsi="Cambria Math" w:cs="Times New Roman"/>
                        <w:i/>
                        <w:color w:val="auto"/>
                      </w:rPr>
                    </m:ctrlPr>
                  </m:sSubPr>
                  <m:e>
                    <m:r>
                      <m:rPr/>
                      <w:rPr>
                        <w:rFonts w:ascii="Cambria Math" w:hAnsi="Cambria Math" w:cs="Times New Roman"/>
                        <w:color w:val="auto"/>
                      </w:rPr>
                      <m:t>A</m:t>
                    </m:r>
                    <m:ctrlPr>
                      <w:rPr>
                        <w:rFonts w:ascii="Cambria Math" w:hAnsi="Cambria Math" w:cs="Times New Roman"/>
                        <w:i/>
                        <w:color w:val="auto"/>
                      </w:rPr>
                    </m:ctrlPr>
                  </m:e>
                  <m:sub>
                    <m:r>
                      <m:rPr/>
                      <w:rPr>
                        <w:rFonts w:ascii="Cambria Math" w:hAnsi="Cambria Math" w:cs="Times New Roman"/>
                        <w:color w:val="auto"/>
                      </w:rPr>
                      <m:t>bar</m:t>
                    </m:r>
                    <m:ctrlPr>
                      <w:rPr>
                        <w:rFonts w:ascii="Cambria Math" w:hAnsi="Cambria Math" w:cs="Times New Roman"/>
                        <w:i/>
                        <w:color w:val="auto"/>
                      </w:rPr>
                    </m:ctrlPr>
                  </m:sub>
                </m:sSub>
                <m:r>
                  <m:rPr/>
                  <w:rPr>
                    <w:rFonts w:ascii="Cambria Math" w:hAnsi="Cambria Math" w:cs="Times New Roman"/>
                    <w:color w:val="auto"/>
                  </w:rPr>
                  <m:t>+</m:t>
                </m:r>
                <m:sSub>
                  <m:sSubPr>
                    <m:ctrlPr>
                      <w:rPr>
                        <w:rFonts w:ascii="Cambria Math" w:hAnsi="Cambria Math" w:cs="Times New Roman"/>
                        <w:i/>
                        <w:color w:val="auto"/>
                      </w:rPr>
                    </m:ctrlPr>
                  </m:sSubPr>
                  <m:e>
                    <m:r>
                      <m:rPr/>
                      <w:rPr>
                        <w:rFonts w:ascii="Cambria Math" w:hAnsi="Cambria Math" w:cs="Times New Roman"/>
                        <w:color w:val="auto"/>
                      </w:rPr>
                      <m:t>A</m:t>
                    </m:r>
                    <m:ctrlPr>
                      <w:rPr>
                        <w:rFonts w:ascii="Cambria Math" w:hAnsi="Cambria Math" w:cs="Times New Roman"/>
                        <w:i/>
                        <w:color w:val="auto"/>
                      </w:rPr>
                    </m:ctrlPr>
                  </m:e>
                  <m:sub>
                    <m:r>
                      <m:rPr/>
                      <w:rPr>
                        <w:rFonts w:ascii="Cambria Math" w:hAnsi="Cambria Math" w:cs="Times New Roman"/>
                        <w:color w:val="auto"/>
                      </w:rPr>
                      <m:t>misc</m:t>
                    </m:r>
                    <m:ctrlPr>
                      <w:rPr>
                        <w:rFonts w:ascii="Cambria Math" w:hAnsi="Cambria Math" w:cs="Times New Roman"/>
                        <w:i/>
                        <w:color w:val="auto"/>
                      </w:rPr>
                    </m:ctrlPr>
                  </m:sub>
                </m:sSub>
                <m:r>
                  <m:rPr/>
                  <w:rPr>
                    <w:rFonts w:ascii="Cambria Math" w:hAnsi="Cambria Math" w:cs="Times New Roman"/>
                    <w:color w:val="auto"/>
                  </w:rPr>
                  <m:t>)</m:t>
                </m:r>
              </m:oMath>
            </m:oMathPara>
          </w:p>
          <w:p w14:paraId="7BE7634F">
            <w:pPr>
              <w:pStyle w:val="56"/>
              <w:spacing w:line="500" w:lineRule="exact"/>
              <w:ind w:firstLine="480" w:firstLineChars="200"/>
              <w:rPr>
                <w:rFonts w:ascii="Times New Roman" w:cs="Times New Roman"/>
                <w:color w:val="auto"/>
              </w:rPr>
            </w:pPr>
            <w:r>
              <w:rPr>
                <w:rFonts w:ascii="Times New Roman" w:cs="Times New Roman"/>
                <w:color w:val="auto"/>
              </w:rPr>
              <w:t>本项目预测计算只考虑各声源至受声点的几何发散衰减，不考虑空气吸收及影响较小的附加衰减。预测结果如下。</w:t>
            </w:r>
          </w:p>
          <w:p w14:paraId="76D9B625">
            <w:pPr>
              <w:pStyle w:val="56"/>
              <w:spacing w:line="500" w:lineRule="exact"/>
              <w:jc w:val="center"/>
              <w:rPr>
                <w:rFonts w:ascii="Times New Roman" w:cs="Times New Roman"/>
                <w:b/>
                <w:bCs/>
                <w:color w:val="auto"/>
              </w:rPr>
            </w:pPr>
            <w:r>
              <w:rPr>
                <w:rFonts w:ascii="Times New Roman" w:cs="Times New Roman"/>
                <w:b/>
                <w:bCs/>
                <w:color w:val="auto"/>
              </w:rPr>
              <w:t>表4-15 项目厂界噪声影响预测结果表</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867"/>
              <w:gridCol w:w="1172"/>
              <w:gridCol w:w="869"/>
              <w:gridCol w:w="867"/>
              <w:gridCol w:w="867"/>
              <w:gridCol w:w="867"/>
              <w:gridCol w:w="870"/>
              <w:gridCol w:w="865"/>
            </w:tblGrid>
            <w:tr w14:paraId="6211B3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55" w:type="pct"/>
                  <w:vMerge w:val="restart"/>
                  <w:shd w:val="clear" w:color="auto" w:fill="auto"/>
                  <w:vAlign w:val="center"/>
                </w:tcPr>
                <w:p w14:paraId="192DB1BD">
                  <w:pPr>
                    <w:widowControl/>
                    <w:jc w:val="center"/>
                    <w:rPr>
                      <w:rFonts w:eastAsiaTheme="majorEastAsia"/>
                      <w:b/>
                      <w:bCs/>
                      <w:kern w:val="0"/>
                      <w:szCs w:val="21"/>
                    </w:rPr>
                  </w:pPr>
                  <w:r>
                    <w:rPr>
                      <w:rFonts w:eastAsiaTheme="majorEastAsia"/>
                      <w:b/>
                      <w:bCs/>
                      <w:kern w:val="0"/>
                      <w:szCs w:val="21"/>
                    </w:rPr>
                    <w:t>预测点</w:t>
                  </w:r>
                </w:p>
              </w:tc>
              <w:tc>
                <w:tcPr>
                  <w:tcW w:w="3825" w:type="pct"/>
                  <w:gridSpan w:val="7"/>
                  <w:shd w:val="clear" w:color="auto" w:fill="auto"/>
                  <w:vAlign w:val="center"/>
                </w:tcPr>
                <w:p w14:paraId="090862BA">
                  <w:pPr>
                    <w:widowControl/>
                    <w:jc w:val="center"/>
                    <w:rPr>
                      <w:rFonts w:eastAsiaTheme="majorEastAsia"/>
                      <w:b/>
                      <w:bCs/>
                      <w:kern w:val="0"/>
                      <w:szCs w:val="21"/>
                    </w:rPr>
                  </w:pPr>
                  <w:r>
                    <w:rPr>
                      <w:rFonts w:eastAsiaTheme="majorEastAsia"/>
                      <w:b/>
                      <w:bCs/>
                      <w:kern w:val="0"/>
                      <w:szCs w:val="21"/>
                    </w:rPr>
                    <w:t>监测指标</w:t>
                  </w:r>
                </w:p>
              </w:tc>
              <w:tc>
                <w:tcPr>
                  <w:tcW w:w="520" w:type="pct"/>
                  <w:vMerge w:val="restart"/>
                  <w:shd w:val="clear" w:color="auto" w:fill="auto"/>
                  <w:vAlign w:val="center"/>
                </w:tcPr>
                <w:p w14:paraId="21C01C7D">
                  <w:pPr>
                    <w:widowControl/>
                    <w:jc w:val="center"/>
                    <w:rPr>
                      <w:rFonts w:eastAsiaTheme="majorEastAsia"/>
                      <w:b/>
                      <w:bCs/>
                      <w:kern w:val="0"/>
                      <w:szCs w:val="21"/>
                    </w:rPr>
                  </w:pPr>
                  <w:r>
                    <w:rPr>
                      <w:rFonts w:eastAsiaTheme="majorEastAsia"/>
                      <w:b/>
                      <w:bCs/>
                      <w:kern w:val="0"/>
                      <w:szCs w:val="21"/>
                    </w:rPr>
                    <w:t>达标情况</w:t>
                  </w:r>
                </w:p>
              </w:tc>
            </w:tr>
            <w:tr w14:paraId="697B78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5" w:type="pct"/>
                  <w:vMerge w:val="continue"/>
                  <w:vAlign w:val="center"/>
                </w:tcPr>
                <w:p w14:paraId="5C245D75">
                  <w:pPr>
                    <w:widowControl/>
                    <w:jc w:val="left"/>
                    <w:rPr>
                      <w:rFonts w:eastAsiaTheme="majorEastAsia"/>
                      <w:b/>
                      <w:bCs/>
                      <w:kern w:val="0"/>
                      <w:szCs w:val="21"/>
                    </w:rPr>
                  </w:pPr>
                </w:p>
              </w:tc>
              <w:tc>
                <w:tcPr>
                  <w:tcW w:w="520" w:type="pct"/>
                  <w:vMerge w:val="restart"/>
                  <w:shd w:val="clear" w:color="auto" w:fill="auto"/>
                  <w:vAlign w:val="center"/>
                </w:tcPr>
                <w:p w14:paraId="7A224005">
                  <w:pPr>
                    <w:widowControl/>
                    <w:jc w:val="center"/>
                    <w:rPr>
                      <w:rFonts w:eastAsiaTheme="majorEastAsia"/>
                      <w:b/>
                      <w:bCs/>
                      <w:kern w:val="0"/>
                      <w:szCs w:val="21"/>
                    </w:rPr>
                  </w:pPr>
                  <w:r>
                    <w:rPr>
                      <w:rFonts w:eastAsiaTheme="majorEastAsia"/>
                      <w:b/>
                      <w:bCs/>
                      <w:kern w:val="0"/>
                      <w:szCs w:val="21"/>
                    </w:rPr>
                    <w:t>预测贡献值</w:t>
                  </w:r>
                </w:p>
              </w:tc>
              <w:tc>
                <w:tcPr>
                  <w:tcW w:w="1224" w:type="pct"/>
                  <w:gridSpan w:val="2"/>
                  <w:shd w:val="clear" w:color="auto" w:fill="auto"/>
                  <w:vAlign w:val="center"/>
                </w:tcPr>
                <w:p w14:paraId="0EFEFCF3">
                  <w:pPr>
                    <w:widowControl/>
                    <w:jc w:val="center"/>
                    <w:rPr>
                      <w:rFonts w:eastAsiaTheme="majorEastAsia"/>
                      <w:b/>
                      <w:bCs/>
                      <w:kern w:val="0"/>
                      <w:szCs w:val="21"/>
                    </w:rPr>
                  </w:pPr>
                  <w:r>
                    <w:rPr>
                      <w:rFonts w:eastAsiaTheme="majorEastAsia"/>
                      <w:b/>
                      <w:bCs/>
                      <w:kern w:val="0"/>
                      <w:szCs w:val="21"/>
                    </w:rPr>
                    <w:t>背景值</w:t>
                  </w:r>
                  <w:r>
                    <w:rPr>
                      <w:rFonts w:ascii="Cambria Math" w:hAnsi="Cambria Math" w:cs="Cambria Math" w:eastAsiaTheme="majorEastAsia"/>
                      <w:b/>
                      <w:bCs/>
                      <w:kern w:val="0"/>
                      <w:szCs w:val="21"/>
                      <w:vertAlign w:val="superscript"/>
                    </w:rPr>
                    <w:t>①</w:t>
                  </w:r>
                </w:p>
              </w:tc>
              <w:tc>
                <w:tcPr>
                  <w:tcW w:w="1040" w:type="pct"/>
                  <w:gridSpan w:val="2"/>
                  <w:shd w:val="clear" w:color="auto" w:fill="auto"/>
                  <w:vAlign w:val="center"/>
                </w:tcPr>
                <w:p w14:paraId="673AB6F0">
                  <w:pPr>
                    <w:widowControl/>
                    <w:jc w:val="center"/>
                    <w:rPr>
                      <w:rFonts w:eastAsiaTheme="majorEastAsia"/>
                      <w:b/>
                      <w:bCs/>
                      <w:kern w:val="0"/>
                      <w:szCs w:val="21"/>
                    </w:rPr>
                  </w:pPr>
                  <w:r>
                    <w:rPr>
                      <w:rFonts w:eastAsiaTheme="majorEastAsia"/>
                      <w:b/>
                      <w:bCs/>
                      <w:kern w:val="0"/>
                      <w:szCs w:val="21"/>
                    </w:rPr>
                    <w:t>叠加后</w:t>
                  </w:r>
                </w:p>
              </w:tc>
              <w:tc>
                <w:tcPr>
                  <w:tcW w:w="1040" w:type="pct"/>
                  <w:gridSpan w:val="2"/>
                  <w:shd w:val="clear" w:color="auto" w:fill="auto"/>
                  <w:vAlign w:val="center"/>
                </w:tcPr>
                <w:p w14:paraId="52890C06">
                  <w:pPr>
                    <w:widowControl/>
                    <w:jc w:val="center"/>
                    <w:rPr>
                      <w:rFonts w:eastAsiaTheme="majorEastAsia"/>
                      <w:b/>
                      <w:bCs/>
                      <w:kern w:val="0"/>
                      <w:szCs w:val="21"/>
                    </w:rPr>
                  </w:pPr>
                  <w:r>
                    <w:rPr>
                      <w:rFonts w:eastAsiaTheme="majorEastAsia"/>
                      <w:b/>
                      <w:bCs/>
                      <w:kern w:val="0"/>
                      <w:szCs w:val="21"/>
                    </w:rPr>
                    <w:t>标准值</w:t>
                  </w:r>
                </w:p>
              </w:tc>
              <w:tc>
                <w:tcPr>
                  <w:tcW w:w="520" w:type="pct"/>
                  <w:vMerge w:val="continue"/>
                  <w:vAlign w:val="center"/>
                </w:tcPr>
                <w:p w14:paraId="6E9F1F2A">
                  <w:pPr>
                    <w:widowControl/>
                    <w:jc w:val="left"/>
                    <w:rPr>
                      <w:rFonts w:eastAsiaTheme="majorEastAsia"/>
                      <w:b/>
                      <w:bCs/>
                      <w:kern w:val="0"/>
                      <w:szCs w:val="21"/>
                    </w:rPr>
                  </w:pPr>
                </w:p>
              </w:tc>
            </w:tr>
            <w:tr w14:paraId="163A66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55" w:type="pct"/>
                  <w:vMerge w:val="continue"/>
                  <w:vAlign w:val="center"/>
                </w:tcPr>
                <w:p w14:paraId="40B99D35">
                  <w:pPr>
                    <w:widowControl/>
                    <w:jc w:val="left"/>
                    <w:rPr>
                      <w:rFonts w:eastAsiaTheme="majorEastAsia"/>
                      <w:b/>
                      <w:bCs/>
                      <w:kern w:val="0"/>
                      <w:szCs w:val="21"/>
                    </w:rPr>
                  </w:pPr>
                </w:p>
              </w:tc>
              <w:tc>
                <w:tcPr>
                  <w:tcW w:w="520" w:type="pct"/>
                  <w:vMerge w:val="continue"/>
                  <w:vAlign w:val="center"/>
                </w:tcPr>
                <w:p w14:paraId="2BD0D837">
                  <w:pPr>
                    <w:widowControl/>
                    <w:jc w:val="left"/>
                    <w:rPr>
                      <w:rFonts w:eastAsiaTheme="majorEastAsia"/>
                      <w:b/>
                      <w:bCs/>
                      <w:kern w:val="0"/>
                      <w:szCs w:val="21"/>
                    </w:rPr>
                  </w:pPr>
                </w:p>
              </w:tc>
              <w:tc>
                <w:tcPr>
                  <w:tcW w:w="703" w:type="pct"/>
                  <w:shd w:val="clear" w:color="auto" w:fill="auto"/>
                  <w:vAlign w:val="center"/>
                </w:tcPr>
                <w:p w14:paraId="06038748">
                  <w:pPr>
                    <w:widowControl/>
                    <w:jc w:val="center"/>
                    <w:rPr>
                      <w:rFonts w:eastAsiaTheme="majorEastAsia"/>
                      <w:b/>
                      <w:bCs/>
                      <w:kern w:val="0"/>
                      <w:szCs w:val="21"/>
                    </w:rPr>
                  </w:pPr>
                  <w:r>
                    <w:rPr>
                      <w:rFonts w:eastAsiaTheme="majorEastAsia"/>
                      <w:b/>
                      <w:bCs/>
                      <w:kern w:val="0"/>
                      <w:szCs w:val="21"/>
                    </w:rPr>
                    <w:t>昼间</w:t>
                  </w:r>
                </w:p>
              </w:tc>
              <w:tc>
                <w:tcPr>
                  <w:tcW w:w="520" w:type="pct"/>
                  <w:shd w:val="clear" w:color="auto" w:fill="auto"/>
                  <w:vAlign w:val="center"/>
                </w:tcPr>
                <w:p w14:paraId="50698BB4">
                  <w:pPr>
                    <w:widowControl/>
                    <w:jc w:val="center"/>
                    <w:rPr>
                      <w:rFonts w:eastAsiaTheme="majorEastAsia"/>
                      <w:b/>
                      <w:bCs/>
                      <w:kern w:val="0"/>
                      <w:szCs w:val="21"/>
                    </w:rPr>
                  </w:pPr>
                  <w:r>
                    <w:rPr>
                      <w:rFonts w:eastAsiaTheme="majorEastAsia"/>
                      <w:b/>
                      <w:bCs/>
                      <w:kern w:val="0"/>
                      <w:szCs w:val="21"/>
                    </w:rPr>
                    <w:t>夜间</w:t>
                  </w:r>
                </w:p>
              </w:tc>
              <w:tc>
                <w:tcPr>
                  <w:tcW w:w="520" w:type="pct"/>
                  <w:shd w:val="clear" w:color="auto" w:fill="auto"/>
                  <w:vAlign w:val="center"/>
                </w:tcPr>
                <w:p w14:paraId="7C215B38">
                  <w:pPr>
                    <w:widowControl/>
                    <w:jc w:val="center"/>
                    <w:rPr>
                      <w:rFonts w:eastAsiaTheme="majorEastAsia"/>
                      <w:b/>
                      <w:bCs/>
                      <w:kern w:val="0"/>
                      <w:szCs w:val="21"/>
                    </w:rPr>
                  </w:pPr>
                  <w:r>
                    <w:rPr>
                      <w:rFonts w:eastAsiaTheme="majorEastAsia"/>
                      <w:b/>
                      <w:bCs/>
                      <w:kern w:val="0"/>
                      <w:szCs w:val="21"/>
                    </w:rPr>
                    <w:t>昼间</w:t>
                  </w:r>
                </w:p>
              </w:tc>
              <w:tc>
                <w:tcPr>
                  <w:tcW w:w="520" w:type="pct"/>
                  <w:shd w:val="clear" w:color="auto" w:fill="auto"/>
                  <w:vAlign w:val="center"/>
                </w:tcPr>
                <w:p w14:paraId="26B56397">
                  <w:pPr>
                    <w:widowControl/>
                    <w:jc w:val="center"/>
                    <w:rPr>
                      <w:rFonts w:eastAsiaTheme="majorEastAsia"/>
                      <w:b/>
                      <w:bCs/>
                      <w:kern w:val="0"/>
                      <w:szCs w:val="21"/>
                    </w:rPr>
                  </w:pPr>
                  <w:r>
                    <w:rPr>
                      <w:rFonts w:eastAsiaTheme="majorEastAsia"/>
                      <w:b/>
                      <w:bCs/>
                      <w:kern w:val="0"/>
                      <w:szCs w:val="21"/>
                    </w:rPr>
                    <w:t>夜间</w:t>
                  </w:r>
                </w:p>
              </w:tc>
              <w:tc>
                <w:tcPr>
                  <w:tcW w:w="520" w:type="pct"/>
                  <w:shd w:val="clear" w:color="auto" w:fill="auto"/>
                  <w:vAlign w:val="center"/>
                </w:tcPr>
                <w:p w14:paraId="17BA4F3B">
                  <w:pPr>
                    <w:widowControl/>
                    <w:jc w:val="center"/>
                    <w:rPr>
                      <w:rFonts w:eastAsiaTheme="majorEastAsia"/>
                      <w:b/>
                      <w:bCs/>
                      <w:kern w:val="0"/>
                      <w:szCs w:val="21"/>
                    </w:rPr>
                  </w:pPr>
                  <w:r>
                    <w:rPr>
                      <w:rFonts w:eastAsiaTheme="majorEastAsia"/>
                      <w:b/>
                      <w:bCs/>
                      <w:kern w:val="0"/>
                      <w:szCs w:val="21"/>
                    </w:rPr>
                    <w:t>昼间</w:t>
                  </w:r>
                </w:p>
              </w:tc>
              <w:tc>
                <w:tcPr>
                  <w:tcW w:w="520" w:type="pct"/>
                  <w:shd w:val="clear" w:color="auto" w:fill="auto"/>
                  <w:vAlign w:val="center"/>
                </w:tcPr>
                <w:p w14:paraId="617E46D3">
                  <w:pPr>
                    <w:widowControl/>
                    <w:jc w:val="center"/>
                    <w:rPr>
                      <w:rFonts w:eastAsiaTheme="majorEastAsia"/>
                      <w:b/>
                      <w:bCs/>
                      <w:kern w:val="0"/>
                      <w:szCs w:val="21"/>
                    </w:rPr>
                  </w:pPr>
                  <w:r>
                    <w:rPr>
                      <w:rFonts w:eastAsiaTheme="majorEastAsia"/>
                      <w:b/>
                      <w:bCs/>
                      <w:kern w:val="0"/>
                      <w:szCs w:val="21"/>
                    </w:rPr>
                    <w:t>夜间</w:t>
                  </w:r>
                </w:p>
              </w:tc>
              <w:tc>
                <w:tcPr>
                  <w:tcW w:w="520" w:type="pct"/>
                  <w:vMerge w:val="continue"/>
                  <w:vAlign w:val="center"/>
                </w:tcPr>
                <w:p w14:paraId="446FF5ED">
                  <w:pPr>
                    <w:widowControl/>
                    <w:jc w:val="left"/>
                    <w:rPr>
                      <w:rFonts w:eastAsiaTheme="majorEastAsia"/>
                      <w:b/>
                      <w:bCs/>
                      <w:kern w:val="0"/>
                      <w:szCs w:val="21"/>
                    </w:rPr>
                  </w:pPr>
                </w:p>
              </w:tc>
            </w:tr>
            <w:tr w14:paraId="6BDA2D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5" w:type="pct"/>
                  <w:shd w:val="clear" w:color="auto" w:fill="auto"/>
                  <w:vAlign w:val="center"/>
                </w:tcPr>
                <w:p w14:paraId="5986C147">
                  <w:pPr>
                    <w:widowControl/>
                    <w:jc w:val="center"/>
                    <w:rPr>
                      <w:rFonts w:eastAsiaTheme="majorEastAsia"/>
                      <w:kern w:val="0"/>
                      <w:szCs w:val="21"/>
                    </w:rPr>
                  </w:pPr>
                  <w:r>
                    <w:rPr>
                      <w:rFonts w:eastAsiaTheme="majorEastAsia"/>
                      <w:kern w:val="0"/>
                      <w:szCs w:val="21"/>
                    </w:rPr>
                    <w:t>东厂界</w:t>
                  </w:r>
                </w:p>
              </w:tc>
              <w:tc>
                <w:tcPr>
                  <w:tcW w:w="520" w:type="pct"/>
                  <w:shd w:val="clear" w:color="auto" w:fill="auto"/>
                  <w:vAlign w:val="center"/>
                </w:tcPr>
                <w:p w14:paraId="21B1B5D5">
                  <w:pPr>
                    <w:widowControl/>
                    <w:jc w:val="center"/>
                    <w:rPr>
                      <w:rFonts w:eastAsiaTheme="majorEastAsia"/>
                      <w:kern w:val="0"/>
                      <w:szCs w:val="21"/>
                    </w:rPr>
                  </w:pPr>
                  <w:r>
                    <w:rPr>
                      <w:rFonts w:eastAsiaTheme="majorEastAsia"/>
                      <w:kern w:val="0"/>
                      <w:szCs w:val="21"/>
                    </w:rPr>
                    <w:t>47.9</w:t>
                  </w:r>
                </w:p>
              </w:tc>
              <w:tc>
                <w:tcPr>
                  <w:tcW w:w="703" w:type="pct"/>
                  <w:shd w:val="clear" w:color="auto" w:fill="auto"/>
                  <w:vAlign w:val="center"/>
                </w:tcPr>
                <w:p w14:paraId="39997B94">
                  <w:pPr>
                    <w:widowControl/>
                    <w:jc w:val="center"/>
                    <w:rPr>
                      <w:rFonts w:eastAsiaTheme="majorEastAsia"/>
                      <w:kern w:val="0"/>
                      <w:szCs w:val="21"/>
                    </w:rPr>
                  </w:pPr>
                  <w:r>
                    <w:rPr>
                      <w:rFonts w:eastAsiaTheme="majorEastAsia"/>
                      <w:kern w:val="0"/>
                      <w:szCs w:val="21"/>
                    </w:rPr>
                    <w:t>56.4</w:t>
                  </w:r>
                </w:p>
              </w:tc>
              <w:tc>
                <w:tcPr>
                  <w:tcW w:w="520" w:type="pct"/>
                  <w:shd w:val="clear" w:color="auto" w:fill="auto"/>
                  <w:vAlign w:val="center"/>
                </w:tcPr>
                <w:p w14:paraId="5026B661">
                  <w:pPr>
                    <w:widowControl/>
                    <w:jc w:val="center"/>
                    <w:rPr>
                      <w:rFonts w:eastAsiaTheme="majorEastAsia"/>
                      <w:kern w:val="0"/>
                      <w:szCs w:val="21"/>
                    </w:rPr>
                  </w:pPr>
                  <w:r>
                    <w:rPr>
                      <w:rFonts w:eastAsiaTheme="majorEastAsia"/>
                      <w:kern w:val="0"/>
                      <w:szCs w:val="21"/>
                    </w:rPr>
                    <w:t>52.9</w:t>
                  </w:r>
                </w:p>
              </w:tc>
              <w:tc>
                <w:tcPr>
                  <w:tcW w:w="520" w:type="pct"/>
                  <w:shd w:val="clear" w:color="auto" w:fill="auto"/>
                  <w:vAlign w:val="center"/>
                </w:tcPr>
                <w:p w14:paraId="782F8A5E">
                  <w:pPr>
                    <w:widowControl/>
                    <w:jc w:val="center"/>
                    <w:rPr>
                      <w:rFonts w:eastAsiaTheme="majorEastAsia"/>
                      <w:kern w:val="0"/>
                      <w:szCs w:val="21"/>
                    </w:rPr>
                  </w:pPr>
                  <w:r>
                    <w:rPr>
                      <w:rFonts w:eastAsiaTheme="majorEastAsia"/>
                      <w:kern w:val="0"/>
                      <w:szCs w:val="21"/>
                    </w:rPr>
                    <w:t>56.97</w:t>
                  </w:r>
                </w:p>
              </w:tc>
              <w:tc>
                <w:tcPr>
                  <w:tcW w:w="520" w:type="pct"/>
                  <w:shd w:val="clear" w:color="auto" w:fill="auto"/>
                  <w:vAlign w:val="center"/>
                </w:tcPr>
                <w:p w14:paraId="52DC1DE6">
                  <w:pPr>
                    <w:widowControl/>
                    <w:jc w:val="center"/>
                    <w:rPr>
                      <w:rFonts w:eastAsiaTheme="majorEastAsia"/>
                      <w:kern w:val="0"/>
                      <w:szCs w:val="21"/>
                    </w:rPr>
                  </w:pPr>
                  <w:r>
                    <w:rPr>
                      <w:rFonts w:eastAsiaTheme="majorEastAsia"/>
                      <w:kern w:val="0"/>
                      <w:szCs w:val="21"/>
                    </w:rPr>
                    <w:t>54.09</w:t>
                  </w:r>
                </w:p>
              </w:tc>
              <w:tc>
                <w:tcPr>
                  <w:tcW w:w="520" w:type="pct"/>
                  <w:shd w:val="clear" w:color="auto" w:fill="auto"/>
                  <w:vAlign w:val="center"/>
                </w:tcPr>
                <w:p w14:paraId="6173F42B">
                  <w:pPr>
                    <w:widowControl/>
                    <w:jc w:val="center"/>
                    <w:rPr>
                      <w:rFonts w:eastAsiaTheme="majorEastAsia"/>
                      <w:kern w:val="0"/>
                      <w:szCs w:val="21"/>
                    </w:rPr>
                  </w:pPr>
                  <w:r>
                    <w:rPr>
                      <w:rFonts w:eastAsiaTheme="majorEastAsia"/>
                      <w:kern w:val="0"/>
                      <w:szCs w:val="21"/>
                    </w:rPr>
                    <w:t>65</w:t>
                  </w:r>
                </w:p>
              </w:tc>
              <w:tc>
                <w:tcPr>
                  <w:tcW w:w="520" w:type="pct"/>
                  <w:shd w:val="clear" w:color="auto" w:fill="auto"/>
                  <w:vAlign w:val="center"/>
                </w:tcPr>
                <w:p w14:paraId="386AF9E0">
                  <w:pPr>
                    <w:widowControl/>
                    <w:jc w:val="center"/>
                    <w:rPr>
                      <w:rFonts w:eastAsiaTheme="majorEastAsia"/>
                      <w:kern w:val="0"/>
                      <w:szCs w:val="21"/>
                    </w:rPr>
                  </w:pPr>
                  <w:r>
                    <w:rPr>
                      <w:rFonts w:eastAsiaTheme="majorEastAsia"/>
                      <w:kern w:val="0"/>
                      <w:szCs w:val="21"/>
                    </w:rPr>
                    <w:t>55</w:t>
                  </w:r>
                </w:p>
              </w:tc>
              <w:tc>
                <w:tcPr>
                  <w:tcW w:w="520" w:type="pct"/>
                  <w:shd w:val="clear" w:color="auto" w:fill="auto"/>
                  <w:vAlign w:val="center"/>
                </w:tcPr>
                <w:p w14:paraId="7B00E18F">
                  <w:pPr>
                    <w:widowControl/>
                    <w:jc w:val="center"/>
                    <w:rPr>
                      <w:rFonts w:eastAsiaTheme="majorEastAsia"/>
                      <w:kern w:val="0"/>
                      <w:szCs w:val="21"/>
                    </w:rPr>
                  </w:pPr>
                  <w:r>
                    <w:rPr>
                      <w:rFonts w:eastAsiaTheme="majorEastAsia"/>
                      <w:kern w:val="0"/>
                      <w:szCs w:val="21"/>
                    </w:rPr>
                    <w:t>达标</w:t>
                  </w:r>
                </w:p>
              </w:tc>
            </w:tr>
            <w:tr w14:paraId="15F7D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55" w:type="pct"/>
                  <w:shd w:val="clear" w:color="auto" w:fill="auto"/>
                  <w:vAlign w:val="center"/>
                </w:tcPr>
                <w:p w14:paraId="2C09A517">
                  <w:pPr>
                    <w:widowControl/>
                    <w:jc w:val="center"/>
                    <w:rPr>
                      <w:rFonts w:eastAsiaTheme="majorEastAsia"/>
                      <w:kern w:val="0"/>
                      <w:szCs w:val="21"/>
                    </w:rPr>
                  </w:pPr>
                  <w:r>
                    <w:rPr>
                      <w:rFonts w:eastAsiaTheme="majorEastAsia"/>
                      <w:kern w:val="0"/>
                      <w:szCs w:val="21"/>
                    </w:rPr>
                    <w:t>南厂界</w:t>
                  </w:r>
                </w:p>
              </w:tc>
              <w:tc>
                <w:tcPr>
                  <w:tcW w:w="520" w:type="pct"/>
                  <w:shd w:val="clear" w:color="auto" w:fill="auto"/>
                  <w:vAlign w:val="center"/>
                </w:tcPr>
                <w:p w14:paraId="090F3867">
                  <w:pPr>
                    <w:widowControl/>
                    <w:jc w:val="center"/>
                    <w:rPr>
                      <w:rFonts w:eastAsiaTheme="majorEastAsia"/>
                      <w:kern w:val="0"/>
                      <w:szCs w:val="21"/>
                    </w:rPr>
                  </w:pPr>
                  <w:r>
                    <w:rPr>
                      <w:rFonts w:eastAsiaTheme="majorEastAsia"/>
                      <w:kern w:val="0"/>
                      <w:szCs w:val="21"/>
                    </w:rPr>
                    <w:t>42.8</w:t>
                  </w:r>
                </w:p>
              </w:tc>
              <w:tc>
                <w:tcPr>
                  <w:tcW w:w="703" w:type="pct"/>
                  <w:shd w:val="clear" w:color="auto" w:fill="auto"/>
                  <w:vAlign w:val="center"/>
                </w:tcPr>
                <w:p w14:paraId="27F3811D">
                  <w:pPr>
                    <w:widowControl/>
                    <w:jc w:val="center"/>
                    <w:rPr>
                      <w:rFonts w:eastAsiaTheme="majorEastAsia"/>
                      <w:kern w:val="0"/>
                      <w:szCs w:val="21"/>
                    </w:rPr>
                  </w:pPr>
                  <w:r>
                    <w:rPr>
                      <w:rFonts w:eastAsiaTheme="majorEastAsia"/>
                      <w:kern w:val="0"/>
                      <w:szCs w:val="21"/>
                    </w:rPr>
                    <w:t>59</w:t>
                  </w:r>
                </w:p>
              </w:tc>
              <w:tc>
                <w:tcPr>
                  <w:tcW w:w="520" w:type="pct"/>
                  <w:shd w:val="clear" w:color="auto" w:fill="auto"/>
                  <w:vAlign w:val="center"/>
                </w:tcPr>
                <w:p w14:paraId="43AD0A21">
                  <w:pPr>
                    <w:widowControl/>
                    <w:jc w:val="center"/>
                    <w:rPr>
                      <w:rFonts w:eastAsiaTheme="majorEastAsia"/>
                      <w:kern w:val="0"/>
                      <w:szCs w:val="21"/>
                    </w:rPr>
                  </w:pPr>
                  <w:r>
                    <w:rPr>
                      <w:rFonts w:eastAsiaTheme="majorEastAsia"/>
                      <w:kern w:val="0"/>
                      <w:szCs w:val="21"/>
                    </w:rPr>
                    <w:t>51</w:t>
                  </w:r>
                </w:p>
              </w:tc>
              <w:tc>
                <w:tcPr>
                  <w:tcW w:w="520" w:type="pct"/>
                  <w:shd w:val="clear" w:color="auto" w:fill="auto"/>
                  <w:vAlign w:val="center"/>
                </w:tcPr>
                <w:p w14:paraId="606A7099">
                  <w:pPr>
                    <w:widowControl/>
                    <w:jc w:val="center"/>
                    <w:rPr>
                      <w:rFonts w:eastAsiaTheme="majorEastAsia"/>
                      <w:kern w:val="0"/>
                      <w:szCs w:val="21"/>
                    </w:rPr>
                  </w:pPr>
                  <w:r>
                    <w:rPr>
                      <w:rFonts w:eastAsiaTheme="majorEastAsia"/>
                      <w:kern w:val="0"/>
                      <w:szCs w:val="21"/>
                    </w:rPr>
                    <w:t>59.1</w:t>
                  </w:r>
                </w:p>
              </w:tc>
              <w:tc>
                <w:tcPr>
                  <w:tcW w:w="520" w:type="pct"/>
                  <w:shd w:val="clear" w:color="auto" w:fill="auto"/>
                  <w:vAlign w:val="center"/>
                </w:tcPr>
                <w:p w14:paraId="6E6E8AE6">
                  <w:pPr>
                    <w:widowControl/>
                    <w:jc w:val="center"/>
                    <w:rPr>
                      <w:rFonts w:eastAsiaTheme="majorEastAsia"/>
                      <w:kern w:val="0"/>
                      <w:szCs w:val="21"/>
                    </w:rPr>
                  </w:pPr>
                  <w:r>
                    <w:rPr>
                      <w:rFonts w:eastAsiaTheme="majorEastAsia"/>
                      <w:kern w:val="0"/>
                      <w:szCs w:val="21"/>
                    </w:rPr>
                    <w:t>51.61</w:t>
                  </w:r>
                </w:p>
              </w:tc>
              <w:tc>
                <w:tcPr>
                  <w:tcW w:w="520" w:type="pct"/>
                  <w:shd w:val="clear" w:color="auto" w:fill="auto"/>
                  <w:vAlign w:val="center"/>
                </w:tcPr>
                <w:p w14:paraId="21D39A49">
                  <w:pPr>
                    <w:widowControl/>
                    <w:jc w:val="center"/>
                    <w:rPr>
                      <w:rFonts w:eastAsiaTheme="majorEastAsia"/>
                      <w:kern w:val="0"/>
                      <w:szCs w:val="21"/>
                    </w:rPr>
                  </w:pPr>
                  <w:r>
                    <w:rPr>
                      <w:rFonts w:eastAsiaTheme="majorEastAsia"/>
                      <w:kern w:val="0"/>
                      <w:szCs w:val="21"/>
                    </w:rPr>
                    <w:t>65</w:t>
                  </w:r>
                </w:p>
              </w:tc>
              <w:tc>
                <w:tcPr>
                  <w:tcW w:w="520" w:type="pct"/>
                  <w:shd w:val="clear" w:color="auto" w:fill="auto"/>
                  <w:vAlign w:val="center"/>
                </w:tcPr>
                <w:p w14:paraId="4DD29864">
                  <w:pPr>
                    <w:widowControl/>
                    <w:jc w:val="center"/>
                    <w:rPr>
                      <w:rFonts w:eastAsiaTheme="majorEastAsia"/>
                      <w:kern w:val="0"/>
                      <w:szCs w:val="21"/>
                    </w:rPr>
                  </w:pPr>
                  <w:r>
                    <w:rPr>
                      <w:rFonts w:eastAsiaTheme="majorEastAsia"/>
                      <w:kern w:val="0"/>
                      <w:szCs w:val="21"/>
                    </w:rPr>
                    <w:t>55</w:t>
                  </w:r>
                </w:p>
              </w:tc>
              <w:tc>
                <w:tcPr>
                  <w:tcW w:w="520" w:type="pct"/>
                  <w:shd w:val="clear" w:color="auto" w:fill="auto"/>
                  <w:vAlign w:val="center"/>
                </w:tcPr>
                <w:p w14:paraId="232D252C">
                  <w:pPr>
                    <w:widowControl/>
                    <w:jc w:val="center"/>
                    <w:rPr>
                      <w:rFonts w:eastAsiaTheme="majorEastAsia"/>
                      <w:kern w:val="0"/>
                      <w:szCs w:val="21"/>
                    </w:rPr>
                  </w:pPr>
                  <w:r>
                    <w:rPr>
                      <w:rFonts w:eastAsiaTheme="majorEastAsia"/>
                      <w:kern w:val="0"/>
                      <w:szCs w:val="21"/>
                    </w:rPr>
                    <w:t>达标</w:t>
                  </w:r>
                </w:p>
              </w:tc>
            </w:tr>
            <w:tr w14:paraId="790FF5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55" w:type="pct"/>
                  <w:shd w:val="clear" w:color="auto" w:fill="auto"/>
                  <w:vAlign w:val="center"/>
                </w:tcPr>
                <w:p w14:paraId="5F306811">
                  <w:pPr>
                    <w:widowControl/>
                    <w:jc w:val="center"/>
                    <w:rPr>
                      <w:rFonts w:eastAsiaTheme="majorEastAsia"/>
                      <w:kern w:val="0"/>
                      <w:szCs w:val="21"/>
                    </w:rPr>
                  </w:pPr>
                  <w:r>
                    <w:rPr>
                      <w:rFonts w:eastAsiaTheme="majorEastAsia"/>
                      <w:kern w:val="0"/>
                      <w:szCs w:val="21"/>
                    </w:rPr>
                    <w:t>西厂界</w:t>
                  </w:r>
                </w:p>
              </w:tc>
              <w:tc>
                <w:tcPr>
                  <w:tcW w:w="520" w:type="pct"/>
                  <w:shd w:val="clear" w:color="auto" w:fill="auto"/>
                  <w:vAlign w:val="center"/>
                </w:tcPr>
                <w:p w14:paraId="5F1548B0">
                  <w:pPr>
                    <w:widowControl/>
                    <w:jc w:val="center"/>
                    <w:rPr>
                      <w:rFonts w:eastAsiaTheme="majorEastAsia"/>
                      <w:kern w:val="0"/>
                      <w:szCs w:val="21"/>
                    </w:rPr>
                  </w:pPr>
                  <w:r>
                    <w:rPr>
                      <w:rFonts w:eastAsiaTheme="majorEastAsia"/>
                      <w:kern w:val="0"/>
                      <w:szCs w:val="21"/>
                    </w:rPr>
                    <w:t>39.9</w:t>
                  </w:r>
                </w:p>
              </w:tc>
              <w:tc>
                <w:tcPr>
                  <w:tcW w:w="703" w:type="pct"/>
                  <w:shd w:val="clear" w:color="auto" w:fill="auto"/>
                  <w:vAlign w:val="center"/>
                </w:tcPr>
                <w:p w14:paraId="4E927316">
                  <w:pPr>
                    <w:widowControl/>
                    <w:jc w:val="center"/>
                    <w:rPr>
                      <w:rFonts w:eastAsiaTheme="majorEastAsia"/>
                      <w:kern w:val="0"/>
                      <w:szCs w:val="21"/>
                    </w:rPr>
                  </w:pPr>
                  <w:r>
                    <w:rPr>
                      <w:rFonts w:eastAsiaTheme="majorEastAsia"/>
                      <w:kern w:val="0"/>
                      <w:szCs w:val="21"/>
                    </w:rPr>
                    <w:t>57.1</w:t>
                  </w:r>
                </w:p>
              </w:tc>
              <w:tc>
                <w:tcPr>
                  <w:tcW w:w="520" w:type="pct"/>
                  <w:shd w:val="clear" w:color="auto" w:fill="auto"/>
                  <w:vAlign w:val="center"/>
                </w:tcPr>
                <w:p w14:paraId="6355E317">
                  <w:pPr>
                    <w:widowControl/>
                    <w:jc w:val="center"/>
                    <w:rPr>
                      <w:rFonts w:eastAsiaTheme="majorEastAsia"/>
                      <w:kern w:val="0"/>
                      <w:szCs w:val="21"/>
                    </w:rPr>
                  </w:pPr>
                  <w:r>
                    <w:rPr>
                      <w:rFonts w:eastAsiaTheme="majorEastAsia"/>
                      <w:kern w:val="0"/>
                      <w:szCs w:val="21"/>
                    </w:rPr>
                    <w:t>50.7</w:t>
                  </w:r>
                </w:p>
              </w:tc>
              <w:tc>
                <w:tcPr>
                  <w:tcW w:w="520" w:type="pct"/>
                  <w:shd w:val="clear" w:color="auto" w:fill="auto"/>
                  <w:vAlign w:val="center"/>
                </w:tcPr>
                <w:p w14:paraId="70F5C9DC">
                  <w:pPr>
                    <w:widowControl/>
                    <w:jc w:val="center"/>
                    <w:rPr>
                      <w:rFonts w:eastAsiaTheme="majorEastAsia"/>
                      <w:kern w:val="0"/>
                      <w:szCs w:val="21"/>
                    </w:rPr>
                  </w:pPr>
                  <w:r>
                    <w:rPr>
                      <w:rFonts w:eastAsiaTheme="majorEastAsia"/>
                      <w:kern w:val="0"/>
                      <w:szCs w:val="21"/>
                    </w:rPr>
                    <w:t>57.18</w:t>
                  </w:r>
                </w:p>
              </w:tc>
              <w:tc>
                <w:tcPr>
                  <w:tcW w:w="520" w:type="pct"/>
                  <w:shd w:val="clear" w:color="auto" w:fill="auto"/>
                  <w:vAlign w:val="center"/>
                </w:tcPr>
                <w:p w14:paraId="204DFB54">
                  <w:pPr>
                    <w:widowControl/>
                    <w:jc w:val="center"/>
                    <w:rPr>
                      <w:rFonts w:eastAsiaTheme="majorEastAsia"/>
                      <w:kern w:val="0"/>
                      <w:szCs w:val="21"/>
                    </w:rPr>
                  </w:pPr>
                  <w:r>
                    <w:rPr>
                      <w:rFonts w:eastAsiaTheme="majorEastAsia"/>
                      <w:kern w:val="0"/>
                      <w:szCs w:val="21"/>
                    </w:rPr>
                    <w:t>51.05</w:t>
                  </w:r>
                </w:p>
              </w:tc>
              <w:tc>
                <w:tcPr>
                  <w:tcW w:w="520" w:type="pct"/>
                  <w:shd w:val="clear" w:color="auto" w:fill="auto"/>
                  <w:vAlign w:val="center"/>
                </w:tcPr>
                <w:p w14:paraId="6AAF8979">
                  <w:pPr>
                    <w:widowControl/>
                    <w:jc w:val="center"/>
                    <w:rPr>
                      <w:rFonts w:eastAsiaTheme="majorEastAsia"/>
                      <w:kern w:val="0"/>
                      <w:szCs w:val="21"/>
                    </w:rPr>
                  </w:pPr>
                  <w:r>
                    <w:rPr>
                      <w:rFonts w:eastAsiaTheme="majorEastAsia"/>
                      <w:kern w:val="0"/>
                      <w:szCs w:val="21"/>
                    </w:rPr>
                    <w:t>65</w:t>
                  </w:r>
                </w:p>
              </w:tc>
              <w:tc>
                <w:tcPr>
                  <w:tcW w:w="520" w:type="pct"/>
                  <w:shd w:val="clear" w:color="auto" w:fill="auto"/>
                  <w:vAlign w:val="center"/>
                </w:tcPr>
                <w:p w14:paraId="6B39DD7E">
                  <w:pPr>
                    <w:widowControl/>
                    <w:jc w:val="center"/>
                    <w:rPr>
                      <w:rFonts w:eastAsiaTheme="majorEastAsia"/>
                      <w:kern w:val="0"/>
                      <w:szCs w:val="21"/>
                    </w:rPr>
                  </w:pPr>
                  <w:r>
                    <w:rPr>
                      <w:rFonts w:eastAsiaTheme="majorEastAsia"/>
                      <w:kern w:val="0"/>
                      <w:szCs w:val="21"/>
                    </w:rPr>
                    <w:t>55</w:t>
                  </w:r>
                </w:p>
              </w:tc>
              <w:tc>
                <w:tcPr>
                  <w:tcW w:w="520" w:type="pct"/>
                  <w:shd w:val="clear" w:color="auto" w:fill="auto"/>
                  <w:vAlign w:val="center"/>
                </w:tcPr>
                <w:p w14:paraId="25F31240">
                  <w:pPr>
                    <w:widowControl/>
                    <w:jc w:val="center"/>
                    <w:rPr>
                      <w:rFonts w:eastAsiaTheme="majorEastAsia"/>
                      <w:kern w:val="0"/>
                      <w:szCs w:val="21"/>
                    </w:rPr>
                  </w:pPr>
                  <w:r>
                    <w:rPr>
                      <w:rFonts w:eastAsiaTheme="majorEastAsia"/>
                      <w:kern w:val="0"/>
                      <w:szCs w:val="21"/>
                    </w:rPr>
                    <w:t>达标</w:t>
                  </w:r>
                </w:p>
              </w:tc>
            </w:tr>
            <w:tr w14:paraId="163B82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55" w:type="pct"/>
                  <w:shd w:val="clear" w:color="auto" w:fill="auto"/>
                  <w:vAlign w:val="center"/>
                </w:tcPr>
                <w:p w14:paraId="74403D1D">
                  <w:pPr>
                    <w:widowControl/>
                    <w:jc w:val="center"/>
                    <w:rPr>
                      <w:rFonts w:eastAsiaTheme="majorEastAsia"/>
                      <w:kern w:val="0"/>
                      <w:szCs w:val="21"/>
                    </w:rPr>
                  </w:pPr>
                  <w:r>
                    <w:rPr>
                      <w:rFonts w:eastAsiaTheme="majorEastAsia"/>
                      <w:kern w:val="0"/>
                      <w:szCs w:val="21"/>
                    </w:rPr>
                    <w:t>北厂界</w:t>
                  </w:r>
                </w:p>
              </w:tc>
              <w:tc>
                <w:tcPr>
                  <w:tcW w:w="520" w:type="pct"/>
                  <w:shd w:val="clear" w:color="auto" w:fill="auto"/>
                  <w:vAlign w:val="center"/>
                </w:tcPr>
                <w:p w14:paraId="5F756976">
                  <w:pPr>
                    <w:widowControl/>
                    <w:jc w:val="center"/>
                    <w:rPr>
                      <w:rFonts w:eastAsiaTheme="majorEastAsia"/>
                      <w:kern w:val="0"/>
                      <w:szCs w:val="21"/>
                    </w:rPr>
                  </w:pPr>
                  <w:r>
                    <w:rPr>
                      <w:rFonts w:eastAsiaTheme="majorEastAsia"/>
                      <w:kern w:val="0"/>
                      <w:szCs w:val="21"/>
                    </w:rPr>
                    <w:t>50.8</w:t>
                  </w:r>
                </w:p>
              </w:tc>
              <w:tc>
                <w:tcPr>
                  <w:tcW w:w="703" w:type="pct"/>
                  <w:shd w:val="clear" w:color="auto" w:fill="auto"/>
                  <w:vAlign w:val="center"/>
                </w:tcPr>
                <w:p w14:paraId="365BAB4F">
                  <w:pPr>
                    <w:widowControl/>
                    <w:jc w:val="center"/>
                    <w:rPr>
                      <w:rFonts w:eastAsiaTheme="majorEastAsia"/>
                      <w:kern w:val="0"/>
                      <w:szCs w:val="21"/>
                    </w:rPr>
                  </w:pPr>
                  <w:r>
                    <w:rPr>
                      <w:rFonts w:eastAsiaTheme="majorEastAsia"/>
                      <w:kern w:val="0"/>
                      <w:szCs w:val="21"/>
                    </w:rPr>
                    <w:t>56.8</w:t>
                  </w:r>
                </w:p>
              </w:tc>
              <w:tc>
                <w:tcPr>
                  <w:tcW w:w="520" w:type="pct"/>
                  <w:shd w:val="clear" w:color="auto" w:fill="auto"/>
                  <w:vAlign w:val="center"/>
                </w:tcPr>
                <w:p w14:paraId="75C7CE90">
                  <w:pPr>
                    <w:widowControl/>
                    <w:jc w:val="center"/>
                    <w:rPr>
                      <w:rFonts w:eastAsiaTheme="majorEastAsia"/>
                      <w:kern w:val="0"/>
                      <w:szCs w:val="21"/>
                    </w:rPr>
                  </w:pPr>
                  <w:r>
                    <w:rPr>
                      <w:rFonts w:eastAsiaTheme="majorEastAsia"/>
                      <w:kern w:val="0"/>
                      <w:szCs w:val="21"/>
                    </w:rPr>
                    <w:t>49.7</w:t>
                  </w:r>
                </w:p>
              </w:tc>
              <w:tc>
                <w:tcPr>
                  <w:tcW w:w="520" w:type="pct"/>
                  <w:shd w:val="clear" w:color="auto" w:fill="auto"/>
                  <w:vAlign w:val="center"/>
                </w:tcPr>
                <w:p w14:paraId="0D4C547D">
                  <w:pPr>
                    <w:widowControl/>
                    <w:jc w:val="center"/>
                    <w:rPr>
                      <w:rFonts w:eastAsiaTheme="majorEastAsia"/>
                      <w:kern w:val="0"/>
                      <w:szCs w:val="21"/>
                    </w:rPr>
                  </w:pPr>
                  <w:r>
                    <w:rPr>
                      <w:rFonts w:eastAsiaTheme="majorEastAsia"/>
                      <w:kern w:val="0"/>
                      <w:szCs w:val="21"/>
                    </w:rPr>
                    <w:t>57.77</w:t>
                  </w:r>
                </w:p>
              </w:tc>
              <w:tc>
                <w:tcPr>
                  <w:tcW w:w="520" w:type="pct"/>
                  <w:shd w:val="clear" w:color="auto" w:fill="auto"/>
                  <w:vAlign w:val="center"/>
                </w:tcPr>
                <w:p w14:paraId="445201B9">
                  <w:pPr>
                    <w:widowControl/>
                    <w:jc w:val="center"/>
                    <w:rPr>
                      <w:rFonts w:eastAsiaTheme="majorEastAsia"/>
                      <w:kern w:val="0"/>
                      <w:szCs w:val="21"/>
                    </w:rPr>
                  </w:pPr>
                  <w:r>
                    <w:rPr>
                      <w:rFonts w:eastAsiaTheme="majorEastAsia"/>
                      <w:kern w:val="0"/>
                      <w:szCs w:val="21"/>
                    </w:rPr>
                    <w:t>53.3</w:t>
                  </w:r>
                </w:p>
              </w:tc>
              <w:tc>
                <w:tcPr>
                  <w:tcW w:w="520" w:type="pct"/>
                  <w:shd w:val="clear" w:color="auto" w:fill="auto"/>
                  <w:vAlign w:val="center"/>
                </w:tcPr>
                <w:p w14:paraId="1918E688">
                  <w:pPr>
                    <w:widowControl/>
                    <w:jc w:val="center"/>
                    <w:rPr>
                      <w:rFonts w:eastAsiaTheme="majorEastAsia"/>
                      <w:kern w:val="0"/>
                      <w:szCs w:val="21"/>
                    </w:rPr>
                  </w:pPr>
                  <w:r>
                    <w:rPr>
                      <w:rFonts w:eastAsiaTheme="majorEastAsia"/>
                      <w:kern w:val="0"/>
                      <w:szCs w:val="21"/>
                    </w:rPr>
                    <w:t>65</w:t>
                  </w:r>
                </w:p>
              </w:tc>
              <w:tc>
                <w:tcPr>
                  <w:tcW w:w="520" w:type="pct"/>
                  <w:shd w:val="clear" w:color="auto" w:fill="auto"/>
                  <w:vAlign w:val="center"/>
                </w:tcPr>
                <w:p w14:paraId="6B50BE74">
                  <w:pPr>
                    <w:widowControl/>
                    <w:jc w:val="center"/>
                    <w:rPr>
                      <w:rFonts w:eastAsiaTheme="majorEastAsia"/>
                      <w:kern w:val="0"/>
                      <w:szCs w:val="21"/>
                    </w:rPr>
                  </w:pPr>
                  <w:r>
                    <w:rPr>
                      <w:rFonts w:eastAsiaTheme="majorEastAsia"/>
                      <w:kern w:val="0"/>
                      <w:szCs w:val="21"/>
                    </w:rPr>
                    <w:t>55</w:t>
                  </w:r>
                </w:p>
              </w:tc>
              <w:tc>
                <w:tcPr>
                  <w:tcW w:w="520" w:type="pct"/>
                  <w:shd w:val="clear" w:color="auto" w:fill="auto"/>
                  <w:vAlign w:val="center"/>
                </w:tcPr>
                <w:p w14:paraId="13A75A2F">
                  <w:pPr>
                    <w:widowControl/>
                    <w:jc w:val="center"/>
                    <w:rPr>
                      <w:rFonts w:eastAsiaTheme="majorEastAsia"/>
                      <w:kern w:val="0"/>
                      <w:szCs w:val="21"/>
                    </w:rPr>
                  </w:pPr>
                  <w:r>
                    <w:rPr>
                      <w:rFonts w:eastAsiaTheme="majorEastAsia"/>
                      <w:kern w:val="0"/>
                      <w:szCs w:val="21"/>
                    </w:rPr>
                    <w:t>达标</w:t>
                  </w:r>
                </w:p>
              </w:tc>
            </w:tr>
            <w:tr w14:paraId="28E859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55" w:type="pct"/>
                  <w:shd w:val="clear" w:color="auto" w:fill="auto"/>
                  <w:vAlign w:val="center"/>
                </w:tcPr>
                <w:p w14:paraId="04000461">
                  <w:pPr>
                    <w:widowControl/>
                    <w:jc w:val="center"/>
                    <w:rPr>
                      <w:rFonts w:eastAsiaTheme="majorEastAsia"/>
                      <w:kern w:val="0"/>
                      <w:szCs w:val="21"/>
                    </w:rPr>
                  </w:pPr>
                  <w:r>
                    <w:rPr>
                      <w:rFonts w:eastAsiaTheme="majorEastAsia"/>
                      <w:kern w:val="0"/>
                      <w:szCs w:val="21"/>
                    </w:rPr>
                    <w:t>界湖花园N1</w:t>
                  </w:r>
                </w:p>
              </w:tc>
              <w:tc>
                <w:tcPr>
                  <w:tcW w:w="520" w:type="pct"/>
                  <w:shd w:val="clear" w:color="auto" w:fill="auto"/>
                  <w:noWrap/>
                  <w:vAlign w:val="center"/>
                </w:tcPr>
                <w:p w14:paraId="0FB4A2C8">
                  <w:pPr>
                    <w:widowControl/>
                    <w:jc w:val="center"/>
                    <w:rPr>
                      <w:rFonts w:eastAsiaTheme="majorEastAsia"/>
                      <w:kern w:val="0"/>
                      <w:szCs w:val="21"/>
                    </w:rPr>
                  </w:pPr>
                  <w:r>
                    <w:rPr>
                      <w:rFonts w:eastAsiaTheme="majorEastAsia"/>
                      <w:kern w:val="0"/>
                      <w:szCs w:val="21"/>
                    </w:rPr>
                    <w:t>27.8</w:t>
                  </w:r>
                </w:p>
              </w:tc>
              <w:tc>
                <w:tcPr>
                  <w:tcW w:w="703" w:type="pct"/>
                  <w:shd w:val="clear" w:color="auto" w:fill="auto"/>
                  <w:noWrap/>
                  <w:vAlign w:val="center"/>
                </w:tcPr>
                <w:p w14:paraId="1FD58636">
                  <w:pPr>
                    <w:widowControl/>
                    <w:jc w:val="center"/>
                    <w:rPr>
                      <w:rFonts w:eastAsiaTheme="majorEastAsia"/>
                      <w:kern w:val="0"/>
                      <w:szCs w:val="21"/>
                    </w:rPr>
                  </w:pPr>
                  <w:r>
                    <w:rPr>
                      <w:rFonts w:eastAsiaTheme="majorEastAsia"/>
                      <w:kern w:val="0"/>
                      <w:szCs w:val="21"/>
                    </w:rPr>
                    <w:t>54</w:t>
                  </w:r>
                </w:p>
              </w:tc>
              <w:tc>
                <w:tcPr>
                  <w:tcW w:w="520" w:type="pct"/>
                  <w:shd w:val="clear" w:color="auto" w:fill="auto"/>
                  <w:noWrap/>
                  <w:vAlign w:val="center"/>
                </w:tcPr>
                <w:p w14:paraId="5D8A77E5">
                  <w:pPr>
                    <w:widowControl/>
                    <w:jc w:val="center"/>
                    <w:rPr>
                      <w:rFonts w:eastAsiaTheme="majorEastAsia"/>
                      <w:kern w:val="0"/>
                      <w:szCs w:val="21"/>
                    </w:rPr>
                  </w:pPr>
                  <w:r>
                    <w:rPr>
                      <w:rFonts w:eastAsiaTheme="majorEastAsia"/>
                      <w:kern w:val="0"/>
                      <w:szCs w:val="21"/>
                    </w:rPr>
                    <w:t>44</w:t>
                  </w:r>
                </w:p>
              </w:tc>
              <w:tc>
                <w:tcPr>
                  <w:tcW w:w="520" w:type="pct"/>
                  <w:shd w:val="clear" w:color="auto" w:fill="auto"/>
                  <w:noWrap/>
                  <w:vAlign w:val="center"/>
                </w:tcPr>
                <w:p w14:paraId="24266176">
                  <w:pPr>
                    <w:widowControl/>
                    <w:jc w:val="center"/>
                    <w:rPr>
                      <w:rFonts w:eastAsiaTheme="majorEastAsia"/>
                      <w:kern w:val="0"/>
                      <w:szCs w:val="21"/>
                    </w:rPr>
                  </w:pPr>
                  <w:r>
                    <w:rPr>
                      <w:rFonts w:eastAsiaTheme="majorEastAsia"/>
                      <w:kern w:val="0"/>
                      <w:szCs w:val="21"/>
                    </w:rPr>
                    <w:t>54.01</w:t>
                  </w:r>
                </w:p>
              </w:tc>
              <w:tc>
                <w:tcPr>
                  <w:tcW w:w="520" w:type="pct"/>
                  <w:shd w:val="clear" w:color="auto" w:fill="auto"/>
                  <w:noWrap/>
                  <w:vAlign w:val="center"/>
                </w:tcPr>
                <w:p w14:paraId="6F75BA77">
                  <w:pPr>
                    <w:widowControl/>
                    <w:jc w:val="center"/>
                    <w:rPr>
                      <w:rFonts w:eastAsiaTheme="majorEastAsia"/>
                      <w:kern w:val="0"/>
                      <w:szCs w:val="21"/>
                    </w:rPr>
                  </w:pPr>
                  <w:r>
                    <w:rPr>
                      <w:rFonts w:eastAsiaTheme="majorEastAsia"/>
                      <w:kern w:val="0"/>
                      <w:szCs w:val="21"/>
                    </w:rPr>
                    <w:t>44.1</w:t>
                  </w:r>
                </w:p>
              </w:tc>
              <w:tc>
                <w:tcPr>
                  <w:tcW w:w="520" w:type="pct"/>
                  <w:shd w:val="clear" w:color="auto" w:fill="auto"/>
                  <w:noWrap/>
                  <w:vAlign w:val="center"/>
                </w:tcPr>
                <w:p w14:paraId="127F55D4">
                  <w:pPr>
                    <w:widowControl/>
                    <w:jc w:val="center"/>
                    <w:rPr>
                      <w:rFonts w:eastAsiaTheme="majorEastAsia"/>
                      <w:kern w:val="0"/>
                      <w:szCs w:val="21"/>
                    </w:rPr>
                  </w:pPr>
                  <w:r>
                    <w:rPr>
                      <w:rFonts w:eastAsiaTheme="majorEastAsia"/>
                      <w:kern w:val="0"/>
                      <w:szCs w:val="21"/>
                    </w:rPr>
                    <w:t>60</w:t>
                  </w:r>
                </w:p>
              </w:tc>
              <w:tc>
                <w:tcPr>
                  <w:tcW w:w="520" w:type="pct"/>
                  <w:shd w:val="clear" w:color="auto" w:fill="auto"/>
                  <w:noWrap/>
                  <w:vAlign w:val="center"/>
                </w:tcPr>
                <w:p w14:paraId="3A0C5D63">
                  <w:pPr>
                    <w:widowControl/>
                    <w:jc w:val="center"/>
                    <w:rPr>
                      <w:rFonts w:eastAsiaTheme="majorEastAsia"/>
                      <w:kern w:val="0"/>
                      <w:szCs w:val="21"/>
                    </w:rPr>
                  </w:pPr>
                  <w:r>
                    <w:rPr>
                      <w:rFonts w:eastAsiaTheme="majorEastAsia"/>
                      <w:kern w:val="0"/>
                      <w:szCs w:val="21"/>
                    </w:rPr>
                    <w:t>50</w:t>
                  </w:r>
                </w:p>
              </w:tc>
              <w:tc>
                <w:tcPr>
                  <w:tcW w:w="520" w:type="pct"/>
                  <w:shd w:val="clear" w:color="auto" w:fill="auto"/>
                  <w:vAlign w:val="center"/>
                </w:tcPr>
                <w:p w14:paraId="076781B9">
                  <w:pPr>
                    <w:widowControl/>
                    <w:jc w:val="center"/>
                    <w:rPr>
                      <w:rFonts w:eastAsiaTheme="majorEastAsia"/>
                      <w:kern w:val="0"/>
                      <w:szCs w:val="21"/>
                    </w:rPr>
                  </w:pPr>
                  <w:r>
                    <w:rPr>
                      <w:rFonts w:eastAsiaTheme="majorEastAsia"/>
                      <w:kern w:val="0"/>
                      <w:szCs w:val="21"/>
                    </w:rPr>
                    <w:t>达标</w:t>
                  </w:r>
                </w:p>
              </w:tc>
            </w:tr>
            <w:tr w14:paraId="5123EC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55" w:type="pct"/>
                  <w:shd w:val="clear" w:color="auto" w:fill="auto"/>
                  <w:vAlign w:val="center"/>
                </w:tcPr>
                <w:p w14:paraId="74AFB59A">
                  <w:pPr>
                    <w:widowControl/>
                    <w:jc w:val="center"/>
                    <w:rPr>
                      <w:rFonts w:eastAsiaTheme="majorEastAsia"/>
                      <w:kern w:val="0"/>
                      <w:szCs w:val="21"/>
                    </w:rPr>
                  </w:pPr>
                  <w:r>
                    <w:rPr>
                      <w:rFonts w:eastAsiaTheme="majorEastAsia"/>
                      <w:kern w:val="0"/>
                      <w:szCs w:val="21"/>
                    </w:rPr>
                    <w:t>小圩社区居民点N2</w:t>
                  </w:r>
                </w:p>
              </w:tc>
              <w:tc>
                <w:tcPr>
                  <w:tcW w:w="520" w:type="pct"/>
                  <w:shd w:val="clear" w:color="auto" w:fill="auto"/>
                  <w:noWrap/>
                  <w:vAlign w:val="center"/>
                </w:tcPr>
                <w:p w14:paraId="13D6CFC1">
                  <w:pPr>
                    <w:widowControl/>
                    <w:jc w:val="center"/>
                    <w:rPr>
                      <w:rFonts w:eastAsiaTheme="majorEastAsia"/>
                      <w:kern w:val="0"/>
                      <w:szCs w:val="21"/>
                    </w:rPr>
                  </w:pPr>
                  <w:r>
                    <w:rPr>
                      <w:rFonts w:eastAsiaTheme="majorEastAsia"/>
                      <w:kern w:val="0"/>
                      <w:szCs w:val="21"/>
                    </w:rPr>
                    <w:t>17.9</w:t>
                  </w:r>
                </w:p>
              </w:tc>
              <w:tc>
                <w:tcPr>
                  <w:tcW w:w="703" w:type="pct"/>
                  <w:shd w:val="clear" w:color="auto" w:fill="auto"/>
                  <w:vAlign w:val="center"/>
                </w:tcPr>
                <w:p w14:paraId="32ECEDDD">
                  <w:pPr>
                    <w:widowControl/>
                    <w:jc w:val="center"/>
                    <w:rPr>
                      <w:rFonts w:eastAsiaTheme="majorEastAsia"/>
                      <w:kern w:val="0"/>
                      <w:szCs w:val="21"/>
                    </w:rPr>
                  </w:pPr>
                  <w:r>
                    <w:rPr>
                      <w:rFonts w:eastAsiaTheme="majorEastAsia"/>
                      <w:kern w:val="0"/>
                      <w:szCs w:val="21"/>
                    </w:rPr>
                    <w:t>53</w:t>
                  </w:r>
                </w:p>
              </w:tc>
              <w:tc>
                <w:tcPr>
                  <w:tcW w:w="520" w:type="pct"/>
                  <w:shd w:val="clear" w:color="auto" w:fill="auto"/>
                  <w:vAlign w:val="center"/>
                </w:tcPr>
                <w:p w14:paraId="466E0D74">
                  <w:pPr>
                    <w:widowControl/>
                    <w:jc w:val="center"/>
                    <w:rPr>
                      <w:rFonts w:eastAsiaTheme="majorEastAsia"/>
                      <w:kern w:val="0"/>
                      <w:szCs w:val="21"/>
                    </w:rPr>
                  </w:pPr>
                  <w:r>
                    <w:rPr>
                      <w:rFonts w:eastAsiaTheme="majorEastAsia"/>
                      <w:kern w:val="0"/>
                      <w:szCs w:val="21"/>
                    </w:rPr>
                    <w:t>42</w:t>
                  </w:r>
                </w:p>
              </w:tc>
              <w:tc>
                <w:tcPr>
                  <w:tcW w:w="520" w:type="pct"/>
                  <w:shd w:val="clear" w:color="auto" w:fill="auto"/>
                  <w:noWrap/>
                  <w:vAlign w:val="center"/>
                </w:tcPr>
                <w:p w14:paraId="0706F0A3">
                  <w:pPr>
                    <w:widowControl/>
                    <w:jc w:val="center"/>
                    <w:rPr>
                      <w:rFonts w:eastAsiaTheme="majorEastAsia"/>
                      <w:kern w:val="0"/>
                      <w:szCs w:val="21"/>
                    </w:rPr>
                  </w:pPr>
                  <w:r>
                    <w:rPr>
                      <w:rFonts w:eastAsiaTheme="majorEastAsia"/>
                      <w:kern w:val="0"/>
                      <w:szCs w:val="21"/>
                    </w:rPr>
                    <w:t>53</w:t>
                  </w:r>
                </w:p>
              </w:tc>
              <w:tc>
                <w:tcPr>
                  <w:tcW w:w="520" w:type="pct"/>
                  <w:shd w:val="clear" w:color="auto" w:fill="auto"/>
                  <w:noWrap/>
                  <w:vAlign w:val="center"/>
                </w:tcPr>
                <w:p w14:paraId="304A5A5C">
                  <w:pPr>
                    <w:widowControl/>
                    <w:jc w:val="center"/>
                    <w:rPr>
                      <w:rFonts w:eastAsiaTheme="majorEastAsia"/>
                      <w:kern w:val="0"/>
                      <w:szCs w:val="21"/>
                    </w:rPr>
                  </w:pPr>
                  <w:r>
                    <w:rPr>
                      <w:rFonts w:eastAsiaTheme="majorEastAsia"/>
                      <w:kern w:val="0"/>
                      <w:szCs w:val="21"/>
                    </w:rPr>
                    <w:t>42.02</w:t>
                  </w:r>
                </w:p>
              </w:tc>
              <w:tc>
                <w:tcPr>
                  <w:tcW w:w="520" w:type="pct"/>
                  <w:shd w:val="clear" w:color="auto" w:fill="auto"/>
                  <w:noWrap/>
                  <w:vAlign w:val="center"/>
                </w:tcPr>
                <w:p w14:paraId="2F79374A">
                  <w:pPr>
                    <w:widowControl/>
                    <w:jc w:val="center"/>
                    <w:rPr>
                      <w:rFonts w:eastAsiaTheme="majorEastAsia"/>
                      <w:kern w:val="0"/>
                      <w:szCs w:val="21"/>
                    </w:rPr>
                  </w:pPr>
                  <w:r>
                    <w:rPr>
                      <w:rFonts w:eastAsiaTheme="majorEastAsia"/>
                      <w:kern w:val="0"/>
                      <w:szCs w:val="21"/>
                    </w:rPr>
                    <w:t>60</w:t>
                  </w:r>
                </w:p>
              </w:tc>
              <w:tc>
                <w:tcPr>
                  <w:tcW w:w="520" w:type="pct"/>
                  <w:shd w:val="clear" w:color="auto" w:fill="auto"/>
                  <w:noWrap/>
                  <w:vAlign w:val="center"/>
                </w:tcPr>
                <w:p w14:paraId="584AF0BE">
                  <w:pPr>
                    <w:widowControl/>
                    <w:jc w:val="center"/>
                    <w:rPr>
                      <w:rFonts w:eastAsiaTheme="majorEastAsia"/>
                      <w:kern w:val="0"/>
                      <w:szCs w:val="21"/>
                    </w:rPr>
                  </w:pPr>
                  <w:r>
                    <w:rPr>
                      <w:rFonts w:eastAsiaTheme="majorEastAsia"/>
                      <w:kern w:val="0"/>
                      <w:szCs w:val="21"/>
                    </w:rPr>
                    <w:t>50</w:t>
                  </w:r>
                </w:p>
              </w:tc>
              <w:tc>
                <w:tcPr>
                  <w:tcW w:w="520" w:type="pct"/>
                  <w:shd w:val="clear" w:color="auto" w:fill="auto"/>
                  <w:vAlign w:val="center"/>
                </w:tcPr>
                <w:p w14:paraId="4E028137">
                  <w:pPr>
                    <w:widowControl/>
                    <w:jc w:val="center"/>
                    <w:rPr>
                      <w:rFonts w:eastAsiaTheme="majorEastAsia"/>
                      <w:kern w:val="0"/>
                      <w:szCs w:val="21"/>
                    </w:rPr>
                  </w:pPr>
                  <w:r>
                    <w:rPr>
                      <w:rFonts w:eastAsiaTheme="majorEastAsia"/>
                      <w:kern w:val="0"/>
                      <w:szCs w:val="21"/>
                    </w:rPr>
                    <w:t>达标</w:t>
                  </w:r>
                </w:p>
              </w:tc>
            </w:tr>
            <w:tr w14:paraId="5DFFD7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55" w:type="pct"/>
                  <w:shd w:val="clear" w:color="auto" w:fill="auto"/>
                  <w:vAlign w:val="center"/>
                </w:tcPr>
                <w:p w14:paraId="6A405BCC">
                  <w:pPr>
                    <w:widowControl/>
                    <w:jc w:val="center"/>
                    <w:rPr>
                      <w:rFonts w:eastAsiaTheme="majorEastAsia"/>
                      <w:kern w:val="0"/>
                      <w:szCs w:val="21"/>
                    </w:rPr>
                  </w:pPr>
                  <w:r>
                    <w:rPr>
                      <w:rFonts w:eastAsiaTheme="majorEastAsia"/>
                      <w:kern w:val="0"/>
                      <w:szCs w:val="21"/>
                    </w:rPr>
                    <w:t>城厢中学北侧N3</w:t>
                  </w:r>
                </w:p>
              </w:tc>
              <w:tc>
                <w:tcPr>
                  <w:tcW w:w="520" w:type="pct"/>
                  <w:shd w:val="clear" w:color="auto" w:fill="auto"/>
                  <w:noWrap/>
                  <w:vAlign w:val="center"/>
                </w:tcPr>
                <w:p w14:paraId="420E8D75">
                  <w:pPr>
                    <w:widowControl/>
                    <w:jc w:val="center"/>
                    <w:rPr>
                      <w:rFonts w:eastAsiaTheme="majorEastAsia"/>
                      <w:kern w:val="0"/>
                      <w:szCs w:val="21"/>
                    </w:rPr>
                  </w:pPr>
                  <w:r>
                    <w:rPr>
                      <w:rFonts w:eastAsiaTheme="majorEastAsia"/>
                      <w:kern w:val="0"/>
                      <w:szCs w:val="21"/>
                    </w:rPr>
                    <w:t>25.6</w:t>
                  </w:r>
                </w:p>
              </w:tc>
              <w:tc>
                <w:tcPr>
                  <w:tcW w:w="703" w:type="pct"/>
                  <w:shd w:val="clear" w:color="auto" w:fill="auto"/>
                  <w:vAlign w:val="center"/>
                </w:tcPr>
                <w:p w14:paraId="43558E01">
                  <w:pPr>
                    <w:widowControl/>
                    <w:jc w:val="center"/>
                    <w:rPr>
                      <w:rFonts w:eastAsiaTheme="majorEastAsia"/>
                      <w:kern w:val="0"/>
                      <w:szCs w:val="21"/>
                    </w:rPr>
                  </w:pPr>
                  <w:r>
                    <w:rPr>
                      <w:rFonts w:eastAsiaTheme="majorEastAsia"/>
                      <w:kern w:val="0"/>
                      <w:szCs w:val="21"/>
                    </w:rPr>
                    <w:t>52</w:t>
                  </w:r>
                </w:p>
              </w:tc>
              <w:tc>
                <w:tcPr>
                  <w:tcW w:w="520" w:type="pct"/>
                  <w:shd w:val="clear" w:color="auto" w:fill="auto"/>
                  <w:vAlign w:val="center"/>
                </w:tcPr>
                <w:p w14:paraId="4435A7A9">
                  <w:pPr>
                    <w:widowControl/>
                    <w:jc w:val="center"/>
                    <w:rPr>
                      <w:rFonts w:eastAsiaTheme="majorEastAsia"/>
                      <w:kern w:val="0"/>
                      <w:szCs w:val="21"/>
                    </w:rPr>
                  </w:pPr>
                  <w:r>
                    <w:rPr>
                      <w:rFonts w:eastAsiaTheme="majorEastAsia"/>
                      <w:kern w:val="0"/>
                      <w:szCs w:val="21"/>
                    </w:rPr>
                    <w:t>43</w:t>
                  </w:r>
                </w:p>
              </w:tc>
              <w:tc>
                <w:tcPr>
                  <w:tcW w:w="520" w:type="pct"/>
                  <w:shd w:val="clear" w:color="auto" w:fill="auto"/>
                  <w:noWrap/>
                  <w:vAlign w:val="center"/>
                </w:tcPr>
                <w:p w14:paraId="596DDC6E">
                  <w:pPr>
                    <w:widowControl/>
                    <w:jc w:val="center"/>
                    <w:rPr>
                      <w:rFonts w:eastAsiaTheme="majorEastAsia"/>
                      <w:kern w:val="0"/>
                      <w:szCs w:val="21"/>
                    </w:rPr>
                  </w:pPr>
                  <w:r>
                    <w:rPr>
                      <w:rFonts w:eastAsiaTheme="majorEastAsia"/>
                      <w:kern w:val="0"/>
                      <w:szCs w:val="21"/>
                    </w:rPr>
                    <w:t>52.01</w:t>
                  </w:r>
                </w:p>
              </w:tc>
              <w:tc>
                <w:tcPr>
                  <w:tcW w:w="520" w:type="pct"/>
                  <w:shd w:val="clear" w:color="auto" w:fill="auto"/>
                  <w:noWrap/>
                  <w:vAlign w:val="center"/>
                </w:tcPr>
                <w:p w14:paraId="66AE4039">
                  <w:pPr>
                    <w:widowControl/>
                    <w:jc w:val="center"/>
                    <w:rPr>
                      <w:rFonts w:eastAsiaTheme="majorEastAsia"/>
                      <w:kern w:val="0"/>
                      <w:szCs w:val="21"/>
                    </w:rPr>
                  </w:pPr>
                  <w:r>
                    <w:rPr>
                      <w:rFonts w:eastAsiaTheme="majorEastAsia"/>
                      <w:kern w:val="0"/>
                      <w:szCs w:val="21"/>
                    </w:rPr>
                    <w:t>43.08</w:t>
                  </w:r>
                </w:p>
              </w:tc>
              <w:tc>
                <w:tcPr>
                  <w:tcW w:w="520" w:type="pct"/>
                  <w:shd w:val="clear" w:color="auto" w:fill="auto"/>
                  <w:noWrap/>
                  <w:vAlign w:val="center"/>
                </w:tcPr>
                <w:p w14:paraId="45E2C9DC">
                  <w:pPr>
                    <w:widowControl/>
                    <w:jc w:val="center"/>
                    <w:rPr>
                      <w:rFonts w:eastAsiaTheme="majorEastAsia"/>
                      <w:kern w:val="0"/>
                      <w:szCs w:val="21"/>
                    </w:rPr>
                  </w:pPr>
                  <w:r>
                    <w:rPr>
                      <w:rFonts w:eastAsiaTheme="majorEastAsia"/>
                      <w:kern w:val="0"/>
                      <w:szCs w:val="21"/>
                    </w:rPr>
                    <w:t>60</w:t>
                  </w:r>
                </w:p>
              </w:tc>
              <w:tc>
                <w:tcPr>
                  <w:tcW w:w="520" w:type="pct"/>
                  <w:shd w:val="clear" w:color="auto" w:fill="auto"/>
                  <w:noWrap/>
                  <w:vAlign w:val="center"/>
                </w:tcPr>
                <w:p w14:paraId="2866E021">
                  <w:pPr>
                    <w:widowControl/>
                    <w:jc w:val="center"/>
                    <w:rPr>
                      <w:rFonts w:eastAsiaTheme="majorEastAsia"/>
                      <w:kern w:val="0"/>
                      <w:szCs w:val="21"/>
                    </w:rPr>
                  </w:pPr>
                  <w:r>
                    <w:rPr>
                      <w:rFonts w:eastAsiaTheme="majorEastAsia"/>
                      <w:kern w:val="0"/>
                      <w:szCs w:val="21"/>
                    </w:rPr>
                    <w:t>50</w:t>
                  </w:r>
                </w:p>
              </w:tc>
              <w:tc>
                <w:tcPr>
                  <w:tcW w:w="520" w:type="pct"/>
                  <w:shd w:val="clear" w:color="auto" w:fill="auto"/>
                  <w:vAlign w:val="center"/>
                </w:tcPr>
                <w:p w14:paraId="0DB11859">
                  <w:pPr>
                    <w:widowControl/>
                    <w:jc w:val="center"/>
                    <w:rPr>
                      <w:rFonts w:eastAsiaTheme="majorEastAsia"/>
                      <w:kern w:val="0"/>
                      <w:szCs w:val="21"/>
                    </w:rPr>
                  </w:pPr>
                  <w:r>
                    <w:rPr>
                      <w:rFonts w:eastAsiaTheme="majorEastAsia"/>
                      <w:kern w:val="0"/>
                      <w:szCs w:val="21"/>
                    </w:rPr>
                    <w:t>达标</w:t>
                  </w:r>
                </w:p>
              </w:tc>
            </w:tr>
          </w:tbl>
          <w:p w14:paraId="3AF3EEC1">
            <w:pPr>
              <w:spacing w:line="360" w:lineRule="auto"/>
              <w:jc w:val="left"/>
              <w:rPr>
                <w:bCs/>
                <w:szCs w:val="21"/>
              </w:rPr>
            </w:pPr>
            <w:r>
              <w:rPr>
                <w:rFonts w:hint="eastAsia" w:ascii="Cambria Math" w:hAnsi="Cambria Math" w:cs="Cambria Math"/>
                <w:bCs/>
                <w:szCs w:val="21"/>
              </w:rPr>
              <w:t>①</w:t>
            </w:r>
            <w:r>
              <w:rPr>
                <w:bCs/>
                <w:szCs w:val="21"/>
              </w:rPr>
              <w:t>厂界背景值引用最新的验收报告取严</w:t>
            </w:r>
            <w:r>
              <w:rPr>
                <w:rFonts w:hint="eastAsia"/>
                <w:bCs/>
                <w:szCs w:val="21"/>
              </w:rPr>
              <w:t>（2023年监测）</w:t>
            </w:r>
            <w:r>
              <w:rPr>
                <w:bCs/>
                <w:szCs w:val="21"/>
              </w:rPr>
              <w:t>；周边敏感目标的背景值为</w:t>
            </w:r>
            <w:r>
              <w:rPr>
                <w:rFonts w:hint="eastAsia"/>
                <w:bCs/>
                <w:szCs w:val="21"/>
              </w:rPr>
              <w:t>本次</w:t>
            </w:r>
            <w:r>
              <w:rPr>
                <w:bCs/>
                <w:szCs w:val="21"/>
              </w:rPr>
              <w:t>实际监测值。</w:t>
            </w:r>
          </w:p>
          <w:p w14:paraId="3B1B4206">
            <w:pPr>
              <w:spacing w:line="360" w:lineRule="auto"/>
              <w:ind w:firstLine="482" w:firstLineChars="200"/>
              <w:rPr>
                <w:b/>
                <w:sz w:val="24"/>
              </w:rPr>
            </w:pPr>
            <w:r>
              <w:rPr>
                <w:b/>
                <w:sz w:val="24"/>
              </w:rPr>
              <w:t>（3）噪声污染防治措施</w:t>
            </w:r>
          </w:p>
          <w:p w14:paraId="1FC0A6D7">
            <w:pPr>
              <w:spacing w:line="360" w:lineRule="auto"/>
              <w:ind w:firstLine="480" w:firstLineChars="200"/>
              <w:rPr>
                <w:bCs/>
                <w:sz w:val="24"/>
              </w:rPr>
            </w:pPr>
            <w:r>
              <w:rPr>
                <w:rFonts w:hint="eastAsia" w:ascii="Cambria Math" w:hAnsi="Cambria Math" w:cs="Cambria Math"/>
                <w:bCs/>
                <w:sz w:val="24"/>
              </w:rPr>
              <w:t>①</w:t>
            </w:r>
            <w:r>
              <w:rPr>
                <w:bCs/>
                <w:sz w:val="24"/>
              </w:rPr>
              <w:t>设备的运行和维护应符合设备说明书和相关技术规范的规定，定期检查其活动机构的磨损情况等，及时保养、更换。</w:t>
            </w:r>
          </w:p>
          <w:p w14:paraId="3CCD4499">
            <w:pPr>
              <w:spacing w:line="360" w:lineRule="auto"/>
              <w:ind w:firstLine="480" w:firstLineChars="200"/>
              <w:rPr>
                <w:bCs/>
                <w:sz w:val="24"/>
              </w:rPr>
            </w:pPr>
            <w:r>
              <w:rPr>
                <w:rFonts w:hint="eastAsia" w:ascii="Cambria Math" w:hAnsi="Cambria Math" w:cs="Cambria Math"/>
                <w:bCs/>
                <w:sz w:val="24"/>
              </w:rPr>
              <w:t>②</w:t>
            </w:r>
            <w:r>
              <w:rPr>
                <w:bCs/>
                <w:sz w:val="24"/>
              </w:rPr>
              <w:t>噪声控制设备中的易损设备、配件和通用材料，由工业噪声排污单位按机械设备管理规程和工艺安全运行要求储备，保证治理设施的正常使用。</w:t>
            </w:r>
          </w:p>
          <w:p w14:paraId="29CD67CB">
            <w:pPr>
              <w:spacing w:line="360" w:lineRule="auto"/>
              <w:ind w:firstLine="480" w:firstLineChars="200"/>
              <w:rPr>
                <w:bCs/>
                <w:sz w:val="24"/>
              </w:rPr>
            </w:pPr>
            <w:r>
              <w:rPr>
                <w:rFonts w:hint="eastAsia" w:ascii="Cambria Math" w:hAnsi="Cambria Math" w:cs="Cambria Math"/>
                <w:bCs/>
                <w:sz w:val="24"/>
              </w:rPr>
              <w:t>③</w:t>
            </w:r>
            <w:r>
              <w:rPr>
                <w:bCs/>
                <w:sz w:val="24"/>
              </w:rPr>
              <w:t>所有噪声与振动控制设备，都应根据其使用环境的卫生条件、介质属性等要素，制定相应的运行和维护规程，确保其性能和使用寿命。</w:t>
            </w:r>
          </w:p>
          <w:p w14:paraId="481391CA">
            <w:pPr>
              <w:spacing w:line="360" w:lineRule="auto"/>
              <w:ind w:firstLine="480" w:firstLineChars="200"/>
              <w:rPr>
                <w:bCs/>
                <w:sz w:val="24"/>
              </w:rPr>
            </w:pPr>
            <w:r>
              <w:rPr>
                <w:rFonts w:hint="eastAsia" w:ascii="Cambria Math" w:hAnsi="Cambria Math" w:cs="Cambria Math"/>
                <w:bCs/>
                <w:sz w:val="24"/>
              </w:rPr>
              <w:t>④</w:t>
            </w:r>
            <w:r>
              <w:rPr>
                <w:bCs/>
                <w:sz w:val="24"/>
              </w:rPr>
              <w:t>加强厂区绿化，尽可能增加绿化面积，在厂区周围种植绿化带，以便起到隔声和衰减噪声的作用。</w:t>
            </w:r>
          </w:p>
          <w:p w14:paraId="31CCD151">
            <w:pPr>
              <w:spacing w:line="360" w:lineRule="auto"/>
              <w:ind w:firstLine="482" w:firstLineChars="200"/>
              <w:jc w:val="left"/>
              <w:rPr>
                <w:b/>
                <w:sz w:val="24"/>
              </w:rPr>
            </w:pPr>
            <w:r>
              <w:rPr>
                <w:b/>
                <w:sz w:val="24"/>
              </w:rPr>
              <w:t>（4）监测要求</w:t>
            </w:r>
          </w:p>
          <w:p w14:paraId="1986EF96">
            <w:pPr>
              <w:spacing w:line="360" w:lineRule="auto"/>
              <w:ind w:firstLine="480" w:firstLineChars="200"/>
              <w:rPr>
                <w:bCs/>
                <w:sz w:val="24"/>
              </w:rPr>
            </w:pPr>
            <w:r>
              <w:rPr>
                <w:bCs/>
                <w:sz w:val="24"/>
              </w:rPr>
              <w:t>根据</w:t>
            </w:r>
            <w:r>
              <w:rPr>
                <w:sz w:val="24"/>
              </w:rPr>
              <w:t>《排污单位自行监测技术指南 化学纤维制造业（HJ 1139-2020）》、《排污许可证申请与核发技术规范 废弃资源加工业》 (HJ 1034-2019)</w:t>
            </w:r>
            <w:r>
              <w:rPr>
                <w:rFonts w:hint="eastAsia"/>
                <w:sz w:val="24"/>
              </w:rPr>
              <w:t>等</w:t>
            </w:r>
            <w:r>
              <w:rPr>
                <w:bCs/>
                <w:sz w:val="24"/>
              </w:rPr>
              <w:t>要求确定本项目噪声自行监测方案。</w:t>
            </w:r>
          </w:p>
          <w:p w14:paraId="68A21B31">
            <w:pPr>
              <w:adjustRightInd w:val="0"/>
              <w:snapToGrid w:val="0"/>
              <w:jc w:val="center"/>
              <w:outlineLvl w:val="0"/>
              <w:rPr>
                <w:b/>
                <w:bCs/>
                <w:sz w:val="24"/>
              </w:rPr>
            </w:pPr>
            <w:r>
              <w:rPr>
                <w:b/>
                <w:bCs/>
                <w:sz w:val="24"/>
              </w:rPr>
              <w:t>表4-13 建设项目噪声监测情况表</w:t>
            </w:r>
          </w:p>
          <w:tbl>
            <w:tblPr>
              <w:tblStyle w:val="4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037"/>
              <w:gridCol w:w="3039"/>
              <w:gridCol w:w="2259"/>
            </w:tblGrid>
            <w:tr w14:paraId="25E154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7" w:hRule="atLeast"/>
                <w:jc w:val="center"/>
              </w:trPr>
              <w:tc>
                <w:tcPr>
                  <w:tcW w:w="1822" w:type="pct"/>
                  <w:vAlign w:val="center"/>
                </w:tcPr>
                <w:p w14:paraId="2DFA0E81">
                  <w:pPr>
                    <w:jc w:val="center"/>
                    <w:rPr>
                      <w:b/>
                      <w:bCs/>
                      <w:szCs w:val="21"/>
                    </w:rPr>
                  </w:pPr>
                  <w:r>
                    <w:rPr>
                      <w:b/>
                      <w:bCs/>
                      <w:szCs w:val="21"/>
                    </w:rPr>
                    <w:t>监测点位</w:t>
                  </w:r>
                </w:p>
              </w:tc>
              <w:tc>
                <w:tcPr>
                  <w:tcW w:w="1823" w:type="pct"/>
                  <w:vAlign w:val="center"/>
                </w:tcPr>
                <w:p w14:paraId="6D0B2D52">
                  <w:pPr>
                    <w:jc w:val="center"/>
                    <w:rPr>
                      <w:b/>
                      <w:bCs/>
                      <w:szCs w:val="21"/>
                    </w:rPr>
                  </w:pPr>
                  <w:r>
                    <w:rPr>
                      <w:b/>
                      <w:bCs/>
                      <w:szCs w:val="21"/>
                    </w:rPr>
                    <w:t>监测指标</w:t>
                  </w:r>
                </w:p>
              </w:tc>
              <w:tc>
                <w:tcPr>
                  <w:tcW w:w="1355" w:type="pct"/>
                  <w:vAlign w:val="center"/>
                </w:tcPr>
                <w:p w14:paraId="60D6A769">
                  <w:pPr>
                    <w:jc w:val="center"/>
                    <w:rPr>
                      <w:b/>
                      <w:bCs/>
                      <w:szCs w:val="21"/>
                    </w:rPr>
                  </w:pPr>
                  <w:r>
                    <w:rPr>
                      <w:b/>
                      <w:bCs/>
                      <w:szCs w:val="21"/>
                    </w:rPr>
                    <w:t>监测频次</w:t>
                  </w:r>
                </w:p>
              </w:tc>
            </w:tr>
            <w:tr w14:paraId="273A7C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822" w:type="pct"/>
                  <w:vAlign w:val="center"/>
                </w:tcPr>
                <w:p w14:paraId="50723398">
                  <w:pPr>
                    <w:jc w:val="center"/>
                    <w:rPr>
                      <w:b/>
                      <w:bCs/>
                      <w:szCs w:val="21"/>
                    </w:rPr>
                  </w:pPr>
                  <w:r>
                    <w:rPr>
                      <w:szCs w:val="21"/>
                    </w:rPr>
                    <w:t>成子河西侧地块-东厂界</w:t>
                  </w:r>
                </w:p>
              </w:tc>
              <w:tc>
                <w:tcPr>
                  <w:tcW w:w="1823" w:type="pct"/>
                  <w:vMerge w:val="restart"/>
                  <w:vAlign w:val="center"/>
                </w:tcPr>
                <w:p w14:paraId="48322A4E">
                  <w:pPr>
                    <w:jc w:val="center"/>
                    <w:rPr>
                      <w:szCs w:val="21"/>
                    </w:rPr>
                  </w:pPr>
                  <w:r>
                    <w:rPr>
                      <w:szCs w:val="21"/>
                    </w:rPr>
                    <w:t>昼间、夜间等效声级</w:t>
                  </w:r>
                </w:p>
              </w:tc>
              <w:tc>
                <w:tcPr>
                  <w:tcW w:w="1355" w:type="pct"/>
                  <w:vMerge w:val="restart"/>
                  <w:vAlign w:val="center"/>
                </w:tcPr>
                <w:p w14:paraId="478DD53E">
                  <w:pPr>
                    <w:jc w:val="center"/>
                    <w:rPr>
                      <w:szCs w:val="21"/>
                    </w:rPr>
                  </w:pPr>
                  <w:r>
                    <w:rPr>
                      <w:szCs w:val="21"/>
                    </w:rPr>
                    <w:t>1次/季度（依托现有）</w:t>
                  </w:r>
                </w:p>
              </w:tc>
            </w:tr>
            <w:tr w14:paraId="297EA6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1822" w:type="pct"/>
                  <w:vAlign w:val="center"/>
                </w:tcPr>
                <w:p w14:paraId="09C221FB">
                  <w:pPr>
                    <w:jc w:val="center"/>
                    <w:rPr>
                      <w:b/>
                      <w:bCs/>
                      <w:szCs w:val="21"/>
                    </w:rPr>
                  </w:pPr>
                  <w:r>
                    <w:rPr>
                      <w:szCs w:val="21"/>
                    </w:rPr>
                    <w:t>成子河西侧地块-南厂界</w:t>
                  </w:r>
                </w:p>
              </w:tc>
              <w:tc>
                <w:tcPr>
                  <w:tcW w:w="1823" w:type="pct"/>
                  <w:vMerge w:val="continue"/>
                  <w:vAlign w:val="center"/>
                </w:tcPr>
                <w:p w14:paraId="779E4903">
                  <w:pPr>
                    <w:jc w:val="center"/>
                    <w:rPr>
                      <w:b/>
                      <w:bCs/>
                      <w:szCs w:val="21"/>
                    </w:rPr>
                  </w:pPr>
                </w:p>
              </w:tc>
              <w:tc>
                <w:tcPr>
                  <w:tcW w:w="1355" w:type="pct"/>
                  <w:vMerge w:val="continue"/>
                  <w:vAlign w:val="center"/>
                </w:tcPr>
                <w:p w14:paraId="0E63E617">
                  <w:pPr>
                    <w:jc w:val="center"/>
                    <w:rPr>
                      <w:b/>
                      <w:bCs/>
                      <w:szCs w:val="21"/>
                    </w:rPr>
                  </w:pPr>
                </w:p>
              </w:tc>
            </w:tr>
            <w:tr w14:paraId="2F2B44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822" w:type="pct"/>
                  <w:vAlign w:val="center"/>
                </w:tcPr>
                <w:p w14:paraId="7AC05B53">
                  <w:pPr>
                    <w:jc w:val="center"/>
                    <w:rPr>
                      <w:b/>
                      <w:bCs/>
                      <w:szCs w:val="21"/>
                    </w:rPr>
                  </w:pPr>
                  <w:r>
                    <w:rPr>
                      <w:szCs w:val="21"/>
                    </w:rPr>
                    <w:t>成子河西侧地块-西厂界</w:t>
                  </w:r>
                </w:p>
              </w:tc>
              <w:tc>
                <w:tcPr>
                  <w:tcW w:w="1823" w:type="pct"/>
                  <w:vMerge w:val="continue"/>
                  <w:vAlign w:val="center"/>
                </w:tcPr>
                <w:p w14:paraId="407C8BCB">
                  <w:pPr>
                    <w:jc w:val="center"/>
                    <w:rPr>
                      <w:b/>
                      <w:bCs/>
                      <w:szCs w:val="21"/>
                    </w:rPr>
                  </w:pPr>
                </w:p>
              </w:tc>
              <w:tc>
                <w:tcPr>
                  <w:tcW w:w="1355" w:type="pct"/>
                  <w:vMerge w:val="continue"/>
                  <w:vAlign w:val="center"/>
                </w:tcPr>
                <w:p w14:paraId="050BC257">
                  <w:pPr>
                    <w:jc w:val="center"/>
                    <w:rPr>
                      <w:b/>
                      <w:bCs/>
                      <w:szCs w:val="21"/>
                    </w:rPr>
                  </w:pPr>
                </w:p>
              </w:tc>
            </w:tr>
            <w:tr w14:paraId="659744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822" w:type="pct"/>
                  <w:vAlign w:val="center"/>
                </w:tcPr>
                <w:p w14:paraId="29DE3BEE">
                  <w:pPr>
                    <w:jc w:val="center"/>
                    <w:rPr>
                      <w:b/>
                      <w:bCs/>
                      <w:szCs w:val="21"/>
                    </w:rPr>
                  </w:pPr>
                  <w:r>
                    <w:rPr>
                      <w:szCs w:val="21"/>
                    </w:rPr>
                    <w:t>成子河西侧地块-北厂界</w:t>
                  </w:r>
                </w:p>
              </w:tc>
              <w:tc>
                <w:tcPr>
                  <w:tcW w:w="1823" w:type="pct"/>
                  <w:vMerge w:val="continue"/>
                  <w:vAlign w:val="center"/>
                </w:tcPr>
                <w:p w14:paraId="4DADDC72">
                  <w:pPr>
                    <w:jc w:val="center"/>
                    <w:rPr>
                      <w:b/>
                      <w:bCs/>
                      <w:szCs w:val="21"/>
                    </w:rPr>
                  </w:pPr>
                </w:p>
              </w:tc>
              <w:tc>
                <w:tcPr>
                  <w:tcW w:w="1355" w:type="pct"/>
                  <w:vMerge w:val="continue"/>
                  <w:vAlign w:val="center"/>
                </w:tcPr>
                <w:p w14:paraId="21EEEA17">
                  <w:pPr>
                    <w:jc w:val="center"/>
                    <w:rPr>
                      <w:b/>
                      <w:bCs/>
                      <w:szCs w:val="21"/>
                    </w:rPr>
                  </w:pPr>
                </w:p>
              </w:tc>
            </w:tr>
          </w:tbl>
          <w:p w14:paraId="77329642">
            <w:pPr>
              <w:spacing w:line="360" w:lineRule="auto"/>
              <w:ind w:firstLine="482" w:firstLineChars="200"/>
              <w:contextualSpacing/>
              <w:rPr>
                <w:b/>
                <w:bCs/>
                <w:sz w:val="24"/>
              </w:rPr>
            </w:pPr>
            <w:r>
              <w:rPr>
                <w:b/>
                <w:bCs/>
                <w:sz w:val="24"/>
              </w:rPr>
              <w:t>4、固体废物</w:t>
            </w:r>
          </w:p>
          <w:p w14:paraId="6ABB5404">
            <w:pPr>
              <w:spacing w:line="360" w:lineRule="auto"/>
              <w:ind w:firstLine="482" w:firstLineChars="200"/>
              <w:contextualSpacing/>
              <w:rPr>
                <w:b/>
                <w:bCs/>
                <w:sz w:val="24"/>
              </w:rPr>
            </w:pPr>
            <w:r>
              <w:rPr>
                <w:b/>
                <w:bCs/>
                <w:sz w:val="24"/>
              </w:rPr>
              <w:t>（1）固体废物产生情况</w:t>
            </w:r>
          </w:p>
          <w:p w14:paraId="2F9308FA">
            <w:pPr>
              <w:pStyle w:val="56"/>
              <w:spacing w:line="360" w:lineRule="auto"/>
              <w:ind w:firstLine="480" w:firstLineChars="200"/>
              <w:jc w:val="both"/>
              <w:rPr>
                <w:rFonts w:ascii="Times New Roman" w:cs="Times New Roman"/>
                <w:color w:val="auto"/>
              </w:rPr>
            </w:pPr>
            <w:r>
              <w:rPr>
                <w:rFonts w:ascii="Cambria Math" w:hAnsi="Cambria Math" w:cs="Cambria Math"/>
                <w:color w:val="auto"/>
              </w:rPr>
              <w:t>①</w:t>
            </w:r>
            <w:r>
              <w:rPr>
                <w:rFonts w:ascii="Times New Roman" w:cs="Times New Roman"/>
                <w:color w:val="auto"/>
              </w:rPr>
              <w:t>本项目纺丝生产过程产生的废无油丝S1、纺丝过程产生的废含油丝S2，年产生量为2304.2t、2081t/a。</w:t>
            </w:r>
          </w:p>
          <w:p w14:paraId="36CC2B66">
            <w:pPr>
              <w:pStyle w:val="56"/>
              <w:spacing w:line="360" w:lineRule="auto"/>
              <w:ind w:firstLine="480" w:firstLineChars="200"/>
              <w:jc w:val="both"/>
              <w:rPr>
                <w:rFonts w:ascii="Times New Roman" w:cs="Times New Roman"/>
                <w:color w:val="auto"/>
              </w:rPr>
            </w:pPr>
            <w:r>
              <w:rPr>
                <w:rFonts w:ascii="Cambria Math" w:hAnsi="Cambria Math" w:cs="Cambria Math"/>
                <w:color w:val="auto"/>
              </w:rPr>
              <w:t>②</w:t>
            </w:r>
            <w:r>
              <w:rPr>
                <w:rFonts w:ascii="Times New Roman" w:cs="Times New Roman"/>
                <w:color w:val="auto"/>
              </w:rPr>
              <w:t>本项目废气处理装置会产生废纺丝油剂S3，年产生量为70t/a。</w:t>
            </w:r>
          </w:p>
          <w:p w14:paraId="51A9B3F5">
            <w:pPr>
              <w:pStyle w:val="56"/>
              <w:spacing w:line="360" w:lineRule="auto"/>
              <w:ind w:firstLine="480" w:firstLineChars="200"/>
              <w:jc w:val="both"/>
              <w:rPr>
                <w:rFonts w:ascii="Times New Roman" w:cs="Times New Roman"/>
                <w:color w:val="auto"/>
              </w:rPr>
            </w:pPr>
            <w:r>
              <w:rPr>
                <w:rFonts w:ascii="Cambria Math" w:hAnsi="Cambria Math" w:cs="Cambria Math"/>
                <w:color w:val="auto"/>
              </w:rPr>
              <w:t>③</w:t>
            </w:r>
            <w:r>
              <w:rPr>
                <w:rFonts w:ascii="Times New Roman" w:cs="Times New Roman"/>
                <w:color w:val="auto"/>
              </w:rPr>
              <w:t>本项目机械维修保养产生的废油S4、废润滑油脂S5年产生量分别为20t/a、0.2t/a。</w:t>
            </w:r>
          </w:p>
          <w:p w14:paraId="766997EA">
            <w:pPr>
              <w:pStyle w:val="56"/>
              <w:spacing w:line="360" w:lineRule="auto"/>
              <w:ind w:firstLine="480" w:firstLineChars="200"/>
              <w:jc w:val="both"/>
              <w:rPr>
                <w:rFonts w:ascii="Times New Roman" w:cs="Times New Roman"/>
                <w:color w:val="auto"/>
              </w:rPr>
            </w:pPr>
            <w:r>
              <w:rPr>
                <w:rFonts w:ascii="Cambria Math" w:hAnsi="Cambria Math" w:cs="Cambria Math"/>
                <w:color w:val="auto"/>
              </w:rPr>
              <w:t>④</w:t>
            </w:r>
            <w:r>
              <w:rPr>
                <w:rFonts w:ascii="Times New Roman" w:cs="Times New Roman"/>
                <w:color w:val="auto"/>
              </w:rPr>
              <w:t>本项目物检（实验室粘度测试、检验）产生的废有机溶剂S6，年产量为1.5t/a。</w:t>
            </w:r>
          </w:p>
          <w:p w14:paraId="4BF5EB03">
            <w:pPr>
              <w:pStyle w:val="56"/>
              <w:spacing w:line="360" w:lineRule="auto"/>
              <w:ind w:firstLine="480" w:firstLineChars="200"/>
              <w:jc w:val="both"/>
              <w:rPr>
                <w:rFonts w:ascii="Times New Roman" w:cs="Times New Roman"/>
                <w:color w:val="auto"/>
              </w:rPr>
            </w:pPr>
            <w:r>
              <w:rPr>
                <w:rFonts w:ascii="Cambria Math" w:hAnsi="Cambria Math" w:cs="Cambria Math"/>
                <w:color w:val="auto"/>
              </w:rPr>
              <w:t>⑤</w:t>
            </w:r>
            <w:r>
              <w:rPr>
                <w:rFonts w:ascii="Times New Roman" w:cs="Times New Roman"/>
                <w:color w:val="auto"/>
              </w:rPr>
              <w:t>本项目组件清洗会产生废碱液S7，年产生量为10t/a。</w:t>
            </w:r>
          </w:p>
          <w:p w14:paraId="3445A76F">
            <w:pPr>
              <w:pStyle w:val="56"/>
              <w:spacing w:line="360" w:lineRule="auto"/>
              <w:ind w:firstLine="480" w:firstLineChars="200"/>
              <w:jc w:val="both"/>
              <w:rPr>
                <w:rFonts w:ascii="Times New Roman" w:cs="Times New Roman"/>
                <w:color w:val="auto"/>
              </w:rPr>
            </w:pPr>
            <w:r>
              <w:rPr>
                <w:rFonts w:ascii="Cambria Math" w:hAnsi="Cambria Math" w:cs="Cambria Math"/>
                <w:color w:val="auto"/>
              </w:rPr>
              <w:t>⑥</w:t>
            </w:r>
            <w:r>
              <w:rPr>
                <w:rFonts w:ascii="Times New Roman" w:cs="Times New Roman"/>
                <w:color w:val="auto"/>
              </w:rPr>
              <w:t>本项目废丝回收会产生杂质废料S8，年产生量为160t/a。</w:t>
            </w:r>
          </w:p>
          <w:p w14:paraId="6F3522E4">
            <w:pPr>
              <w:pStyle w:val="56"/>
              <w:spacing w:line="360" w:lineRule="auto"/>
              <w:ind w:firstLine="480" w:firstLineChars="200"/>
              <w:jc w:val="both"/>
              <w:rPr>
                <w:rFonts w:ascii="Times New Roman" w:cs="Times New Roman"/>
                <w:color w:val="auto"/>
              </w:rPr>
            </w:pPr>
            <w:r>
              <w:rPr>
                <w:rFonts w:ascii="Cambria Math" w:hAnsi="Cambria Math" w:cs="Cambria Math"/>
                <w:color w:val="auto"/>
              </w:rPr>
              <w:t>⑤</w:t>
            </w:r>
            <w:r>
              <w:rPr>
                <w:rFonts w:ascii="Times New Roman" w:cs="Times New Roman"/>
                <w:color w:val="auto"/>
              </w:rPr>
              <w:t>本项目厂区日常使用包装，会产生废包装桶（瓶）S9，年产量为8t/a。</w:t>
            </w:r>
          </w:p>
          <w:p w14:paraId="64886F4D">
            <w:pPr>
              <w:pStyle w:val="56"/>
              <w:spacing w:line="360" w:lineRule="auto"/>
              <w:ind w:firstLine="480" w:firstLineChars="200"/>
              <w:jc w:val="both"/>
              <w:rPr>
                <w:rFonts w:ascii="Times New Roman" w:cs="Times New Roman"/>
                <w:color w:val="auto"/>
              </w:rPr>
            </w:pPr>
            <w:r>
              <w:rPr>
                <w:rFonts w:ascii="Cambria Math" w:hAnsi="Cambria Math" w:cs="Cambria Math"/>
                <w:color w:val="auto"/>
              </w:rPr>
              <w:t>⑥</w:t>
            </w:r>
            <w:r>
              <w:rPr>
                <w:rFonts w:ascii="Times New Roman" w:cs="Times New Roman"/>
                <w:color w:val="auto"/>
              </w:rPr>
              <w:t>本项目利用废丝会生产出摩擦料S10，年产量为2.4万吨。</w:t>
            </w:r>
          </w:p>
          <w:p w14:paraId="6122BB28">
            <w:pPr>
              <w:pStyle w:val="56"/>
              <w:spacing w:line="360" w:lineRule="auto"/>
              <w:ind w:firstLine="480" w:firstLineChars="200"/>
              <w:jc w:val="both"/>
              <w:rPr>
                <w:rFonts w:ascii="Times New Roman" w:cs="Times New Roman"/>
                <w:color w:val="auto"/>
              </w:rPr>
            </w:pPr>
            <w:r>
              <w:rPr>
                <w:rFonts w:ascii="Cambria Math" w:hAnsi="Cambria Math" w:cs="Cambria Math"/>
                <w:color w:val="auto"/>
              </w:rPr>
              <w:t>⑦</w:t>
            </w:r>
            <w:r>
              <w:rPr>
                <w:rFonts w:ascii="Times New Roman" w:cs="Times New Roman"/>
                <w:color w:val="auto"/>
              </w:rPr>
              <w:t>根据建设单位提供资料，柴油罐每年清洗一次，油罐清洗废物主要为清洗过程中产生的油泥、油渣等，罐底油泥产生量约为 0.1t/次，罐底油泥直接委托有资质的单位清理并处置。</w:t>
            </w:r>
          </w:p>
          <w:p w14:paraId="0C72D3BD">
            <w:pPr>
              <w:pStyle w:val="56"/>
              <w:spacing w:line="360" w:lineRule="auto"/>
              <w:ind w:firstLine="480" w:firstLineChars="200"/>
              <w:jc w:val="both"/>
              <w:rPr>
                <w:rFonts w:ascii="Times New Roman" w:cs="Times New Roman"/>
                <w:color w:val="auto"/>
              </w:rPr>
            </w:pPr>
            <w:r>
              <w:rPr>
                <w:rFonts w:ascii="Cambria Math" w:hAnsi="Cambria Math" w:cs="Cambria Math"/>
                <w:color w:val="auto"/>
              </w:rPr>
              <w:t>⑧</w:t>
            </w:r>
            <w:r>
              <w:rPr>
                <w:rFonts w:ascii="Times New Roman" w:cs="Times New Roman"/>
                <w:color w:val="auto"/>
              </w:rPr>
              <w:t>本项目布袋除尘设备会产生废布袋，根据建设单位提供的资料，年产量为0.1t/a。</w:t>
            </w:r>
          </w:p>
          <w:p w14:paraId="2C31A3D9">
            <w:pPr>
              <w:pStyle w:val="56"/>
              <w:spacing w:line="360" w:lineRule="auto"/>
              <w:ind w:firstLine="480" w:firstLineChars="200"/>
              <w:jc w:val="both"/>
              <w:rPr>
                <w:rFonts w:ascii="Times New Roman" w:cs="Times New Roman"/>
                <w:color w:val="auto"/>
              </w:rPr>
            </w:pPr>
            <w:r>
              <w:rPr>
                <w:rFonts w:ascii="Times New Roman" w:cs="Times New Roman"/>
                <w:color w:val="auto"/>
              </w:rPr>
              <w:t>对比本次替代的50万吨纺丝生产线，本项目主要新增废丝回收生产线带来的杂质废料S8及摩擦料S10、新增撬装式加油一体化设备清洗产生的油泥S11以及新增切片纺带来的废气处理产生的废布袋S12。</w:t>
            </w:r>
          </w:p>
          <w:p w14:paraId="0767796D">
            <w:pPr>
              <w:jc w:val="center"/>
              <w:rPr>
                <w:b/>
                <w:sz w:val="24"/>
              </w:rPr>
            </w:pPr>
            <w:r>
              <w:rPr>
                <w:b/>
                <w:sz w:val="24"/>
              </w:rPr>
              <w:t>表4-14 项目固体废物变化情况表</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5"/>
              <w:gridCol w:w="1760"/>
              <w:gridCol w:w="1634"/>
              <w:gridCol w:w="1145"/>
              <w:gridCol w:w="2651"/>
            </w:tblGrid>
            <w:tr w14:paraId="1F5F2B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687" w:type="pct"/>
                  <w:shd w:val="clear" w:color="auto" w:fill="auto"/>
                  <w:noWrap/>
                  <w:vAlign w:val="center"/>
                </w:tcPr>
                <w:p w14:paraId="27AA09EA">
                  <w:pPr>
                    <w:widowControl/>
                    <w:jc w:val="center"/>
                    <w:rPr>
                      <w:rFonts w:eastAsiaTheme="majorEastAsia"/>
                      <w:b/>
                      <w:bCs/>
                      <w:kern w:val="0"/>
                      <w:sz w:val="22"/>
                      <w:szCs w:val="22"/>
                    </w:rPr>
                  </w:pPr>
                  <w:r>
                    <w:rPr>
                      <w:rFonts w:eastAsiaTheme="majorEastAsia"/>
                      <w:b/>
                      <w:bCs/>
                      <w:kern w:val="0"/>
                      <w:sz w:val="22"/>
                      <w:szCs w:val="22"/>
                    </w:rPr>
                    <w:t>序号</w:t>
                  </w:r>
                </w:p>
              </w:tc>
              <w:tc>
                <w:tcPr>
                  <w:tcW w:w="1056" w:type="pct"/>
                  <w:shd w:val="clear" w:color="auto" w:fill="auto"/>
                  <w:noWrap/>
                  <w:vAlign w:val="center"/>
                </w:tcPr>
                <w:p w14:paraId="414B1C24">
                  <w:pPr>
                    <w:widowControl/>
                    <w:jc w:val="center"/>
                    <w:rPr>
                      <w:rFonts w:eastAsiaTheme="majorEastAsia"/>
                      <w:b/>
                      <w:bCs/>
                      <w:kern w:val="0"/>
                      <w:sz w:val="22"/>
                      <w:szCs w:val="22"/>
                    </w:rPr>
                  </w:pPr>
                  <w:r>
                    <w:rPr>
                      <w:rFonts w:eastAsiaTheme="majorEastAsia"/>
                      <w:b/>
                      <w:bCs/>
                      <w:kern w:val="0"/>
                      <w:sz w:val="22"/>
                      <w:szCs w:val="22"/>
                    </w:rPr>
                    <w:t>固废种类</w:t>
                  </w:r>
                </w:p>
              </w:tc>
              <w:tc>
                <w:tcPr>
                  <w:tcW w:w="980" w:type="pct"/>
                  <w:shd w:val="clear" w:color="auto" w:fill="auto"/>
                  <w:vAlign w:val="center"/>
                </w:tcPr>
                <w:p w14:paraId="79836B83">
                  <w:pPr>
                    <w:widowControl/>
                    <w:jc w:val="center"/>
                    <w:rPr>
                      <w:rFonts w:eastAsiaTheme="majorEastAsia"/>
                      <w:b/>
                      <w:bCs/>
                      <w:kern w:val="0"/>
                      <w:sz w:val="22"/>
                      <w:szCs w:val="22"/>
                    </w:rPr>
                  </w:pPr>
                  <w:r>
                    <w:rPr>
                      <w:rFonts w:eastAsiaTheme="majorEastAsia"/>
                      <w:b/>
                      <w:bCs/>
                      <w:kern w:val="0"/>
                      <w:sz w:val="22"/>
                      <w:szCs w:val="22"/>
                    </w:rPr>
                    <w:t>扩建前一期项目50万吨熔体直纺固废产生情况（t/a)</w:t>
                  </w:r>
                </w:p>
              </w:tc>
              <w:tc>
                <w:tcPr>
                  <w:tcW w:w="687" w:type="pct"/>
                  <w:shd w:val="clear" w:color="auto" w:fill="auto"/>
                  <w:vAlign w:val="center"/>
                </w:tcPr>
                <w:p w14:paraId="41C08A02">
                  <w:pPr>
                    <w:widowControl/>
                    <w:jc w:val="center"/>
                    <w:rPr>
                      <w:rFonts w:eastAsiaTheme="majorEastAsia"/>
                      <w:b/>
                      <w:bCs/>
                      <w:kern w:val="0"/>
                      <w:sz w:val="22"/>
                      <w:szCs w:val="22"/>
                    </w:rPr>
                  </w:pPr>
                  <w:r>
                    <w:rPr>
                      <w:rFonts w:eastAsiaTheme="majorEastAsia"/>
                      <w:b/>
                      <w:bCs/>
                      <w:kern w:val="0"/>
                      <w:sz w:val="22"/>
                      <w:szCs w:val="22"/>
                    </w:rPr>
                    <w:t>本项目产生情况(t/a)</w:t>
                  </w:r>
                </w:p>
              </w:tc>
              <w:tc>
                <w:tcPr>
                  <w:tcW w:w="1590" w:type="pct"/>
                  <w:shd w:val="clear" w:color="auto" w:fill="auto"/>
                  <w:noWrap/>
                  <w:vAlign w:val="center"/>
                </w:tcPr>
                <w:p w14:paraId="127B4DAA">
                  <w:pPr>
                    <w:widowControl/>
                    <w:jc w:val="center"/>
                    <w:rPr>
                      <w:rFonts w:eastAsiaTheme="majorEastAsia"/>
                      <w:b/>
                      <w:bCs/>
                      <w:kern w:val="0"/>
                      <w:sz w:val="22"/>
                      <w:szCs w:val="22"/>
                    </w:rPr>
                  </w:pPr>
                  <w:r>
                    <w:rPr>
                      <w:rFonts w:eastAsiaTheme="majorEastAsia"/>
                      <w:b/>
                      <w:bCs/>
                      <w:kern w:val="0"/>
                      <w:sz w:val="22"/>
                      <w:szCs w:val="22"/>
                    </w:rPr>
                    <w:t>变化情况</w:t>
                  </w:r>
                </w:p>
              </w:tc>
            </w:tr>
            <w:tr w14:paraId="496238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87" w:type="pct"/>
                  <w:shd w:val="clear" w:color="auto" w:fill="auto"/>
                  <w:noWrap/>
                  <w:vAlign w:val="center"/>
                </w:tcPr>
                <w:p w14:paraId="2116B44A">
                  <w:pPr>
                    <w:widowControl/>
                    <w:jc w:val="center"/>
                    <w:rPr>
                      <w:rFonts w:eastAsiaTheme="majorEastAsia"/>
                      <w:kern w:val="0"/>
                      <w:sz w:val="22"/>
                      <w:szCs w:val="22"/>
                    </w:rPr>
                  </w:pPr>
                  <w:r>
                    <w:rPr>
                      <w:rFonts w:eastAsiaTheme="majorEastAsia"/>
                      <w:kern w:val="0"/>
                      <w:sz w:val="22"/>
                      <w:szCs w:val="22"/>
                    </w:rPr>
                    <w:t>1</w:t>
                  </w:r>
                </w:p>
              </w:tc>
              <w:tc>
                <w:tcPr>
                  <w:tcW w:w="1056" w:type="pct"/>
                  <w:shd w:val="clear" w:color="auto" w:fill="auto"/>
                  <w:vAlign w:val="center"/>
                </w:tcPr>
                <w:p w14:paraId="7F0F3C37">
                  <w:pPr>
                    <w:widowControl/>
                    <w:jc w:val="center"/>
                    <w:rPr>
                      <w:rFonts w:eastAsiaTheme="majorEastAsia"/>
                      <w:kern w:val="0"/>
                      <w:szCs w:val="21"/>
                    </w:rPr>
                  </w:pPr>
                  <w:r>
                    <w:rPr>
                      <w:rFonts w:eastAsiaTheme="majorEastAsia"/>
                      <w:kern w:val="0"/>
                      <w:szCs w:val="21"/>
                    </w:rPr>
                    <w:t>废无油丝S1</w:t>
                  </w:r>
                </w:p>
              </w:tc>
              <w:tc>
                <w:tcPr>
                  <w:tcW w:w="980" w:type="pct"/>
                  <w:shd w:val="clear" w:color="auto" w:fill="auto"/>
                  <w:vAlign w:val="center"/>
                </w:tcPr>
                <w:p w14:paraId="0686192C">
                  <w:pPr>
                    <w:widowControl/>
                    <w:jc w:val="center"/>
                    <w:rPr>
                      <w:rFonts w:eastAsiaTheme="majorEastAsia"/>
                      <w:kern w:val="0"/>
                      <w:sz w:val="22"/>
                      <w:szCs w:val="22"/>
                    </w:rPr>
                  </w:pPr>
                  <w:r>
                    <w:rPr>
                      <w:rFonts w:eastAsiaTheme="majorEastAsia"/>
                      <w:kern w:val="0"/>
                      <w:sz w:val="22"/>
                      <w:szCs w:val="22"/>
                    </w:rPr>
                    <w:t>2094.73</w:t>
                  </w:r>
                </w:p>
              </w:tc>
              <w:tc>
                <w:tcPr>
                  <w:tcW w:w="687" w:type="pct"/>
                  <w:shd w:val="clear" w:color="auto" w:fill="auto"/>
                  <w:vAlign w:val="center"/>
                </w:tcPr>
                <w:p w14:paraId="618064F4">
                  <w:pPr>
                    <w:widowControl/>
                    <w:jc w:val="center"/>
                    <w:rPr>
                      <w:rFonts w:eastAsiaTheme="majorEastAsia"/>
                      <w:kern w:val="0"/>
                      <w:szCs w:val="21"/>
                    </w:rPr>
                  </w:pPr>
                  <w:r>
                    <w:rPr>
                      <w:rFonts w:eastAsiaTheme="majorEastAsia"/>
                      <w:kern w:val="0"/>
                      <w:szCs w:val="21"/>
                    </w:rPr>
                    <w:t>2304.2</w:t>
                  </w:r>
                </w:p>
              </w:tc>
              <w:tc>
                <w:tcPr>
                  <w:tcW w:w="1590" w:type="pct"/>
                  <w:vMerge w:val="restart"/>
                  <w:shd w:val="clear" w:color="auto" w:fill="auto"/>
                  <w:vAlign w:val="center"/>
                </w:tcPr>
                <w:p w14:paraId="15ADD8C8">
                  <w:pPr>
                    <w:widowControl/>
                    <w:jc w:val="center"/>
                    <w:rPr>
                      <w:rFonts w:eastAsiaTheme="majorEastAsia"/>
                      <w:kern w:val="0"/>
                      <w:sz w:val="22"/>
                      <w:szCs w:val="22"/>
                    </w:rPr>
                  </w:pPr>
                  <w:r>
                    <w:rPr>
                      <w:rFonts w:eastAsiaTheme="majorEastAsia"/>
                      <w:kern w:val="0"/>
                      <w:sz w:val="22"/>
                      <w:szCs w:val="22"/>
                    </w:rPr>
                    <w:t>增大，纺丝产能增大带来废丝增多</w:t>
                  </w:r>
                </w:p>
              </w:tc>
            </w:tr>
            <w:tr w14:paraId="19F6DA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87" w:type="pct"/>
                  <w:shd w:val="clear" w:color="auto" w:fill="auto"/>
                  <w:noWrap/>
                  <w:vAlign w:val="center"/>
                </w:tcPr>
                <w:p w14:paraId="58301A12">
                  <w:pPr>
                    <w:widowControl/>
                    <w:jc w:val="center"/>
                    <w:rPr>
                      <w:rFonts w:eastAsiaTheme="majorEastAsia"/>
                      <w:kern w:val="0"/>
                      <w:sz w:val="22"/>
                      <w:szCs w:val="22"/>
                    </w:rPr>
                  </w:pPr>
                  <w:r>
                    <w:rPr>
                      <w:rFonts w:eastAsiaTheme="majorEastAsia"/>
                      <w:kern w:val="0"/>
                      <w:sz w:val="22"/>
                      <w:szCs w:val="22"/>
                    </w:rPr>
                    <w:t>2</w:t>
                  </w:r>
                </w:p>
              </w:tc>
              <w:tc>
                <w:tcPr>
                  <w:tcW w:w="1056" w:type="pct"/>
                  <w:shd w:val="clear" w:color="auto" w:fill="auto"/>
                  <w:vAlign w:val="center"/>
                </w:tcPr>
                <w:p w14:paraId="4865032C">
                  <w:pPr>
                    <w:widowControl/>
                    <w:jc w:val="center"/>
                    <w:rPr>
                      <w:rFonts w:eastAsiaTheme="majorEastAsia"/>
                      <w:kern w:val="0"/>
                      <w:szCs w:val="21"/>
                    </w:rPr>
                  </w:pPr>
                  <w:r>
                    <w:rPr>
                      <w:rFonts w:eastAsiaTheme="majorEastAsia"/>
                      <w:kern w:val="0"/>
                      <w:szCs w:val="21"/>
                    </w:rPr>
                    <w:t>废含油丝S2</w:t>
                  </w:r>
                </w:p>
              </w:tc>
              <w:tc>
                <w:tcPr>
                  <w:tcW w:w="980" w:type="pct"/>
                  <w:shd w:val="clear" w:color="auto" w:fill="auto"/>
                  <w:vAlign w:val="center"/>
                </w:tcPr>
                <w:p w14:paraId="663798A2">
                  <w:pPr>
                    <w:widowControl/>
                    <w:jc w:val="center"/>
                    <w:rPr>
                      <w:rFonts w:eastAsiaTheme="majorEastAsia"/>
                      <w:kern w:val="0"/>
                      <w:sz w:val="22"/>
                      <w:szCs w:val="22"/>
                    </w:rPr>
                  </w:pPr>
                  <w:r>
                    <w:rPr>
                      <w:rFonts w:eastAsiaTheme="majorEastAsia"/>
                      <w:kern w:val="0"/>
                      <w:sz w:val="22"/>
                      <w:szCs w:val="22"/>
                    </w:rPr>
                    <w:t>1891.82</w:t>
                  </w:r>
                </w:p>
              </w:tc>
              <w:tc>
                <w:tcPr>
                  <w:tcW w:w="687" w:type="pct"/>
                  <w:shd w:val="clear" w:color="auto" w:fill="auto"/>
                  <w:vAlign w:val="center"/>
                </w:tcPr>
                <w:p w14:paraId="7DE75D08">
                  <w:pPr>
                    <w:widowControl/>
                    <w:jc w:val="center"/>
                    <w:rPr>
                      <w:rFonts w:eastAsiaTheme="majorEastAsia"/>
                      <w:kern w:val="0"/>
                      <w:szCs w:val="21"/>
                    </w:rPr>
                  </w:pPr>
                  <w:r>
                    <w:rPr>
                      <w:rFonts w:eastAsiaTheme="majorEastAsia"/>
                      <w:kern w:val="0"/>
                      <w:szCs w:val="21"/>
                    </w:rPr>
                    <w:t>2081</w:t>
                  </w:r>
                </w:p>
              </w:tc>
              <w:tc>
                <w:tcPr>
                  <w:tcW w:w="1590" w:type="pct"/>
                  <w:vMerge w:val="continue"/>
                  <w:vAlign w:val="center"/>
                </w:tcPr>
                <w:p w14:paraId="2FE90879">
                  <w:pPr>
                    <w:widowControl/>
                    <w:jc w:val="left"/>
                    <w:rPr>
                      <w:rFonts w:eastAsiaTheme="majorEastAsia"/>
                      <w:kern w:val="0"/>
                      <w:sz w:val="22"/>
                      <w:szCs w:val="22"/>
                    </w:rPr>
                  </w:pPr>
                </w:p>
              </w:tc>
            </w:tr>
            <w:tr w14:paraId="18F6D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87" w:type="pct"/>
                  <w:shd w:val="clear" w:color="auto" w:fill="auto"/>
                  <w:noWrap/>
                  <w:vAlign w:val="center"/>
                </w:tcPr>
                <w:p w14:paraId="2E296AD2">
                  <w:pPr>
                    <w:widowControl/>
                    <w:jc w:val="center"/>
                    <w:rPr>
                      <w:rFonts w:eastAsiaTheme="majorEastAsia"/>
                      <w:kern w:val="0"/>
                      <w:sz w:val="22"/>
                      <w:szCs w:val="22"/>
                    </w:rPr>
                  </w:pPr>
                  <w:r>
                    <w:rPr>
                      <w:rFonts w:eastAsiaTheme="majorEastAsia"/>
                      <w:kern w:val="0"/>
                      <w:sz w:val="22"/>
                      <w:szCs w:val="22"/>
                    </w:rPr>
                    <w:t>3</w:t>
                  </w:r>
                </w:p>
              </w:tc>
              <w:tc>
                <w:tcPr>
                  <w:tcW w:w="1056" w:type="pct"/>
                  <w:shd w:val="clear" w:color="auto" w:fill="auto"/>
                  <w:vAlign w:val="center"/>
                </w:tcPr>
                <w:p w14:paraId="05F3B99B">
                  <w:pPr>
                    <w:widowControl/>
                    <w:jc w:val="center"/>
                    <w:rPr>
                      <w:rFonts w:eastAsiaTheme="majorEastAsia"/>
                      <w:kern w:val="0"/>
                      <w:szCs w:val="21"/>
                    </w:rPr>
                  </w:pPr>
                  <w:r>
                    <w:rPr>
                      <w:rFonts w:eastAsiaTheme="majorEastAsia"/>
                      <w:kern w:val="0"/>
                      <w:szCs w:val="21"/>
                    </w:rPr>
                    <w:t>废纺丝油剂S3</w:t>
                  </w:r>
                </w:p>
              </w:tc>
              <w:tc>
                <w:tcPr>
                  <w:tcW w:w="980" w:type="pct"/>
                  <w:shd w:val="clear" w:color="auto" w:fill="auto"/>
                  <w:vAlign w:val="center"/>
                </w:tcPr>
                <w:p w14:paraId="72243570">
                  <w:pPr>
                    <w:widowControl/>
                    <w:jc w:val="center"/>
                    <w:rPr>
                      <w:rFonts w:eastAsiaTheme="majorEastAsia"/>
                      <w:kern w:val="0"/>
                      <w:sz w:val="22"/>
                      <w:szCs w:val="22"/>
                    </w:rPr>
                  </w:pPr>
                  <w:r>
                    <w:rPr>
                      <w:rFonts w:eastAsiaTheme="majorEastAsia"/>
                      <w:kern w:val="0"/>
                      <w:sz w:val="22"/>
                      <w:szCs w:val="22"/>
                    </w:rPr>
                    <w:t>63.64</w:t>
                  </w:r>
                </w:p>
              </w:tc>
              <w:tc>
                <w:tcPr>
                  <w:tcW w:w="687" w:type="pct"/>
                  <w:shd w:val="clear" w:color="auto" w:fill="auto"/>
                  <w:vAlign w:val="center"/>
                </w:tcPr>
                <w:p w14:paraId="72230A7D">
                  <w:pPr>
                    <w:widowControl/>
                    <w:jc w:val="center"/>
                    <w:rPr>
                      <w:rFonts w:eastAsiaTheme="majorEastAsia"/>
                      <w:kern w:val="0"/>
                      <w:szCs w:val="21"/>
                    </w:rPr>
                  </w:pPr>
                  <w:r>
                    <w:rPr>
                      <w:rFonts w:eastAsiaTheme="majorEastAsia"/>
                      <w:kern w:val="0"/>
                      <w:szCs w:val="21"/>
                    </w:rPr>
                    <w:t>70</w:t>
                  </w:r>
                </w:p>
              </w:tc>
              <w:tc>
                <w:tcPr>
                  <w:tcW w:w="1590" w:type="pct"/>
                  <w:shd w:val="clear" w:color="auto" w:fill="auto"/>
                  <w:vAlign w:val="center"/>
                </w:tcPr>
                <w:p w14:paraId="4556408A">
                  <w:pPr>
                    <w:widowControl/>
                    <w:jc w:val="center"/>
                    <w:rPr>
                      <w:rFonts w:eastAsiaTheme="majorEastAsia"/>
                      <w:kern w:val="0"/>
                      <w:sz w:val="22"/>
                      <w:szCs w:val="22"/>
                    </w:rPr>
                  </w:pPr>
                  <w:r>
                    <w:rPr>
                      <w:rFonts w:eastAsiaTheme="majorEastAsia"/>
                      <w:kern w:val="0"/>
                      <w:sz w:val="22"/>
                      <w:szCs w:val="22"/>
                    </w:rPr>
                    <w:t>增大，纺丝产能增大带来废纺丝油剂增多</w:t>
                  </w:r>
                </w:p>
              </w:tc>
            </w:tr>
            <w:tr w14:paraId="5BBBF8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7" w:type="pct"/>
                  <w:shd w:val="clear" w:color="auto" w:fill="auto"/>
                  <w:noWrap/>
                  <w:vAlign w:val="center"/>
                </w:tcPr>
                <w:p w14:paraId="502E5870">
                  <w:pPr>
                    <w:widowControl/>
                    <w:jc w:val="center"/>
                    <w:rPr>
                      <w:rFonts w:eastAsiaTheme="majorEastAsia"/>
                      <w:kern w:val="0"/>
                      <w:sz w:val="22"/>
                      <w:szCs w:val="22"/>
                    </w:rPr>
                  </w:pPr>
                  <w:r>
                    <w:rPr>
                      <w:rFonts w:eastAsiaTheme="majorEastAsia"/>
                      <w:kern w:val="0"/>
                      <w:sz w:val="22"/>
                      <w:szCs w:val="22"/>
                    </w:rPr>
                    <w:t>4</w:t>
                  </w:r>
                </w:p>
              </w:tc>
              <w:tc>
                <w:tcPr>
                  <w:tcW w:w="1056" w:type="pct"/>
                  <w:shd w:val="clear" w:color="auto" w:fill="auto"/>
                  <w:vAlign w:val="center"/>
                </w:tcPr>
                <w:p w14:paraId="1D0392E3">
                  <w:pPr>
                    <w:widowControl/>
                    <w:jc w:val="center"/>
                    <w:rPr>
                      <w:rFonts w:eastAsiaTheme="majorEastAsia"/>
                      <w:kern w:val="0"/>
                      <w:szCs w:val="21"/>
                    </w:rPr>
                  </w:pPr>
                  <w:r>
                    <w:rPr>
                      <w:rFonts w:eastAsiaTheme="majorEastAsia"/>
                      <w:kern w:val="0"/>
                      <w:szCs w:val="21"/>
                    </w:rPr>
                    <w:t>废油S4</w:t>
                  </w:r>
                </w:p>
              </w:tc>
              <w:tc>
                <w:tcPr>
                  <w:tcW w:w="980" w:type="pct"/>
                  <w:shd w:val="clear" w:color="auto" w:fill="auto"/>
                  <w:vAlign w:val="center"/>
                </w:tcPr>
                <w:p w14:paraId="2D26CBE8">
                  <w:pPr>
                    <w:widowControl/>
                    <w:jc w:val="center"/>
                    <w:rPr>
                      <w:rFonts w:eastAsiaTheme="majorEastAsia"/>
                      <w:kern w:val="0"/>
                      <w:sz w:val="22"/>
                      <w:szCs w:val="22"/>
                    </w:rPr>
                  </w:pPr>
                  <w:r>
                    <w:rPr>
                      <w:rFonts w:eastAsiaTheme="majorEastAsia"/>
                      <w:kern w:val="0"/>
                      <w:sz w:val="22"/>
                      <w:szCs w:val="22"/>
                    </w:rPr>
                    <w:t>20</w:t>
                  </w:r>
                </w:p>
              </w:tc>
              <w:tc>
                <w:tcPr>
                  <w:tcW w:w="687" w:type="pct"/>
                  <w:shd w:val="clear" w:color="auto" w:fill="auto"/>
                  <w:vAlign w:val="center"/>
                </w:tcPr>
                <w:p w14:paraId="44695B06">
                  <w:pPr>
                    <w:widowControl/>
                    <w:jc w:val="center"/>
                    <w:rPr>
                      <w:rFonts w:eastAsiaTheme="majorEastAsia"/>
                      <w:kern w:val="0"/>
                      <w:szCs w:val="21"/>
                    </w:rPr>
                  </w:pPr>
                  <w:r>
                    <w:rPr>
                      <w:rFonts w:eastAsiaTheme="majorEastAsia"/>
                      <w:kern w:val="0"/>
                      <w:szCs w:val="21"/>
                    </w:rPr>
                    <w:t>20</w:t>
                  </w:r>
                </w:p>
              </w:tc>
              <w:tc>
                <w:tcPr>
                  <w:tcW w:w="1590" w:type="pct"/>
                  <w:vMerge w:val="restart"/>
                  <w:shd w:val="clear" w:color="auto" w:fill="auto"/>
                  <w:vAlign w:val="center"/>
                </w:tcPr>
                <w:p w14:paraId="18D5C38F">
                  <w:pPr>
                    <w:widowControl/>
                    <w:jc w:val="center"/>
                    <w:rPr>
                      <w:rFonts w:eastAsiaTheme="majorEastAsia"/>
                      <w:kern w:val="0"/>
                      <w:sz w:val="22"/>
                      <w:szCs w:val="22"/>
                    </w:rPr>
                  </w:pPr>
                  <w:r>
                    <w:rPr>
                      <w:rFonts w:eastAsiaTheme="majorEastAsia"/>
                      <w:kern w:val="0"/>
                      <w:sz w:val="22"/>
                      <w:szCs w:val="22"/>
                    </w:rPr>
                    <w:t>不变</w:t>
                  </w:r>
                </w:p>
              </w:tc>
            </w:tr>
            <w:tr w14:paraId="517E5A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0" w:hRule="atLeast"/>
              </w:trPr>
              <w:tc>
                <w:tcPr>
                  <w:tcW w:w="687" w:type="pct"/>
                  <w:shd w:val="clear" w:color="auto" w:fill="auto"/>
                  <w:noWrap/>
                  <w:vAlign w:val="center"/>
                </w:tcPr>
                <w:p w14:paraId="55307F87">
                  <w:pPr>
                    <w:widowControl/>
                    <w:jc w:val="center"/>
                    <w:rPr>
                      <w:rFonts w:eastAsiaTheme="majorEastAsia"/>
                      <w:kern w:val="0"/>
                      <w:sz w:val="22"/>
                      <w:szCs w:val="22"/>
                    </w:rPr>
                  </w:pPr>
                  <w:r>
                    <w:rPr>
                      <w:rFonts w:eastAsiaTheme="majorEastAsia"/>
                      <w:kern w:val="0"/>
                      <w:sz w:val="22"/>
                      <w:szCs w:val="22"/>
                    </w:rPr>
                    <w:t>5</w:t>
                  </w:r>
                </w:p>
              </w:tc>
              <w:tc>
                <w:tcPr>
                  <w:tcW w:w="1056" w:type="pct"/>
                  <w:shd w:val="clear" w:color="auto" w:fill="auto"/>
                  <w:vAlign w:val="center"/>
                </w:tcPr>
                <w:p w14:paraId="40993FAD">
                  <w:pPr>
                    <w:widowControl/>
                    <w:jc w:val="center"/>
                    <w:rPr>
                      <w:rFonts w:eastAsiaTheme="majorEastAsia"/>
                      <w:kern w:val="0"/>
                      <w:szCs w:val="21"/>
                    </w:rPr>
                  </w:pPr>
                  <w:r>
                    <w:rPr>
                      <w:rFonts w:eastAsiaTheme="majorEastAsia"/>
                      <w:kern w:val="0"/>
                      <w:szCs w:val="21"/>
                    </w:rPr>
                    <w:t>废润滑油脂S5</w:t>
                  </w:r>
                </w:p>
              </w:tc>
              <w:tc>
                <w:tcPr>
                  <w:tcW w:w="980" w:type="pct"/>
                  <w:shd w:val="clear" w:color="auto" w:fill="auto"/>
                  <w:noWrap/>
                  <w:vAlign w:val="center"/>
                </w:tcPr>
                <w:p w14:paraId="522C9D53">
                  <w:pPr>
                    <w:widowControl/>
                    <w:jc w:val="center"/>
                    <w:rPr>
                      <w:rFonts w:eastAsiaTheme="majorEastAsia"/>
                      <w:kern w:val="0"/>
                      <w:sz w:val="22"/>
                      <w:szCs w:val="22"/>
                    </w:rPr>
                  </w:pPr>
                  <w:r>
                    <w:rPr>
                      <w:rFonts w:eastAsiaTheme="majorEastAsia"/>
                      <w:kern w:val="0"/>
                      <w:sz w:val="22"/>
                      <w:szCs w:val="22"/>
                    </w:rPr>
                    <w:t>0.2</w:t>
                  </w:r>
                </w:p>
              </w:tc>
              <w:tc>
                <w:tcPr>
                  <w:tcW w:w="687" w:type="pct"/>
                  <w:shd w:val="clear" w:color="auto" w:fill="auto"/>
                  <w:vAlign w:val="center"/>
                </w:tcPr>
                <w:p w14:paraId="149C4BF3">
                  <w:pPr>
                    <w:widowControl/>
                    <w:jc w:val="center"/>
                    <w:rPr>
                      <w:rFonts w:eastAsiaTheme="majorEastAsia"/>
                      <w:kern w:val="0"/>
                      <w:szCs w:val="21"/>
                    </w:rPr>
                  </w:pPr>
                  <w:r>
                    <w:rPr>
                      <w:rFonts w:eastAsiaTheme="majorEastAsia"/>
                      <w:kern w:val="0"/>
                      <w:szCs w:val="21"/>
                    </w:rPr>
                    <w:t>0.2</w:t>
                  </w:r>
                </w:p>
              </w:tc>
              <w:tc>
                <w:tcPr>
                  <w:tcW w:w="1590" w:type="pct"/>
                  <w:vMerge w:val="continue"/>
                  <w:vAlign w:val="center"/>
                </w:tcPr>
                <w:p w14:paraId="4B1A781A">
                  <w:pPr>
                    <w:widowControl/>
                    <w:jc w:val="left"/>
                    <w:rPr>
                      <w:rFonts w:eastAsiaTheme="majorEastAsia"/>
                      <w:kern w:val="0"/>
                      <w:sz w:val="22"/>
                      <w:szCs w:val="22"/>
                    </w:rPr>
                  </w:pPr>
                </w:p>
              </w:tc>
            </w:tr>
            <w:tr w14:paraId="77DF35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687" w:type="pct"/>
                  <w:shd w:val="clear" w:color="auto" w:fill="auto"/>
                  <w:noWrap/>
                  <w:vAlign w:val="center"/>
                </w:tcPr>
                <w:p w14:paraId="7765D77F">
                  <w:pPr>
                    <w:widowControl/>
                    <w:jc w:val="center"/>
                    <w:rPr>
                      <w:rFonts w:eastAsiaTheme="majorEastAsia"/>
                      <w:kern w:val="0"/>
                      <w:sz w:val="22"/>
                      <w:szCs w:val="22"/>
                    </w:rPr>
                  </w:pPr>
                  <w:r>
                    <w:rPr>
                      <w:rFonts w:eastAsiaTheme="majorEastAsia"/>
                      <w:kern w:val="0"/>
                      <w:sz w:val="22"/>
                      <w:szCs w:val="22"/>
                    </w:rPr>
                    <w:t>6</w:t>
                  </w:r>
                </w:p>
              </w:tc>
              <w:tc>
                <w:tcPr>
                  <w:tcW w:w="1056" w:type="pct"/>
                  <w:shd w:val="clear" w:color="auto" w:fill="auto"/>
                  <w:vAlign w:val="center"/>
                </w:tcPr>
                <w:p w14:paraId="19092D62">
                  <w:pPr>
                    <w:widowControl/>
                    <w:jc w:val="center"/>
                    <w:rPr>
                      <w:rFonts w:eastAsiaTheme="majorEastAsia"/>
                      <w:kern w:val="0"/>
                      <w:szCs w:val="21"/>
                    </w:rPr>
                  </w:pPr>
                  <w:r>
                    <w:rPr>
                      <w:rFonts w:eastAsiaTheme="majorEastAsia"/>
                      <w:kern w:val="0"/>
                      <w:szCs w:val="21"/>
                    </w:rPr>
                    <w:t>废有机溶剂S6</w:t>
                  </w:r>
                </w:p>
              </w:tc>
              <w:tc>
                <w:tcPr>
                  <w:tcW w:w="980" w:type="pct"/>
                  <w:shd w:val="clear" w:color="auto" w:fill="auto"/>
                  <w:noWrap/>
                  <w:vAlign w:val="center"/>
                </w:tcPr>
                <w:p w14:paraId="101EC107">
                  <w:pPr>
                    <w:widowControl/>
                    <w:jc w:val="center"/>
                    <w:rPr>
                      <w:rFonts w:eastAsiaTheme="majorEastAsia"/>
                      <w:kern w:val="0"/>
                      <w:sz w:val="22"/>
                      <w:szCs w:val="22"/>
                    </w:rPr>
                  </w:pPr>
                  <w:r>
                    <w:rPr>
                      <w:rFonts w:eastAsiaTheme="majorEastAsia"/>
                      <w:kern w:val="0"/>
                      <w:sz w:val="22"/>
                      <w:szCs w:val="22"/>
                    </w:rPr>
                    <w:t>1.36</w:t>
                  </w:r>
                </w:p>
              </w:tc>
              <w:tc>
                <w:tcPr>
                  <w:tcW w:w="687" w:type="pct"/>
                  <w:shd w:val="clear" w:color="auto" w:fill="auto"/>
                  <w:vAlign w:val="center"/>
                </w:tcPr>
                <w:p w14:paraId="06DFD468">
                  <w:pPr>
                    <w:widowControl/>
                    <w:jc w:val="center"/>
                    <w:rPr>
                      <w:rFonts w:eastAsiaTheme="majorEastAsia"/>
                      <w:kern w:val="0"/>
                      <w:szCs w:val="21"/>
                    </w:rPr>
                  </w:pPr>
                  <w:r>
                    <w:rPr>
                      <w:rFonts w:eastAsiaTheme="majorEastAsia"/>
                      <w:kern w:val="0"/>
                      <w:szCs w:val="21"/>
                    </w:rPr>
                    <w:t>1.5</w:t>
                  </w:r>
                </w:p>
              </w:tc>
              <w:tc>
                <w:tcPr>
                  <w:tcW w:w="1590" w:type="pct"/>
                  <w:shd w:val="clear" w:color="auto" w:fill="auto"/>
                  <w:vAlign w:val="center"/>
                </w:tcPr>
                <w:p w14:paraId="53E4495C">
                  <w:pPr>
                    <w:widowControl/>
                    <w:jc w:val="center"/>
                    <w:rPr>
                      <w:rFonts w:eastAsiaTheme="majorEastAsia"/>
                      <w:kern w:val="0"/>
                      <w:sz w:val="22"/>
                      <w:szCs w:val="22"/>
                    </w:rPr>
                  </w:pPr>
                  <w:r>
                    <w:rPr>
                      <w:rFonts w:eastAsiaTheme="majorEastAsia"/>
                      <w:kern w:val="0"/>
                      <w:sz w:val="22"/>
                      <w:szCs w:val="22"/>
                    </w:rPr>
                    <w:t>增大，不改变物检频次，物检数量同比产能增大</w:t>
                  </w:r>
                </w:p>
              </w:tc>
            </w:tr>
            <w:tr w14:paraId="29F399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7" w:type="pct"/>
                  <w:shd w:val="clear" w:color="auto" w:fill="auto"/>
                  <w:noWrap/>
                  <w:vAlign w:val="center"/>
                </w:tcPr>
                <w:p w14:paraId="490F6D61">
                  <w:pPr>
                    <w:widowControl/>
                    <w:jc w:val="center"/>
                    <w:rPr>
                      <w:rFonts w:eastAsiaTheme="majorEastAsia"/>
                      <w:kern w:val="0"/>
                      <w:sz w:val="22"/>
                      <w:szCs w:val="22"/>
                    </w:rPr>
                  </w:pPr>
                  <w:r>
                    <w:rPr>
                      <w:rFonts w:eastAsiaTheme="majorEastAsia"/>
                      <w:kern w:val="0"/>
                      <w:sz w:val="22"/>
                      <w:szCs w:val="22"/>
                    </w:rPr>
                    <w:t>7</w:t>
                  </w:r>
                </w:p>
              </w:tc>
              <w:tc>
                <w:tcPr>
                  <w:tcW w:w="1056" w:type="pct"/>
                  <w:shd w:val="clear" w:color="auto" w:fill="auto"/>
                  <w:vAlign w:val="center"/>
                </w:tcPr>
                <w:p w14:paraId="6FE4036B">
                  <w:pPr>
                    <w:widowControl/>
                    <w:jc w:val="center"/>
                    <w:rPr>
                      <w:rFonts w:eastAsiaTheme="majorEastAsia"/>
                      <w:kern w:val="0"/>
                      <w:szCs w:val="21"/>
                    </w:rPr>
                  </w:pPr>
                  <w:r>
                    <w:rPr>
                      <w:rFonts w:eastAsiaTheme="majorEastAsia"/>
                      <w:kern w:val="0"/>
                      <w:szCs w:val="21"/>
                    </w:rPr>
                    <w:t>废碱液S7</w:t>
                  </w:r>
                </w:p>
              </w:tc>
              <w:tc>
                <w:tcPr>
                  <w:tcW w:w="980" w:type="pct"/>
                  <w:shd w:val="clear" w:color="auto" w:fill="auto"/>
                  <w:noWrap/>
                  <w:vAlign w:val="center"/>
                </w:tcPr>
                <w:p w14:paraId="19641044">
                  <w:pPr>
                    <w:widowControl/>
                    <w:jc w:val="center"/>
                    <w:rPr>
                      <w:rFonts w:eastAsiaTheme="majorEastAsia"/>
                      <w:kern w:val="0"/>
                      <w:sz w:val="22"/>
                      <w:szCs w:val="22"/>
                    </w:rPr>
                  </w:pPr>
                  <w:r>
                    <w:rPr>
                      <w:rFonts w:eastAsiaTheme="majorEastAsia"/>
                      <w:kern w:val="0"/>
                      <w:sz w:val="22"/>
                      <w:szCs w:val="22"/>
                    </w:rPr>
                    <w:t>10</w:t>
                  </w:r>
                </w:p>
              </w:tc>
              <w:tc>
                <w:tcPr>
                  <w:tcW w:w="687" w:type="pct"/>
                  <w:shd w:val="clear" w:color="auto" w:fill="auto"/>
                  <w:vAlign w:val="center"/>
                </w:tcPr>
                <w:p w14:paraId="2ED0C5DD">
                  <w:pPr>
                    <w:widowControl/>
                    <w:jc w:val="center"/>
                    <w:rPr>
                      <w:rFonts w:eastAsiaTheme="majorEastAsia"/>
                      <w:kern w:val="0"/>
                      <w:szCs w:val="21"/>
                    </w:rPr>
                  </w:pPr>
                  <w:r>
                    <w:rPr>
                      <w:rFonts w:eastAsiaTheme="majorEastAsia"/>
                      <w:kern w:val="0"/>
                      <w:szCs w:val="21"/>
                    </w:rPr>
                    <w:t>10</w:t>
                  </w:r>
                </w:p>
              </w:tc>
              <w:tc>
                <w:tcPr>
                  <w:tcW w:w="1590" w:type="pct"/>
                  <w:shd w:val="clear" w:color="auto" w:fill="auto"/>
                  <w:vAlign w:val="center"/>
                </w:tcPr>
                <w:p w14:paraId="1A437BDD">
                  <w:pPr>
                    <w:widowControl/>
                    <w:jc w:val="center"/>
                    <w:rPr>
                      <w:rFonts w:eastAsiaTheme="majorEastAsia"/>
                      <w:kern w:val="0"/>
                      <w:sz w:val="22"/>
                      <w:szCs w:val="22"/>
                    </w:rPr>
                  </w:pPr>
                  <w:r>
                    <w:rPr>
                      <w:rFonts w:eastAsiaTheme="majorEastAsia"/>
                      <w:kern w:val="0"/>
                      <w:sz w:val="22"/>
                      <w:szCs w:val="22"/>
                    </w:rPr>
                    <w:t>不变，纺丝组件清洗和</w:t>
                  </w:r>
                </w:p>
              </w:tc>
            </w:tr>
            <w:tr w14:paraId="0B0A06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87" w:type="pct"/>
                  <w:shd w:val="clear" w:color="auto" w:fill="auto"/>
                  <w:noWrap/>
                  <w:vAlign w:val="center"/>
                </w:tcPr>
                <w:p w14:paraId="0148A05B">
                  <w:pPr>
                    <w:widowControl/>
                    <w:jc w:val="center"/>
                    <w:rPr>
                      <w:rFonts w:eastAsiaTheme="majorEastAsia"/>
                      <w:kern w:val="0"/>
                      <w:sz w:val="22"/>
                      <w:szCs w:val="22"/>
                    </w:rPr>
                  </w:pPr>
                  <w:r>
                    <w:rPr>
                      <w:rFonts w:eastAsiaTheme="majorEastAsia"/>
                      <w:kern w:val="0"/>
                      <w:sz w:val="22"/>
                      <w:szCs w:val="22"/>
                    </w:rPr>
                    <w:t>8</w:t>
                  </w:r>
                </w:p>
              </w:tc>
              <w:tc>
                <w:tcPr>
                  <w:tcW w:w="1056" w:type="pct"/>
                  <w:shd w:val="clear" w:color="auto" w:fill="auto"/>
                  <w:vAlign w:val="center"/>
                </w:tcPr>
                <w:p w14:paraId="5A3C7556">
                  <w:pPr>
                    <w:widowControl/>
                    <w:jc w:val="center"/>
                    <w:rPr>
                      <w:rFonts w:eastAsiaTheme="majorEastAsia"/>
                      <w:kern w:val="0"/>
                      <w:szCs w:val="21"/>
                    </w:rPr>
                  </w:pPr>
                  <w:r>
                    <w:rPr>
                      <w:rFonts w:eastAsiaTheme="majorEastAsia"/>
                      <w:kern w:val="0"/>
                      <w:szCs w:val="21"/>
                    </w:rPr>
                    <w:t>杂质废料S8</w:t>
                  </w:r>
                </w:p>
              </w:tc>
              <w:tc>
                <w:tcPr>
                  <w:tcW w:w="980" w:type="pct"/>
                  <w:shd w:val="clear" w:color="auto" w:fill="auto"/>
                  <w:noWrap/>
                  <w:vAlign w:val="center"/>
                </w:tcPr>
                <w:p w14:paraId="5C6E3983">
                  <w:pPr>
                    <w:widowControl/>
                    <w:jc w:val="center"/>
                    <w:rPr>
                      <w:rFonts w:eastAsiaTheme="majorEastAsia"/>
                      <w:kern w:val="0"/>
                      <w:sz w:val="22"/>
                      <w:szCs w:val="22"/>
                    </w:rPr>
                  </w:pPr>
                  <w:r>
                    <w:rPr>
                      <w:rFonts w:eastAsiaTheme="majorEastAsia"/>
                      <w:kern w:val="0"/>
                      <w:sz w:val="22"/>
                      <w:szCs w:val="22"/>
                    </w:rPr>
                    <w:t>0</w:t>
                  </w:r>
                </w:p>
              </w:tc>
              <w:tc>
                <w:tcPr>
                  <w:tcW w:w="687" w:type="pct"/>
                  <w:shd w:val="clear" w:color="auto" w:fill="auto"/>
                  <w:vAlign w:val="center"/>
                </w:tcPr>
                <w:p w14:paraId="0BA130A8">
                  <w:pPr>
                    <w:widowControl/>
                    <w:jc w:val="center"/>
                    <w:rPr>
                      <w:rFonts w:eastAsiaTheme="majorEastAsia"/>
                      <w:kern w:val="0"/>
                      <w:szCs w:val="21"/>
                    </w:rPr>
                  </w:pPr>
                  <w:r>
                    <w:rPr>
                      <w:rFonts w:eastAsiaTheme="majorEastAsia"/>
                      <w:kern w:val="0"/>
                      <w:szCs w:val="21"/>
                    </w:rPr>
                    <w:t>160</w:t>
                  </w:r>
                </w:p>
              </w:tc>
              <w:tc>
                <w:tcPr>
                  <w:tcW w:w="1590" w:type="pct"/>
                  <w:shd w:val="clear" w:color="auto" w:fill="auto"/>
                  <w:vAlign w:val="center"/>
                </w:tcPr>
                <w:p w14:paraId="41D45D3F">
                  <w:pPr>
                    <w:widowControl/>
                    <w:jc w:val="center"/>
                    <w:rPr>
                      <w:rFonts w:eastAsiaTheme="majorEastAsia"/>
                      <w:kern w:val="0"/>
                      <w:sz w:val="22"/>
                      <w:szCs w:val="22"/>
                    </w:rPr>
                  </w:pPr>
                  <w:r>
                    <w:rPr>
                      <w:rFonts w:eastAsiaTheme="majorEastAsia"/>
                      <w:kern w:val="0"/>
                      <w:sz w:val="22"/>
                      <w:szCs w:val="22"/>
                    </w:rPr>
                    <w:t>新增，废丝回收线产生</w:t>
                  </w:r>
                </w:p>
              </w:tc>
            </w:tr>
            <w:tr w14:paraId="309BBB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87" w:type="pct"/>
                  <w:shd w:val="clear" w:color="auto" w:fill="auto"/>
                  <w:noWrap/>
                  <w:vAlign w:val="center"/>
                </w:tcPr>
                <w:p w14:paraId="1AB80E5C">
                  <w:pPr>
                    <w:widowControl/>
                    <w:jc w:val="center"/>
                    <w:rPr>
                      <w:rFonts w:eastAsiaTheme="majorEastAsia"/>
                      <w:kern w:val="0"/>
                      <w:sz w:val="22"/>
                      <w:szCs w:val="22"/>
                    </w:rPr>
                  </w:pPr>
                  <w:r>
                    <w:rPr>
                      <w:rFonts w:eastAsiaTheme="majorEastAsia"/>
                      <w:kern w:val="0"/>
                      <w:sz w:val="22"/>
                      <w:szCs w:val="22"/>
                    </w:rPr>
                    <w:t>9</w:t>
                  </w:r>
                </w:p>
              </w:tc>
              <w:tc>
                <w:tcPr>
                  <w:tcW w:w="1056" w:type="pct"/>
                  <w:shd w:val="clear" w:color="auto" w:fill="auto"/>
                  <w:vAlign w:val="center"/>
                </w:tcPr>
                <w:p w14:paraId="220BA09D">
                  <w:pPr>
                    <w:widowControl/>
                    <w:jc w:val="center"/>
                    <w:rPr>
                      <w:rFonts w:eastAsiaTheme="majorEastAsia"/>
                      <w:kern w:val="0"/>
                      <w:szCs w:val="21"/>
                    </w:rPr>
                  </w:pPr>
                  <w:r>
                    <w:rPr>
                      <w:rFonts w:eastAsiaTheme="majorEastAsia"/>
                      <w:kern w:val="0"/>
                      <w:szCs w:val="21"/>
                    </w:rPr>
                    <w:t>废包装桶（瓶）S9</w:t>
                  </w:r>
                </w:p>
              </w:tc>
              <w:tc>
                <w:tcPr>
                  <w:tcW w:w="980" w:type="pct"/>
                  <w:shd w:val="clear" w:color="auto" w:fill="auto"/>
                  <w:noWrap/>
                  <w:vAlign w:val="center"/>
                </w:tcPr>
                <w:p w14:paraId="331D5B90">
                  <w:pPr>
                    <w:widowControl/>
                    <w:jc w:val="center"/>
                    <w:rPr>
                      <w:rFonts w:eastAsiaTheme="majorEastAsia"/>
                      <w:kern w:val="0"/>
                      <w:sz w:val="22"/>
                      <w:szCs w:val="22"/>
                    </w:rPr>
                  </w:pPr>
                  <w:r>
                    <w:rPr>
                      <w:rFonts w:eastAsiaTheme="majorEastAsia"/>
                      <w:kern w:val="0"/>
                      <w:sz w:val="22"/>
                      <w:szCs w:val="22"/>
                    </w:rPr>
                    <w:t>0</w:t>
                  </w:r>
                </w:p>
              </w:tc>
              <w:tc>
                <w:tcPr>
                  <w:tcW w:w="687" w:type="pct"/>
                  <w:shd w:val="clear" w:color="auto" w:fill="auto"/>
                  <w:vAlign w:val="center"/>
                </w:tcPr>
                <w:p w14:paraId="084E6374">
                  <w:pPr>
                    <w:widowControl/>
                    <w:jc w:val="center"/>
                    <w:rPr>
                      <w:rFonts w:eastAsiaTheme="majorEastAsia"/>
                      <w:kern w:val="0"/>
                      <w:szCs w:val="21"/>
                    </w:rPr>
                  </w:pPr>
                  <w:r>
                    <w:rPr>
                      <w:rFonts w:eastAsiaTheme="majorEastAsia"/>
                      <w:kern w:val="0"/>
                      <w:szCs w:val="21"/>
                    </w:rPr>
                    <w:t>8</w:t>
                  </w:r>
                </w:p>
              </w:tc>
              <w:tc>
                <w:tcPr>
                  <w:tcW w:w="1590" w:type="pct"/>
                  <w:shd w:val="clear" w:color="auto" w:fill="auto"/>
                  <w:vAlign w:val="center"/>
                </w:tcPr>
                <w:p w14:paraId="424A1F33">
                  <w:pPr>
                    <w:widowControl/>
                    <w:jc w:val="center"/>
                    <w:rPr>
                      <w:rFonts w:eastAsiaTheme="majorEastAsia"/>
                      <w:kern w:val="0"/>
                      <w:sz w:val="22"/>
                      <w:szCs w:val="22"/>
                    </w:rPr>
                  </w:pPr>
                  <w:r>
                    <w:rPr>
                      <w:rFonts w:eastAsiaTheme="majorEastAsia"/>
                      <w:kern w:val="0"/>
                      <w:sz w:val="22"/>
                      <w:szCs w:val="22"/>
                    </w:rPr>
                    <w:t>不变</w:t>
                  </w:r>
                </w:p>
              </w:tc>
            </w:tr>
            <w:tr w14:paraId="665DE7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87" w:type="pct"/>
                  <w:shd w:val="clear" w:color="auto" w:fill="auto"/>
                  <w:noWrap/>
                  <w:vAlign w:val="center"/>
                </w:tcPr>
                <w:p w14:paraId="6161AFD0">
                  <w:pPr>
                    <w:widowControl/>
                    <w:jc w:val="center"/>
                    <w:rPr>
                      <w:rFonts w:eastAsiaTheme="majorEastAsia"/>
                      <w:kern w:val="0"/>
                      <w:sz w:val="22"/>
                      <w:szCs w:val="22"/>
                    </w:rPr>
                  </w:pPr>
                  <w:r>
                    <w:rPr>
                      <w:rFonts w:eastAsiaTheme="majorEastAsia"/>
                      <w:kern w:val="0"/>
                      <w:sz w:val="22"/>
                      <w:szCs w:val="22"/>
                    </w:rPr>
                    <w:t>10</w:t>
                  </w:r>
                </w:p>
              </w:tc>
              <w:tc>
                <w:tcPr>
                  <w:tcW w:w="1056" w:type="pct"/>
                  <w:shd w:val="clear" w:color="auto" w:fill="auto"/>
                  <w:vAlign w:val="center"/>
                </w:tcPr>
                <w:p w14:paraId="7BA29CF8">
                  <w:pPr>
                    <w:widowControl/>
                    <w:jc w:val="center"/>
                    <w:rPr>
                      <w:rFonts w:eastAsiaTheme="majorEastAsia"/>
                      <w:kern w:val="0"/>
                      <w:szCs w:val="21"/>
                    </w:rPr>
                  </w:pPr>
                  <w:r>
                    <w:rPr>
                      <w:rFonts w:eastAsiaTheme="majorEastAsia"/>
                      <w:kern w:val="0"/>
                      <w:szCs w:val="21"/>
                    </w:rPr>
                    <w:t>摩擦料S10</w:t>
                  </w:r>
                </w:p>
              </w:tc>
              <w:tc>
                <w:tcPr>
                  <w:tcW w:w="980" w:type="pct"/>
                  <w:shd w:val="clear" w:color="auto" w:fill="auto"/>
                  <w:noWrap/>
                  <w:vAlign w:val="center"/>
                </w:tcPr>
                <w:p w14:paraId="286CD134">
                  <w:pPr>
                    <w:widowControl/>
                    <w:jc w:val="center"/>
                    <w:rPr>
                      <w:rFonts w:eastAsiaTheme="majorEastAsia"/>
                      <w:kern w:val="0"/>
                      <w:sz w:val="22"/>
                      <w:szCs w:val="22"/>
                    </w:rPr>
                  </w:pPr>
                  <w:r>
                    <w:rPr>
                      <w:rFonts w:eastAsiaTheme="majorEastAsia"/>
                      <w:kern w:val="0"/>
                      <w:sz w:val="22"/>
                      <w:szCs w:val="22"/>
                    </w:rPr>
                    <w:t>0</w:t>
                  </w:r>
                </w:p>
              </w:tc>
              <w:tc>
                <w:tcPr>
                  <w:tcW w:w="687" w:type="pct"/>
                  <w:shd w:val="clear" w:color="auto" w:fill="auto"/>
                  <w:noWrap/>
                  <w:vAlign w:val="center"/>
                </w:tcPr>
                <w:p w14:paraId="71A27C26">
                  <w:pPr>
                    <w:widowControl/>
                    <w:jc w:val="center"/>
                    <w:rPr>
                      <w:rFonts w:eastAsiaTheme="majorEastAsia"/>
                      <w:kern w:val="0"/>
                      <w:sz w:val="22"/>
                      <w:szCs w:val="22"/>
                    </w:rPr>
                  </w:pPr>
                  <w:r>
                    <w:rPr>
                      <w:rFonts w:eastAsiaTheme="majorEastAsia"/>
                      <w:kern w:val="0"/>
                      <w:sz w:val="22"/>
                      <w:szCs w:val="22"/>
                    </w:rPr>
                    <w:t>24000</w:t>
                  </w:r>
                </w:p>
              </w:tc>
              <w:tc>
                <w:tcPr>
                  <w:tcW w:w="1590" w:type="pct"/>
                  <w:shd w:val="clear" w:color="auto" w:fill="auto"/>
                  <w:vAlign w:val="center"/>
                </w:tcPr>
                <w:p w14:paraId="0181A9DB">
                  <w:pPr>
                    <w:widowControl/>
                    <w:jc w:val="center"/>
                    <w:rPr>
                      <w:rFonts w:eastAsiaTheme="majorEastAsia"/>
                      <w:kern w:val="0"/>
                      <w:sz w:val="22"/>
                      <w:szCs w:val="22"/>
                    </w:rPr>
                  </w:pPr>
                  <w:r>
                    <w:rPr>
                      <w:rFonts w:eastAsiaTheme="majorEastAsia"/>
                      <w:kern w:val="0"/>
                      <w:sz w:val="22"/>
                      <w:szCs w:val="22"/>
                    </w:rPr>
                    <w:t>新增，废丝回收线产生</w:t>
                  </w:r>
                </w:p>
              </w:tc>
            </w:tr>
            <w:tr w14:paraId="6308E5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87" w:type="pct"/>
                  <w:shd w:val="clear" w:color="auto" w:fill="auto"/>
                  <w:noWrap/>
                  <w:vAlign w:val="center"/>
                </w:tcPr>
                <w:p w14:paraId="3B80B199">
                  <w:pPr>
                    <w:widowControl/>
                    <w:jc w:val="center"/>
                    <w:rPr>
                      <w:rFonts w:eastAsiaTheme="majorEastAsia"/>
                      <w:kern w:val="0"/>
                      <w:sz w:val="22"/>
                      <w:szCs w:val="22"/>
                    </w:rPr>
                  </w:pPr>
                  <w:r>
                    <w:rPr>
                      <w:rFonts w:eastAsiaTheme="majorEastAsia"/>
                      <w:kern w:val="0"/>
                      <w:sz w:val="22"/>
                      <w:szCs w:val="22"/>
                    </w:rPr>
                    <w:t>11</w:t>
                  </w:r>
                </w:p>
              </w:tc>
              <w:tc>
                <w:tcPr>
                  <w:tcW w:w="1056" w:type="pct"/>
                  <w:shd w:val="clear" w:color="auto" w:fill="auto"/>
                  <w:vAlign w:val="center"/>
                </w:tcPr>
                <w:p w14:paraId="532A1A57">
                  <w:pPr>
                    <w:widowControl/>
                    <w:jc w:val="center"/>
                    <w:rPr>
                      <w:rFonts w:eastAsiaTheme="majorEastAsia"/>
                      <w:kern w:val="0"/>
                      <w:szCs w:val="21"/>
                    </w:rPr>
                  </w:pPr>
                  <w:bookmarkStart w:id="47" w:name="OLE_LINK33"/>
                  <w:r>
                    <w:rPr>
                      <w:rFonts w:eastAsiaTheme="majorEastAsia"/>
                      <w:kern w:val="0"/>
                      <w:szCs w:val="21"/>
                    </w:rPr>
                    <w:t>油泥</w:t>
                  </w:r>
                  <w:bookmarkEnd w:id="47"/>
                  <w:r>
                    <w:rPr>
                      <w:rFonts w:eastAsiaTheme="majorEastAsia"/>
                      <w:kern w:val="0"/>
                      <w:szCs w:val="21"/>
                    </w:rPr>
                    <w:t>S11</w:t>
                  </w:r>
                </w:p>
              </w:tc>
              <w:tc>
                <w:tcPr>
                  <w:tcW w:w="980" w:type="pct"/>
                  <w:shd w:val="clear" w:color="auto" w:fill="auto"/>
                  <w:noWrap/>
                  <w:vAlign w:val="center"/>
                </w:tcPr>
                <w:p w14:paraId="11415AB1">
                  <w:pPr>
                    <w:widowControl/>
                    <w:jc w:val="center"/>
                    <w:rPr>
                      <w:rFonts w:eastAsiaTheme="majorEastAsia"/>
                      <w:kern w:val="0"/>
                      <w:sz w:val="22"/>
                      <w:szCs w:val="22"/>
                    </w:rPr>
                  </w:pPr>
                  <w:r>
                    <w:rPr>
                      <w:rFonts w:eastAsiaTheme="majorEastAsia"/>
                      <w:kern w:val="0"/>
                      <w:sz w:val="22"/>
                      <w:szCs w:val="22"/>
                    </w:rPr>
                    <w:t>0</w:t>
                  </w:r>
                </w:p>
              </w:tc>
              <w:tc>
                <w:tcPr>
                  <w:tcW w:w="687" w:type="pct"/>
                  <w:shd w:val="clear" w:color="auto" w:fill="auto"/>
                  <w:noWrap/>
                  <w:vAlign w:val="center"/>
                </w:tcPr>
                <w:p w14:paraId="1340FF09">
                  <w:pPr>
                    <w:widowControl/>
                    <w:jc w:val="center"/>
                    <w:rPr>
                      <w:rFonts w:eastAsiaTheme="majorEastAsia"/>
                      <w:kern w:val="0"/>
                      <w:sz w:val="22"/>
                      <w:szCs w:val="22"/>
                    </w:rPr>
                  </w:pPr>
                  <w:r>
                    <w:rPr>
                      <w:rFonts w:eastAsiaTheme="majorEastAsia"/>
                      <w:kern w:val="0"/>
                      <w:sz w:val="22"/>
                      <w:szCs w:val="22"/>
                    </w:rPr>
                    <w:t>0.1</w:t>
                  </w:r>
                </w:p>
              </w:tc>
              <w:tc>
                <w:tcPr>
                  <w:tcW w:w="1590" w:type="pct"/>
                  <w:shd w:val="clear" w:color="auto" w:fill="auto"/>
                  <w:vAlign w:val="center"/>
                </w:tcPr>
                <w:p w14:paraId="3F84C1BA">
                  <w:pPr>
                    <w:widowControl/>
                    <w:jc w:val="center"/>
                    <w:rPr>
                      <w:rFonts w:eastAsiaTheme="majorEastAsia"/>
                      <w:kern w:val="0"/>
                      <w:sz w:val="22"/>
                      <w:szCs w:val="22"/>
                    </w:rPr>
                  </w:pPr>
                  <w:r>
                    <w:rPr>
                      <w:rFonts w:eastAsiaTheme="majorEastAsia"/>
                      <w:kern w:val="0"/>
                      <w:sz w:val="22"/>
                      <w:szCs w:val="22"/>
                    </w:rPr>
                    <w:t>新增，撬装式一体化设备产生</w:t>
                  </w:r>
                </w:p>
              </w:tc>
            </w:tr>
            <w:tr w14:paraId="5740A6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87" w:type="pct"/>
                  <w:shd w:val="clear" w:color="auto" w:fill="auto"/>
                  <w:noWrap/>
                  <w:vAlign w:val="center"/>
                </w:tcPr>
                <w:p w14:paraId="6746D299">
                  <w:pPr>
                    <w:widowControl/>
                    <w:jc w:val="center"/>
                    <w:rPr>
                      <w:rFonts w:eastAsiaTheme="majorEastAsia"/>
                      <w:kern w:val="0"/>
                      <w:sz w:val="22"/>
                      <w:szCs w:val="22"/>
                    </w:rPr>
                  </w:pPr>
                  <w:r>
                    <w:rPr>
                      <w:rFonts w:eastAsiaTheme="majorEastAsia"/>
                      <w:kern w:val="0"/>
                      <w:sz w:val="22"/>
                      <w:szCs w:val="22"/>
                    </w:rPr>
                    <w:t>12</w:t>
                  </w:r>
                </w:p>
              </w:tc>
              <w:tc>
                <w:tcPr>
                  <w:tcW w:w="1056" w:type="pct"/>
                  <w:shd w:val="clear" w:color="auto" w:fill="auto"/>
                  <w:noWrap/>
                  <w:vAlign w:val="center"/>
                </w:tcPr>
                <w:p w14:paraId="230A12FF">
                  <w:pPr>
                    <w:widowControl/>
                    <w:jc w:val="center"/>
                    <w:rPr>
                      <w:rFonts w:eastAsiaTheme="majorEastAsia"/>
                      <w:kern w:val="0"/>
                      <w:szCs w:val="21"/>
                    </w:rPr>
                  </w:pPr>
                  <w:r>
                    <w:rPr>
                      <w:rFonts w:eastAsiaTheme="majorEastAsia"/>
                      <w:kern w:val="0"/>
                      <w:szCs w:val="21"/>
                    </w:rPr>
                    <w:t>废布袋S12</w:t>
                  </w:r>
                </w:p>
              </w:tc>
              <w:tc>
                <w:tcPr>
                  <w:tcW w:w="980" w:type="pct"/>
                  <w:shd w:val="clear" w:color="auto" w:fill="auto"/>
                  <w:noWrap/>
                  <w:vAlign w:val="center"/>
                </w:tcPr>
                <w:p w14:paraId="54878B30">
                  <w:pPr>
                    <w:widowControl/>
                    <w:jc w:val="center"/>
                    <w:rPr>
                      <w:rFonts w:eastAsiaTheme="majorEastAsia"/>
                      <w:kern w:val="0"/>
                      <w:sz w:val="22"/>
                      <w:szCs w:val="22"/>
                    </w:rPr>
                  </w:pPr>
                  <w:r>
                    <w:rPr>
                      <w:rFonts w:eastAsiaTheme="majorEastAsia"/>
                      <w:kern w:val="0"/>
                      <w:sz w:val="22"/>
                      <w:szCs w:val="22"/>
                    </w:rPr>
                    <w:t>0</w:t>
                  </w:r>
                </w:p>
              </w:tc>
              <w:tc>
                <w:tcPr>
                  <w:tcW w:w="687" w:type="pct"/>
                  <w:shd w:val="clear" w:color="auto" w:fill="auto"/>
                  <w:noWrap/>
                  <w:vAlign w:val="center"/>
                </w:tcPr>
                <w:p w14:paraId="6EF3A65F">
                  <w:pPr>
                    <w:widowControl/>
                    <w:jc w:val="center"/>
                    <w:rPr>
                      <w:rFonts w:eastAsiaTheme="majorEastAsia"/>
                      <w:kern w:val="0"/>
                      <w:sz w:val="22"/>
                      <w:szCs w:val="22"/>
                    </w:rPr>
                  </w:pPr>
                  <w:r>
                    <w:rPr>
                      <w:rFonts w:eastAsiaTheme="majorEastAsia"/>
                      <w:kern w:val="0"/>
                      <w:sz w:val="22"/>
                      <w:szCs w:val="22"/>
                    </w:rPr>
                    <w:t>0.1</w:t>
                  </w:r>
                </w:p>
              </w:tc>
              <w:tc>
                <w:tcPr>
                  <w:tcW w:w="1590" w:type="pct"/>
                  <w:shd w:val="clear" w:color="auto" w:fill="auto"/>
                  <w:vAlign w:val="center"/>
                </w:tcPr>
                <w:p w14:paraId="144286F8">
                  <w:pPr>
                    <w:widowControl/>
                    <w:jc w:val="center"/>
                    <w:rPr>
                      <w:rFonts w:eastAsiaTheme="majorEastAsia"/>
                      <w:kern w:val="0"/>
                      <w:sz w:val="22"/>
                      <w:szCs w:val="22"/>
                    </w:rPr>
                  </w:pPr>
                  <w:r>
                    <w:rPr>
                      <w:rFonts w:eastAsiaTheme="majorEastAsia"/>
                      <w:kern w:val="0"/>
                      <w:sz w:val="22"/>
                      <w:szCs w:val="22"/>
                    </w:rPr>
                    <w:t>新增，布袋除尘设备产生</w:t>
                  </w:r>
                </w:p>
              </w:tc>
            </w:tr>
          </w:tbl>
          <w:p w14:paraId="6647C2E5">
            <w:pPr>
              <w:jc w:val="center"/>
              <w:rPr>
                <w:b/>
                <w:sz w:val="24"/>
              </w:rPr>
            </w:pPr>
            <w:r>
              <w:rPr>
                <w:b/>
                <w:sz w:val="24"/>
              </w:rPr>
              <w:t>表4-15 本项目固体废物产生情况表</w:t>
            </w:r>
          </w:p>
          <w:tbl>
            <w:tblPr>
              <w:tblStyle w:val="46"/>
              <w:tblW w:w="486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7"/>
              <w:gridCol w:w="1096"/>
              <w:gridCol w:w="800"/>
              <w:gridCol w:w="790"/>
              <w:gridCol w:w="1313"/>
              <w:gridCol w:w="1340"/>
              <w:gridCol w:w="516"/>
              <w:gridCol w:w="870"/>
              <w:gridCol w:w="871"/>
            </w:tblGrid>
            <w:tr w14:paraId="38E76E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339" w:type="pct"/>
                  <w:shd w:val="clear" w:color="auto" w:fill="auto"/>
                  <w:vAlign w:val="center"/>
                </w:tcPr>
                <w:p w14:paraId="6A0CA8ED">
                  <w:pPr>
                    <w:widowControl/>
                    <w:jc w:val="center"/>
                    <w:rPr>
                      <w:b/>
                      <w:bCs/>
                      <w:kern w:val="0"/>
                      <w:szCs w:val="21"/>
                    </w:rPr>
                  </w:pPr>
                  <w:r>
                    <w:rPr>
                      <w:b/>
                      <w:bCs/>
                      <w:kern w:val="0"/>
                      <w:szCs w:val="21"/>
                    </w:rPr>
                    <w:t>序号</w:t>
                  </w:r>
                </w:p>
              </w:tc>
              <w:tc>
                <w:tcPr>
                  <w:tcW w:w="675" w:type="pct"/>
                  <w:shd w:val="clear" w:color="auto" w:fill="auto"/>
                  <w:vAlign w:val="center"/>
                </w:tcPr>
                <w:p w14:paraId="02B96EDB">
                  <w:pPr>
                    <w:widowControl/>
                    <w:jc w:val="center"/>
                    <w:rPr>
                      <w:b/>
                      <w:bCs/>
                      <w:kern w:val="0"/>
                      <w:szCs w:val="21"/>
                    </w:rPr>
                  </w:pPr>
                  <w:r>
                    <w:rPr>
                      <w:b/>
                      <w:bCs/>
                      <w:kern w:val="0"/>
                      <w:szCs w:val="21"/>
                    </w:rPr>
                    <w:t>产生环节</w:t>
                  </w:r>
                </w:p>
              </w:tc>
              <w:tc>
                <w:tcPr>
                  <w:tcW w:w="513" w:type="pct"/>
                  <w:shd w:val="clear" w:color="auto" w:fill="auto"/>
                  <w:vAlign w:val="center"/>
                </w:tcPr>
                <w:p w14:paraId="1EDE8A79">
                  <w:pPr>
                    <w:widowControl/>
                    <w:jc w:val="center"/>
                    <w:rPr>
                      <w:b/>
                      <w:bCs/>
                      <w:kern w:val="0"/>
                      <w:szCs w:val="21"/>
                    </w:rPr>
                  </w:pPr>
                  <w:r>
                    <w:rPr>
                      <w:b/>
                      <w:bCs/>
                      <w:kern w:val="0"/>
                      <w:szCs w:val="21"/>
                    </w:rPr>
                    <w:t>名称</w:t>
                  </w:r>
                </w:p>
              </w:tc>
              <w:tc>
                <w:tcPr>
                  <w:tcW w:w="507" w:type="pct"/>
                  <w:shd w:val="clear" w:color="auto" w:fill="auto"/>
                  <w:vAlign w:val="center"/>
                </w:tcPr>
                <w:p w14:paraId="5A72FF4D">
                  <w:pPr>
                    <w:widowControl/>
                    <w:jc w:val="center"/>
                    <w:rPr>
                      <w:b/>
                      <w:bCs/>
                      <w:kern w:val="0"/>
                      <w:szCs w:val="21"/>
                    </w:rPr>
                  </w:pPr>
                  <w:r>
                    <w:rPr>
                      <w:b/>
                      <w:bCs/>
                      <w:kern w:val="0"/>
                      <w:szCs w:val="21"/>
                    </w:rPr>
                    <w:t>属性</w:t>
                  </w:r>
                </w:p>
              </w:tc>
              <w:tc>
                <w:tcPr>
                  <w:tcW w:w="708" w:type="pct"/>
                  <w:shd w:val="clear" w:color="auto" w:fill="auto"/>
                  <w:vAlign w:val="center"/>
                </w:tcPr>
                <w:p w14:paraId="08B9186C">
                  <w:pPr>
                    <w:widowControl/>
                    <w:jc w:val="center"/>
                    <w:rPr>
                      <w:b/>
                      <w:bCs/>
                      <w:kern w:val="0"/>
                      <w:szCs w:val="21"/>
                    </w:rPr>
                  </w:pPr>
                  <w:r>
                    <w:rPr>
                      <w:b/>
                      <w:bCs/>
                      <w:kern w:val="0"/>
                      <w:szCs w:val="21"/>
                    </w:rPr>
                    <w:t>编码</w:t>
                  </w:r>
                </w:p>
              </w:tc>
              <w:tc>
                <w:tcPr>
                  <w:tcW w:w="846" w:type="pct"/>
                  <w:shd w:val="clear" w:color="auto" w:fill="auto"/>
                  <w:vAlign w:val="center"/>
                </w:tcPr>
                <w:p w14:paraId="3FEAACD8">
                  <w:pPr>
                    <w:widowControl/>
                    <w:jc w:val="center"/>
                    <w:rPr>
                      <w:b/>
                      <w:bCs/>
                      <w:kern w:val="0"/>
                      <w:szCs w:val="21"/>
                    </w:rPr>
                  </w:pPr>
                  <w:r>
                    <w:rPr>
                      <w:b/>
                      <w:bCs/>
                      <w:kern w:val="0"/>
                      <w:szCs w:val="21"/>
                    </w:rPr>
                    <w:t>主要有毒有害物质</w:t>
                  </w:r>
                </w:p>
              </w:tc>
              <w:tc>
                <w:tcPr>
                  <w:tcW w:w="338" w:type="pct"/>
                  <w:shd w:val="clear" w:color="auto" w:fill="auto"/>
                  <w:vAlign w:val="center"/>
                </w:tcPr>
                <w:p w14:paraId="28F5AA7E">
                  <w:pPr>
                    <w:widowControl/>
                    <w:jc w:val="center"/>
                    <w:rPr>
                      <w:b/>
                      <w:bCs/>
                      <w:kern w:val="0"/>
                      <w:szCs w:val="21"/>
                    </w:rPr>
                  </w:pPr>
                  <w:r>
                    <w:rPr>
                      <w:b/>
                      <w:bCs/>
                      <w:kern w:val="0"/>
                      <w:szCs w:val="21"/>
                    </w:rPr>
                    <w:t>物理性状</w:t>
                  </w:r>
                </w:p>
              </w:tc>
              <w:tc>
                <w:tcPr>
                  <w:tcW w:w="536" w:type="pct"/>
                  <w:shd w:val="clear" w:color="auto" w:fill="auto"/>
                  <w:vAlign w:val="center"/>
                </w:tcPr>
                <w:p w14:paraId="739A7D4F">
                  <w:pPr>
                    <w:widowControl/>
                    <w:jc w:val="center"/>
                    <w:rPr>
                      <w:b/>
                      <w:bCs/>
                      <w:kern w:val="0"/>
                      <w:szCs w:val="21"/>
                    </w:rPr>
                  </w:pPr>
                  <w:r>
                    <w:rPr>
                      <w:b/>
                      <w:bCs/>
                      <w:kern w:val="0"/>
                      <w:szCs w:val="21"/>
                    </w:rPr>
                    <w:t>环境危险特性</w:t>
                  </w:r>
                </w:p>
              </w:tc>
              <w:tc>
                <w:tcPr>
                  <w:tcW w:w="537" w:type="pct"/>
                  <w:shd w:val="clear" w:color="auto" w:fill="auto"/>
                  <w:vAlign w:val="center"/>
                </w:tcPr>
                <w:p w14:paraId="08C6423A">
                  <w:pPr>
                    <w:widowControl/>
                    <w:jc w:val="center"/>
                    <w:rPr>
                      <w:b/>
                      <w:bCs/>
                      <w:kern w:val="0"/>
                      <w:szCs w:val="21"/>
                    </w:rPr>
                  </w:pPr>
                  <w:r>
                    <w:rPr>
                      <w:b/>
                      <w:bCs/>
                      <w:kern w:val="0"/>
                      <w:szCs w:val="21"/>
                    </w:rPr>
                    <w:t>产生量（t/a）</w:t>
                  </w:r>
                </w:p>
              </w:tc>
            </w:tr>
            <w:tr w14:paraId="6BC229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9" w:type="pct"/>
                  <w:vMerge w:val="restart"/>
                  <w:shd w:val="clear" w:color="auto" w:fill="auto"/>
                  <w:vAlign w:val="center"/>
                </w:tcPr>
                <w:p w14:paraId="218FD699">
                  <w:pPr>
                    <w:widowControl/>
                    <w:jc w:val="center"/>
                    <w:rPr>
                      <w:kern w:val="0"/>
                      <w:szCs w:val="21"/>
                    </w:rPr>
                  </w:pPr>
                  <w:r>
                    <w:rPr>
                      <w:kern w:val="0"/>
                      <w:szCs w:val="21"/>
                    </w:rPr>
                    <w:t>1</w:t>
                  </w:r>
                </w:p>
              </w:tc>
              <w:tc>
                <w:tcPr>
                  <w:tcW w:w="675" w:type="pct"/>
                  <w:vMerge w:val="restart"/>
                  <w:shd w:val="clear" w:color="auto" w:fill="auto"/>
                  <w:noWrap/>
                  <w:vAlign w:val="center"/>
                </w:tcPr>
                <w:p w14:paraId="26287D2E">
                  <w:pPr>
                    <w:widowControl/>
                    <w:jc w:val="center"/>
                    <w:rPr>
                      <w:kern w:val="0"/>
                      <w:sz w:val="22"/>
                      <w:szCs w:val="22"/>
                    </w:rPr>
                  </w:pPr>
                  <w:r>
                    <w:rPr>
                      <w:kern w:val="0"/>
                      <w:sz w:val="22"/>
                      <w:szCs w:val="22"/>
                    </w:rPr>
                    <w:t>纺丝</w:t>
                  </w:r>
                </w:p>
              </w:tc>
              <w:tc>
                <w:tcPr>
                  <w:tcW w:w="513" w:type="pct"/>
                  <w:vMerge w:val="restart"/>
                  <w:shd w:val="clear" w:color="auto" w:fill="auto"/>
                  <w:vAlign w:val="center"/>
                </w:tcPr>
                <w:p w14:paraId="7A572021">
                  <w:pPr>
                    <w:widowControl/>
                    <w:jc w:val="center"/>
                    <w:rPr>
                      <w:kern w:val="0"/>
                      <w:szCs w:val="21"/>
                    </w:rPr>
                  </w:pPr>
                  <w:r>
                    <w:rPr>
                      <w:kern w:val="0"/>
                      <w:szCs w:val="21"/>
                    </w:rPr>
                    <w:t>废无油丝S1</w:t>
                  </w:r>
                </w:p>
              </w:tc>
              <w:tc>
                <w:tcPr>
                  <w:tcW w:w="507" w:type="pct"/>
                  <w:vMerge w:val="restart"/>
                  <w:shd w:val="clear" w:color="auto" w:fill="auto"/>
                  <w:vAlign w:val="center"/>
                </w:tcPr>
                <w:p w14:paraId="7B788AB2">
                  <w:pPr>
                    <w:widowControl/>
                    <w:jc w:val="center"/>
                    <w:rPr>
                      <w:kern w:val="0"/>
                      <w:szCs w:val="21"/>
                    </w:rPr>
                  </w:pPr>
                  <w:r>
                    <w:rPr>
                      <w:kern w:val="0"/>
                      <w:szCs w:val="21"/>
                    </w:rPr>
                    <w:t>一般固废</w:t>
                  </w:r>
                </w:p>
              </w:tc>
              <w:tc>
                <w:tcPr>
                  <w:tcW w:w="708" w:type="pct"/>
                  <w:vMerge w:val="restart"/>
                  <w:shd w:val="clear" w:color="auto" w:fill="auto"/>
                  <w:vAlign w:val="center"/>
                </w:tcPr>
                <w:p w14:paraId="5A6DC07B">
                  <w:pPr>
                    <w:widowControl/>
                    <w:jc w:val="center"/>
                    <w:rPr>
                      <w:kern w:val="0"/>
                      <w:szCs w:val="21"/>
                    </w:rPr>
                  </w:pPr>
                  <w:r>
                    <w:rPr>
                      <w:kern w:val="0"/>
                      <w:szCs w:val="21"/>
                    </w:rPr>
                    <w:t>181-001-S14</w:t>
                  </w:r>
                </w:p>
              </w:tc>
              <w:tc>
                <w:tcPr>
                  <w:tcW w:w="846" w:type="pct"/>
                  <w:vMerge w:val="restart"/>
                  <w:shd w:val="clear" w:color="auto" w:fill="auto"/>
                  <w:vAlign w:val="center"/>
                </w:tcPr>
                <w:p w14:paraId="3F7E053A">
                  <w:pPr>
                    <w:widowControl/>
                    <w:jc w:val="center"/>
                    <w:rPr>
                      <w:kern w:val="0"/>
                      <w:szCs w:val="21"/>
                    </w:rPr>
                  </w:pPr>
                  <w:r>
                    <w:rPr>
                      <w:kern w:val="0"/>
                      <w:szCs w:val="21"/>
                    </w:rPr>
                    <w:t>/</w:t>
                  </w:r>
                </w:p>
              </w:tc>
              <w:tc>
                <w:tcPr>
                  <w:tcW w:w="338" w:type="pct"/>
                  <w:vMerge w:val="restart"/>
                  <w:shd w:val="clear" w:color="auto" w:fill="auto"/>
                  <w:vAlign w:val="center"/>
                </w:tcPr>
                <w:p w14:paraId="609B540A">
                  <w:pPr>
                    <w:widowControl/>
                    <w:jc w:val="center"/>
                    <w:rPr>
                      <w:kern w:val="0"/>
                      <w:szCs w:val="21"/>
                    </w:rPr>
                  </w:pPr>
                  <w:r>
                    <w:rPr>
                      <w:kern w:val="0"/>
                      <w:szCs w:val="21"/>
                    </w:rPr>
                    <w:t>固态</w:t>
                  </w:r>
                </w:p>
              </w:tc>
              <w:tc>
                <w:tcPr>
                  <w:tcW w:w="536" w:type="pct"/>
                  <w:vMerge w:val="restart"/>
                  <w:shd w:val="clear" w:color="auto" w:fill="auto"/>
                  <w:vAlign w:val="center"/>
                </w:tcPr>
                <w:p w14:paraId="41F3F8E5">
                  <w:pPr>
                    <w:widowControl/>
                    <w:jc w:val="center"/>
                    <w:rPr>
                      <w:kern w:val="0"/>
                      <w:szCs w:val="21"/>
                    </w:rPr>
                  </w:pPr>
                  <w:r>
                    <w:rPr>
                      <w:kern w:val="0"/>
                      <w:szCs w:val="21"/>
                    </w:rPr>
                    <w:t>/</w:t>
                  </w:r>
                </w:p>
              </w:tc>
              <w:tc>
                <w:tcPr>
                  <w:tcW w:w="537" w:type="pct"/>
                  <w:vMerge w:val="restart"/>
                  <w:shd w:val="clear" w:color="auto" w:fill="auto"/>
                  <w:vAlign w:val="center"/>
                </w:tcPr>
                <w:p w14:paraId="47A04D4C">
                  <w:pPr>
                    <w:widowControl/>
                    <w:jc w:val="center"/>
                    <w:rPr>
                      <w:kern w:val="0"/>
                      <w:szCs w:val="21"/>
                    </w:rPr>
                  </w:pPr>
                  <w:r>
                    <w:rPr>
                      <w:kern w:val="0"/>
                      <w:szCs w:val="21"/>
                    </w:rPr>
                    <w:t>2304.2</w:t>
                  </w:r>
                </w:p>
              </w:tc>
            </w:tr>
            <w:tr w14:paraId="6C967B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9" w:type="pct"/>
                  <w:vMerge w:val="continue"/>
                  <w:vAlign w:val="center"/>
                </w:tcPr>
                <w:p w14:paraId="12CCC12E">
                  <w:pPr>
                    <w:widowControl/>
                    <w:jc w:val="left"/>
                    <w:rPr>
                      <w:kern w:val="0"/>
                      <w:szCs w:val="21"/>
                    </w:rPr>
                  </w:pPr>
                </w:p>
              </w:tc>
              <w:tc>
                <w:tcPr>
                  <w:tcW w:w="675" w:type="pct"/>
                  <w:vMerge w:val="continue"/>
                  <w:vAlign w:val="center"/>
                </w:tcPr>
                <w:p w14:paraId="541BB6AF">
                  <w:pPr>
                    <w:widowControl/>
                    <w:jc w:val="left"/>
                    <w:rPr>
                      <w:kern w:val="0"/>
                      <w:sz w:val="22"/>
                      <w:szCs w:val="22"/>
                    </w:rPr>
                  </w:pPr>
                </w:p>
              </w:tc>
              <w:tc>
                <w:tcPr>
                  <w:tcW w:w="513" w:type="pct"/>
                  <w:vMerge w:val="continue"/>
                  <w:vAlign w:val="center"/>
                </w:tcPr>
                <w:p w14:paraId="463C4186">
                  <w:pPr>
                    <w:widowControl/>
                    <w:jc w:val="left"/>
                    <w:rPr>
                      <w:kern w:val="0"/>
                      <w:szCs w:val="21"/>
                    </w:rPr>
                  </w:pPr>
                </w:p>
              </w:tc>
              <w:tc>
                <w:tcPr>
                  <w:tcW w:w="507" w:type="pct"/>
                  <w:vMerge w:val="continue"/>
                  <w:vAlign w:val="center"/>
                </w:tcPr>
                <w:p w14:paraId="10AA8561">
                  <w:pPr>
                    <w:widowControl/>
                    <w:jc w:val="left"/>
                    <w:rPr>
                      <w:kern w:val="0"/>
                      <w:szCs w:val="21"/>
                    </w:rPr>
                  </w:pPr>
                </w:p>
              </w:tc>
              <w:tc>
                <w:tcPr>
                  <w:tcW w:w="708" w:type="pct"/>
                  <w:vMerge w:val="continue"/>
                  <w:vAlign w:val="center"/>
                </w:tcPr>
                <w:p w14:paraId="78CB8997">
                  <w:pPr>
                    <w:widowControl/>
                    <w:jc w:val="left"/>
                    <w:rPr>
                      <w:kern w:val="0"/>
                      <w:szCs w:val="21"/>
                    </w:rPr>
                  </w:pPr>
                </w:p>
              </w:tc>
              <w:tc>
                <w:tcPr>
                  <w:tcW w:w="846" w:type="pct"/>
                  <w:vMerge w:val="continue"/>
                  <w:vAlign w:val="center"/>
                </w:tcPr>
                <w:p w14:paraId="336A5E44">
                  <w:pPr>
                    <w:widowControl/>
                    <w:jc w:val="left"/>
                    <w:rPr>
                      <w:kern w:val="0"/>
                      <w:szCs w:val="21"/>
                    </w:rPr>
                  </w:pPr>
                </w:p>
              </w:tc>
              <w:tc>
                <w:tcPr>
                  <w:tcW w:w="338" w:type="pct"/>
                  <w:vMerge w:val="continue"/>
                  <w:vAlign w:val="center"/>
                </w:tcPr>
                <w:p w14:paraId="12AF2CA6">
                  <w:pPr>
                    <w:widowControl/>
                    <w:jc w:val="left"/>
                    <w:rPr>
                      <w:kern w:val="0"/>
                      <w:szCs w:val="21"/>
                    </w:rPr>
                  </w:pPr>
                </w:p>
              </w:tc>
              <w:tc>
                <w:tcPr>
                  <w:tcW w:w="536" w:type="pct"/>
                  <w:vMerge w:val="continue"/>
                  <w:vAlign w:val="center"/>
                </w:tcPr>
                <w:p w14:paraId="65509CE4">
                  <w:pPr>
                    <w:widowControl/>
                    <w:jc w:val="left"/>
                    <w:rPr>
                      <w:kern w:val="0"/>
                      <w:szCs w:val="21"/>
                    </w:rPr>
                  </w:pPr>
                </w:p>
              </w:tc>
              <w:tc>
                <w:tcPr>
                  <w:tcW w:w="537" w:type="pct"/>
                  <w:vMerge w:val="continue"/>
                  <w:vAlign w:val="center"/>
                </w:tcPr>
                <w:p w14:paraId="609FC6B2">
                  <w:pPr>
                    <w:widowControl/>
                    <w:jc w:val="left"/>
                    <w:rPr>
                      <w:kern w:val="0"/>
                      <w:szCs w:val="21"/>
                    </w:rPr>
                  </w:pPr>
                </w:p>
              </w:tc>
            </w:tr>
            <w:tr w14:paraId="10CB9E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9" w:type="pct"/>
                  <w:shd w:val="clear" w:color="auto" w:fill="auto"/>
                  <w:vAlign w:val="center"/>
                </w:tcPr>
                <w:p w14:paraId="64171DFD">
                  <w:pPr>
                    <w:widowControl/>
                    <w:jc w:val="center"/>
                    <w:rPr>
                      <w:kern w:val="0"/>
                      <w:szCs w:val="21"/>
                    </w:rPr>
                  </w:pPr>
                  <w:r>
                    <w:rPr>
                      <w:kern w:val="0"/>
                      <w:szCs w:val="21"/>
                    </w:rPr>
                    <w:t>2</w:t>
                  </w:r>
                </w:p>
              </w:tc>
              <w:tc>
                <w:tcPr>
                  <w:tcW w:w="675" w:type="pct"/>
                  <w:vMerge w:val="continue"/>
                  <w:vAlign w:val="center"/>
                </w:tcPr>
                <w:p w14:paraId="65E662A0">
                  <w:pPr>
                    <w:widowControl/>
                    <w:jc w:val="left"/>
                    <w:rPr>
                      <w:kern w:val="0"/>
                      <w:sz w:val="22"/>
                      <w:szCs w:val="22"/>
                    </w:rPr>
                  </w:pPr>
                </w:p>
              </w:tc>
              <w:tc>
                <w:tcPr>
                  <w:tcW w:w="513" w:type="pct"/>
                  <w:shd w:val="clear" w:color="auto" w:fill="auto"/>
                  <w:vAlign w:val="center"/>
                </w:tcPr>
                <w:p w14:paraId="52628DA8">
                  <w:pPr>
                    <w:widowControl/>
                    <w:jc w:val="center"/>
                    <w:rPr>
                      <w:kern w:val="0"/>
                      <w:szCs w:val="21"/>
                    </w:rPr>
                  </w:pPr>
                  <w:r>
                    <w:rPr>
                      <w:kern w:val="0"/>
                      <w:szCs w:val="21"/>
                    </w:rPr>
                    <w:t>废含油丝S2</w:t>
                  </w:r>
                </w:p>
              </w:tc>
              <w:tc>
                <w:tcPr>
                  <w:tcW w:w="507" w:type="pct"/>
                  <w:shd w:val="clear" w:color="auto" w:fill="auto"/>
                  <w:vAlign w:val="center"/>
                </w:tcPr>
                <w:p w14:paraId="29E157B3">
                  <w:pPr>
                    <w:widowControl/>
                    <w:jc w:val="center"/>
                    <w:rPr>
                      <w:kern w:val="0"/>
                      <w:szCs w:val="21"/>
                    </w:rPr>
                  </w:pPr>
                  <w:r>
                    <w:rPr>
                      <w:kern w:val="0"/>
                      <w:szCs w:val="21"/>
                    </w:rPr>
                    <w:t>一般固废</w:t>
                  </w:r>
                </w:p>
              </w:tc>
              <w:tc>
                <w:tcPr>
                  <w:tcW w:w="708" w:type="pct"/>
                  <w:shd w:val="clear" w:color="auto" w:fill="auto"/>
                  <w:vAlign w:val="center"/>
                </w:tcPr>
                <w:p w14:paraId="44EE368F">
                  <w:pPr>
                    <w:widowControl/>
                    <w:jc w:val="center"/>
                    <w:rPr>
                      <w:kern w:val="0"/>
                      <w:szCs w:val="21"/>
                    </w:rPr>
                  </w:pPr>
                  <w:r>
                    <w:rPr>
                      <w:kern w:val="0"/>
                      <w:szCs w:val="21"/>
                    </w:rPr>
                    <w:t>181-001-S14</w:t>
                  </w:r>
                </w:p>
              </w:tc>
              <w:tc>
                <w:tcPr>
                  <w:tcW w:w="846" w:type="pct"/>
                  <w:shd w:val="clear" w:color="auto" w:fill="auto"/>
                  <w:vAlign w:val="center"/>
                </w:tcPr>
                <w:p w14:paraId="01AFDF33">
                  <w:pPr>
                    <w:widowControl/>
                    <w:jc w:val="center"/>
                    <w:rPr>
                      <w:kern w:val="0"/>
                      <w:szCs w:val="21"/>
                    </w:rPr>
                  </w:pPr>
                  <w:r>
                    <w:rPr>
                      <w:kern w:val="0"/>
                      <w:szCs w:val="21"/>
                    </w:rPr>
                    <w:t>/</w:t>
                  </w:r>
                </w:p>
              </w:tc>
              <w:tc>
                <w:tcPr>
                  <w:tcW w:w="338" w:type="pct"/>
                  <w:shd w:val="clear" w:color="auto" w:fill="auto"/>
                  <w:vAlign w:val="center"/>
                </w:tcPr>
                <w:p w14:paraId="5312536F">
                  <w:pPr>
                    <w:widowControl/>
                    <w:jc w:val="center"/>
                    <w:rPr>
                      <w:kern w:val="0"/>
                      <w:szCs w:val="21"/>
                    </w:rPr>
                  </w:pPr>
                  <w:r>
                    <w:rPr>
                      <w:kern w:val="0"/>
                      <w:szCs w:val="21"/>
                    </w:rPr>
                    <w:t>固态</w:t>
                  </w:r>
                </w:p>
              </w:tc>
              <w:tc>
                <w:tcPr>
                  <w:tcW w:w="536" w:type="pct"/>
                  <w:shd w:val="clear" w:color="auto" w:fill="auto"/>
                  <w:vAlign w:val="center"/>
                </w:tcPr>
                <w:p w14:paraId="0117B41B">
                  <w:pPr>
                    <w:widowControl/>
                    <w:jc w:val="center"/>
                    <w:rPr>
                      <w:kern w:val="0"/>
                      <w:szCs w:val="21"/>
                    </w:rPr>
                  </w:pPr>
                  <w:r>
                    <w:rPr>
                      <w:kern w:val="0"/>
                      <w:szCs w:val="21"/>
                    </w:rPr>
                    <w:t>/</w:t>
                  </w:r>
                </w:p>
              </w:tc>
              <w:tc>
                <w:tcPr>
                  <w:tcW w:w="537" w:type="pct"/>
                  <w:shd w:val="clear" w:color="auto" w:fill="auto"/>
                  <w:noWrap/>
                  <w:vAlign w:val="center"/>
                </w:tcPr>
                <w:p w14:paraId="05650DB5">
                  <w:pPr>
                    <w:widowControl/>
                    <w:jc w:val="center"/>
                    <w:rPr>
                      <w:kern w:val="0"/>
                      <w:szCs w:val="21"/>
                    </w:rPr>
                  </w:pPr>
                  <w:r>
                    <w:rPr>
                      <w:kern w:val="0"/>
                      <w:szCs w:val="21"/>
                    </w:rPr>
                    <w:t>2081</w:t>
                  </w:r>
                </w:p>
              </w:tc>
            </w:tr>
            <w:tr w14:paraId="71681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39" w:type="pct"/>
                  <w:vMerge w:val="restart"/>
                  <w:shd w:val="clear" w:color="auto" w:fill="auto"/>
                  <w:vAlign w:val="center"/>
                </w:tcPr>
                <w:p w14:paraId="6E8A112C">
                  <w:pPr>
                    <w:widowControl/>
                    <w:jc w:val="center"/>
                    <w:rPr>
                      <w:kern w:val="0"/>
                      <w:szCs w:val="21"/>
                    </w:rPr>
                  </w:pPr>
                  <w:r>
                    <w:rPr>
                      <w:kern w:val="0"/>
                      <w:szCs w:val="21"/>
                    </w:rPr>
                    <w:t>3</w:t>
                  </w:r>
                </w:p>
              </w:tc>
              <w:tc>
                <w:tcPr>
                  <w:tcW w:w="675" w:type="pct"/>
                  <w:vMerge w:val="restart"/>
                  <w:shd w:val="clear" w:color="auto" w:fill="auto"/>
                  <w:noWrap/>
                  <w:vAlign w:val="center"/>
                </w:tcPr>
                <w:p w14:paraId="41C1C7CA">
                  <w:pPr>
                    <w:widowControl/>
                    <w:jc w:val="center"/>
                    <w:rPr>
                      <w:kern w:val="0"/>
                      <w:sz w:val="22"/>
                      <w:szCs w:val="22"/>
                    </w:rPr>
                  </w:pPr>
                  <w:r>
                    <w:rPr>
                      <w:kern w:val="0"/>
                      <w:sz w:val="22"/>
                      <w:szCs w:val="22"/>
                    </w:rPr>
                    <w:t>废气处理</w:t>
                  </w:r>
                </w:p>
              </w:tc>
              <w:tc>
                <w:tcPr>
                  <w:tcW w:w="513" w:type="pct"/>
                  <w:vMerge w:val="restart"/>
                  <w:shd w:val="clear" w:color="auto" w:fill="auto"/>
                  <w:vAlign w:val="center"/>
                </w:tcPr>
                <w:p w14:paraId="421A77B6">
                  <w:pPr>
                    <w:widowControl/>
                    <w:jc w:val="center"/>
                    <w:rPr>
                      <w:kern w:val="0"/>
                      <w:szCs w:val="21"/>
                    </w:rPr>
                  </w:pPr>
                  <w:r>
                    <w:rPr>
                      <w:kern w:val="0"/>
                      <w:szCs w:val="21"/>
                    </w:rPr>
                    <w:t>废纺丝油剂S3</w:t>
                  </w:r>
                </w:p>
              </w:tc>
              <w:tc>
                <w:tcPr>
                  <w:tcW w:w="507" w:type="pct"/>
                  <w:vMerge w:val="restart"/>
                  <w:shd w:val="clear" w:color="auto" w:fill="auto"/>
                  <w:vAlign w:val="center"/>
                </w:tcPr>
                <w:p w14:paraId="0C6F471B">
                  <w:pPr>
                    <w:widowControl/>
                    <w:jc w:val="center"/>
                    <w:rPr>
                      <w:kern w:val="0"/>
                      <w:szCs w:val="21"/>
                    </w:rPr>
                  </w:pPr>
                  <w:r>
                    <w:rPr>
                      <w:kern w:val="0"/>
                      <w:szCs w:val="21"/>
                    </w:rPr>
                    <w:t>危险废物</w:t>
                  </w:r>
                </w:p>
              </w:tc>
              <w:tc>
                <w:tcPr>
                  <w:tcW w:w="708" w:type="pct"/>
                  <w:shd w:val="clear" w:color="auto" w:fill="auto"/>
                  <w:vAlign w:val="center"/>
                </w:tcPr>
                <w:p w14:paraId="24077CF3">
                  <w:pPr>
                    <w:widowControl/>
                    <w:jc w:val="center"/>
                    <w:rPr>
                      <w:kern w:val="0"/>
                      <w:szCs w:val="21"/>
                    </w:rPr>
                  </w:pPr>
                  <w:r>
                    <w:rPr>
                      <w:kern w:val="0"/>
                      <w:szCs w:val="21"/>
                    </w:rPr>
                    <w:t>HW08</w:t>
                  </w:r>
                </w:p>
              </w:tc>
              <w:tc>
                <w:tcPr>
                  <w:tcW w:w="846" w:type="pct"/>
                  <w:vMerge w:val="restart"/>
                  <w:shd w:val="clear" w:color="auto" w:fill="auto"/>
                  <w:vAlign w:val="center"/>
                </w:tcPr>
                <w:p w14:paraId="4E513B36">
                  <w:pPr>
                    <w:widowControl/>
                    <w:jc w:val="center"/>
                    <w:rPr>
                      <w:kern w:val="0"/>
                      <w:szCs w:val="21"/>
                    </w:rPr>
                  </w:pPr>
                  <w:r>
                    <w:rPr>
                      <w:kern w:val="0"/>
                      <w:szCs w:val="21"/>
                    </w:rPr>
                    <w:t xml:space="preserve">其他生产、销售、使用过程中产生的废矿物油 </w:t>
                  </w:r>
                </w:p>
              </w:tc>
              <w:tc>
                <w:tcPr>
                  <w:tcW w:w="338" w:type="pct"/>
                  <w:vMerge w:val="restart"/>
                  <w:shd w:val="clear" w:color="auto" w:fill="auto"/>
                  <w:vAlign w:val="center"/>
                </w:tcPr>
                <w:p w14:paraId="1D5964A8">
                  <w:pPr>
                    <w:widowControl/>
                    <w:jc w:val="center"/>
                    <w:rPr>
                      <w:kern w:val="0"/>
                      <w:szCs w:val="21"/>
                    </w:rPr>
                  </w:pPr>
                  <w:r>
                    <w:rPr>
                      <w:kern w:val="0"/>
                      <w:szCs w:val="21"/>
                    </w:rPr>
                    <w:t>液态</w:t>
                  </w:r>
                </w:p>
              </w:tc>
              <w:tc>
                <w:tcPr>
                  <w:tcW w:w="536" w:type="pct"/>
                  <w:vMerge w:val="restart"/>
                  <w:shd w:val="clear" w:color="auto" w:fill="auto"/>
                  <w:vAlign w:val="center"/>
                </w:tcPr>
                <w:p w14:paraId="097732F0">
                  <w:pPr>
                    <w:widowControl/>
                    <w:jc w:val="center"/>
                    <w:rPr>
                      <w:kern w:val="0"/>
                      <w:szCs w:val="21"/>
                    </w:rPr>
                  </w:pPr>
                  <w:r>
                    <w:rPr>
                      <w:kern w:val="0"/>
                      <w:szCs w:val="21"/>
                    </w:rPr>
                    <w:t>T，I</w:t>
                  </w:r>
                </w:p>
              </w:tc>
              <w:tc>
                <w:tcPr>
                  <w:tcW w:w="537" w:type="pct"/>
                  <w:vMerge w:val="restart"/>
                  <w:shd w:val="clear" w:color="auto" w:fill="auto"/>
                  <w:vAlign w:val="center"/>
                </w:tcPr>
                <w:p w14:paraId="3CE9D39D">
                  <w:pPr>
                    <w:widowControl/>
                    <w:jc w:val="center"/>
                    <w:rPr>
                      <w:kern w:val="0"/>
                      <w:szCs w:val="21"/>
                    </w:rPr>
                  </w:pPr>
                  <w:r>
                    <w:rPr>
                      <w:kern w:val="0"/>
                      <w:szCs w:val="21"/>
                    </w:rPr>
                    <w:t>70</w:t>
                  </w:r>
                </w:p>
              </w:tc>
            </w:tr>
            <w:tr w14:paraId="5FE70D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9" w:type="pct"/>
                  <w:vMerge w:val="continue"/>
                  <w:vAlign w:val="center"/>
                </w:tcPr>
                <w:p w14:paraId="406A3DE2">
                  <w:pPr>
                    <w:widowControl/>
                    <w:jc w:val="left"/>
                    <w:rPr>
                      <w:kern w:val="0"/>
                      <w:szCs w:val="21"/>
                    </w:rPr>
                  </w:pPr>
                </w:p>
              </w:tc>
              <w:tc>
                <w:tcPr>
                  <w:tcW w:w="675" w:type="pct"/>
                  <w:vMerge w:val="continue"/>
                  <w:vAlign w:val="center"/>
                </w:tcPr>
                <w:p w14:paraId="46D4D028">
                  <w:pPr>
                    <w:widowControl/>
                    <w:jc w:val="left"/>
                    <w:rPr>
                      <w:kern w:val="0"/>
                      <w:sz w:val="22"/>
                      <w:szCs w:val="22"/>
                    </w:rPr>
                  </w:pPr>
                </w:p>
              </w:tc>
              <w:tc>
                <w:tcPr>
                  <w:tcW w:w="513" w:type="pct"/>
                  <w:vMerge w:val="continue"/>
                  <w:vAlign w:val="center"/>
                </w:tcPr>
                <w:p w14:paraId="6D426C30">
                  <w:pPr>
                    <w:widowControl/>
                    <w:jc w:val="left"/>
                    <w:rPr>
                      <w:kern w:val="0"/>
                      <w:szCs w:val="21"/>
                    </w:rPr>
                  </w:pPr>
                </w:p>
              </w:tc>
              <w:tc>
                <w:tcPr>
                  <w:tcW w:w="507" w:type="pct"/>
                  <w:vMerge w:val="continue"/>
                  <w:vAlign w:val="center"/>
                </w:tcPr>
                <w:p w14:paraId="283D6F97">
                  <w:pPr>
                    <w:widowControl/>
                    <w:jc w:val="left"/>
                    <w:rPr>
                      <w:kern w:val="0"/>
                      <w:szCs w:val="21"/>
                    </w:rPr>
                  </w:pPr>
                </w:p>
              </w:tc>
              <w:tc>
                <w:tcPr>
                  <w:tcW w:w="708" w:type="pct"/>
                  <w:shd w:val="clear" w:color="auto" w:fill="auto"/>
                  <w:vAlign w:val="center"/>
                </w:tcPr>
                <w:p w14:paraId="57EEBAF6">
                  <w:pPr>
                    <w:widowControl/>
                    <w:jc w:val="center"/>
                    <w:rPr>
                      <w:kern w:val="0"/>
                      <w:szCs w:val="21"/>
                    </w:rPr>
                  </w:pPr>
                  <w:r>
                    <w:rPr>
                      <w:kern w:val="0"/>
                      <w:szCs w:val="21"/>
                    </w:rPr>
                    <w:t>900-249-08</w:t>
                  </w:r>
                </w:p>
              </w:tc>
              <w:tc>
                <w:tcPr>
                  <w:tcW w:w="846" w:type="pct"/>
                  <w:vMerge w:val="continue"/>
                  <w:vAlign w:val="center"/>
                </w:tcPr>
                <w:p w14:paraId="7C8757AA">
                  <w:pPr>
                    <w:widowControl/>
                    <w:jc w:val="left"/>
                    <w:rPr>
                      <w:kern w:val="0"/>
                      <w:szCs w:val="21"/>
                    </w:rPr>
                  </w:pPr>
                </w:p>
              </w:tc>
              <w:tc>
                <w:tcPr>
                  <w:tcW w:w="338" w:type="pct"/>
                  <w:vMerge w:val="continue"/>
                  <w:vAlign w:val="center"/>
                </w:tcPr>
                <w:p w14:paraId="6F3B0EF7">
                  <w:pPr>
                    <w:widowControl/>
                    <w:jc w:val="left"/>
                    <w:rPr>
                      <w:kern w:val="0"/>
                      <w:szCs w:val="21"/>
                    </w:rPr>
                  </w:pPr>
                </w:p>
              </w:tc>
              <w:tc>
                <w:tcPr>
                  <w:tcW w:w="536" w:type="pct"/>
                  <w:vMerge w:val="continue"/>
                  <w:vAlign w:val="center"/>
                </w:tcPr>
                <w:p w14:paraId="47B9FD76">
                  <w:pPr>
                    <w:widowControl/>
                    <w:jc w:val="left"/>
                    <w:rPr>
                      <w:kern w:val="0"/>
                      <w:szCs w:val="21"/>
                    </w:rPr>
                  </w:pPr>
                </w:p>
              </w:tc>
              <w:tc>
                <w:tcPr>
                  <w:tcW w:w="537" w:type="pct"/>
                  <w:vMerge w:val="continue"/>
                  <w:vAlign w:val="center"/>
                </w:tcPr>
                <w:p w14:paraId="453D68B7">
                  <w:pPr>
                    <w:widowControl/>
                    <w:jc w:val="left"/>
                    <w:rPr>
                      <w:kern w:val="0"/>
                      <w:szCs w:val="21"/>
                    </w:rPr>
                  </w:pPr>
                </w:p>
              </w:tc>
            </w:tr>
            <w:tr w14:paraId="5FAF43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339" w:type="pct"/>
                  <w:vMerge w:val="restart"/>
                  <w:shd w:val="clear" w:color="auto" w:fill="auto"/>
                  <w:vAlign w:val="center"/>
                </w:tcPr>
                <w:p w14:paraId="3E0ED21C">
                  <w:pPr>
                    <w:widowControl/>
                    <w:jc w:val="center"/>
                    <w:rPr>
                      <w:kern w:val="0"/>
                      <w:szCs w:val="21"/>
                    </w:rPr>
                  </w:pPr>
                  <w:r>
                    <w:rPr>
                      <w:kern w:val="0"/>
                      <w:szCs w:val="21"/>
                    </w:rPr>
                    <w:t>4</w:t>
                  </w:r>
                </w:p>
              </w:tc>
              <w:tc>
                <w:tcPr>
                  <w:tcW w:w="675" w:type="pct"/>
                  <w:vMerge w:val="restart"/>
                  <w:shd w:val="clear" w:color="auto" w:fill="auto"/>
                  <w:vAlign w:val="center"/>
                </w:tcPr>
                <w:p w14:paraId="599F43CD">
                  <w:pPr>
                    <w:widowControl/>
                    <w:jc w:val="center"/>
                    <w:rPr>
                      <w:kern w:val="0"/>
                      <w:szCs w:val="21"/>
                    </w:rPr>
                  </w:pPr>
                  <w:r>
                    <w:rPr>
                      <w:kern w:val="0"/>
                      <w:szCs w:val="21"/>
                    </w:rPr>
                    <w:t>设备维修</w:t>
                  </w:r>
                </w:p>
              </w:tc>
              <w:tc>
                <w:tcPr>
                  <w:tcW w:w="513" w:type="pct"/>
                  <w:vMerge w:val="restart"/>
                  <w:shd w:val="clear" w:color="auto" w:fill="auto"/>
                  <w:vAlign w:val="center"/>
                </w:tcPr>
                <w:p w14:paraId="4DF90230">
                  <w:pPr>
                    <w:widowControl/>
                    <w:jc w:val="center"/>
                    <w:rPr>
                      <w:kern w:val="0"/>
                      <w:szCs w:val="21"/>
                    </w:rPr>
                  </w:pPr>
                  <w:r>
                    <w:rPr>
                      <w:kern w:val="0"/>
                      <w:szCs w:val="21"/>
                    </w:rPr>
                    <w:t>废油S4</w:t>
                  </w:r>
                </w:p>
              </w:tc>
              <w:tc>
                <w:tcPr>
                  <w:tcW w:w="507" w:type="pct"/>
                  <w:vMerge w:val="restart"/>
                  <w:shd w:val="clear" w:color="auto" w:fill="auto"/>
                  <w:vAlign w:val="center"/>
                </w:tcPr>
                <w:p w14:paraId="64D5C8CC">
                  <w:pPr>
                    <w:widowControl/>
                    <w:jc w:val="center"/>
                    <w:rPr>
                      <w:kern w:val="0"/>
                      <w:szCs w:val="21"/>
                    </w:rPr>
                  </w:pPr>
                  <w:r>
                    <w:rPr>
                      <w:kern w:val="0"/>
                      <w:szCs w:val="21"/>
                    </w:rPr>
                    <w:t>危险废物</w:t>
                  </w:r>
                </w:p>
              </w:tc>
              <w:tc>
                <w:tcPr>
                  <w:tcW w:w="708" w:type="pct"/>
                  <w:shd w:val="clear" w:color="auto" w:fill="auto"/>
                  <w:vAlign w:val="center"/>
                </w:tcPr>
                <w:p w14:paraId="78852062">
                  <w:pPr>
                    <w:widowControl/>
                    <w:jc w:val="center"/>
                    <w:rPr>
                      <w:kern w:val="0"/>
                      <w:szCs w:val="21"/>
                    </w:rPr>
                  </w:pPr>
                  <w:r>
                    <w:rPr>
                      <w:kern w:val="0"/>
                      <w:szCs w:val="21"/>
                    </w:rPr>
                    <w:t>HW08</w:t>
                  </w:r>
                </w:p>
              </w:tc>
              <w:tc>
                <w:tcPr>
                  <w:tcW w:w="846" w:type="pct"/>
                  <w:vMerge w:val="restart"/>
                  <w:shd w:val="clear" w:color="auto" w:fill="auto"/>
                  <w:vAlign w:val="center"/>
                </w:tcPr>
                <w:p w14:paraId="26384D7C">
                  <w:pPr>
                    <w:widowControl/>
                    <w:jc w:val="center"/>
                    <w:rPr>
                      <w:kern w:val="0"/>
                      <w:szCs w:val="21"/>
                    </w:rPr>
                  </w:pPr>
                  <w:r>
                    <w:rPr>
                      <w:kern w:val="0"/>
                      <w:szCs w:val="21"/>
                    </w:rPr>
                    <w:t xml:space="preserve">其他生产、销售、使用过程中产生的废矿物油 </w:t>
                  </w:r>
                </w:p>
              </w:tc>
              <w:tc>
                <w:tcPr>
                  <w:tcW w:w="338" w:type="pct"/>
                  <w:vMerge w:val="restart"/>
                  <w:shd w:val="clear" w:color="auto" w:fill="auto"/>
                  <w:vAlign w:val="center"/>
                </w:tcPr>
                <w:p w14:paraId="59014784">
                  <w:pPr>
                    <w:widowControl/>
                    <w:jc w:val="center"/>
                    <w:rPr>
                      <w:kern w:val="0"/>
                      <w:szCs w:val="21"/>
                    </w:rPr>
                  </w:pPr>
                  <w:r>
                    <w:rPr>
                      <w:kern w:val="0"/>
                      <w:szCs w:val="21"/>
                    </w:rPr>
                    <w:t>液态</w:t>
                  </w:r>
                </w:p>
              </w:tc>
              <w:tc>
                <w:tcPr>
                  <w:tcW w:w="536" w:type="pct"/>
                  <w:vMerge w:val="restart"/>
                  <w:shd w:val="clear" w:color="auto" w:fill="auto"/>
                  <w:vAlign w:val="center"/>
                </w:tcPr>
                <w:p w14:paraId="21217902">
                  <w:pPr>
                    <w:widowControl/>
                    <w:jc w:val="center"/>
                    <w:rPr>
                      <w:kern w:val="0"/>
                      <w:szCs w:val="21"/>
                    </w:rPr>
                  </w:pPr>
                  <w:r>
                    <w:rPr>
                      <w:kern w:val="0"/>
                      <w:szCs w:val="21"/>
                    </w:rPr>
                    <w:t>T，I</w:t>
                  </w:r>
                </w:p>
              </w:tc>
              <w:tc>
                <w:tcPr>
                  <w:tcW w:w="537" w:type="pct"/>
                  <w:vMerge w:val="restart"/>
                  <w:shd w:val="clear" w:color="auto" w:fill="auto"/>
                  <w:vAlign w:val="center"/>
                </w:tcPr>
                <w:p w14:paraId="1C2C0457">
                  <w:pPr>
                    <w:widowControl/>
                    <w:jc w:val="center"/>
                    <w:rPr>
                      <w:kern w:val="0"/>
                      <w:szCs w:val="21"/>
                    </w:rPr>
                  </w:pPr>
                  <w:r>
                    <w:rPr>
                      <w:kern w:val="0"/>
                      <w:szCs w:val="21"/>
                    </w:rPr>
                    <w:t>20</w:t>
                  </w:r>
                </w:p>
              </w:tc>
            </w:tr>
            <w:tr w14:paraId="12B195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39" w:type="pct"/>
                  <w:vMerge w:val="continue"/>
                  <w:vAlign w:val="center"/>
                </w:tcPr>
                <w:p w14:paraId="61BB049D">
                  <w:pPr>
                    <w:widowControl/>
                    <w:jc w:val="left"/>
                    <w:rPr>
                      <w:kern w:val="0"/>
                      <w:szCs w:val="21"/>
                    </w:rPr>
                  </w:pPr>
                </w:p>
              </w:tc>
              <w:tc>
                <w:tcPr>
                  <w:tcW w:w="675" w:type="pct"/>
                  <w:vMerge w:val="continue"/>
                  <w:vAlign w:val="center"/>
                </w:tcPr>
                <w:p w14:paraId="5EACEE93">
                  <w:pPr>
                    <w:widowControl/>
                    <w:jc w:val="left"/>
                    <w:rPr>
                      <w:kern w:val="0"/>
                      <w:szCs w:val="21"/>
                    </w:rPr>
                  </w:pPr>
                </w:p>
              </w:tc>
              <w:tc>
                <w:tcPr>
                  <w:tcW w:w="513" w:type="pct"/>
                  <w:vMerge w:val="continue"/>
                  <w:vAlign w:val="center"/>
                </w:tcPr>
                <w:p w14:paraId="2B495AB1">
                  <w:pPr>
                    <w:widowControl/>
                    <w:jc w:val="left"/>
                    <w:rPr>
                      <w:kern w:val="0"/>
                      <w:szCs w:val="21"/>
                    </w:rPr>
                  </w:pPr>
                </w:p>
              </w:tc>
              <w:tc>
                <w:tcPr>
                  <w:tcW w:w="507" w:type="pct"/>
                  <w:vMerge w:val="continue"/>
                  <w:vAlign w:val="center"/>
                </w:tcPr>
                <w:p w14:paraId="3828F13F">
                  <w:pPr>
                    <w:widowControl/>
                    <w:jc w:val="left"/>
                    <w:rPr>
                      <w:kern w:val="0"/>
                      <w:szCs w:val="21"/>
                    </w:rPr>
                  </w:pPr>
                </w:p>
              </w:tc>
              <w:tc>
                <w:tcPr>
                  <w:tcW w:w="708" w:type="pct"/>
                  <w:shd w:val="clear" w:color="auto" w:fill="auto"/>
                  <w:vAlign w:val="center"/>
                </w:tcPr>
                <w:p w14:paraId="15BBD987">
                  <w:pPr>
                    <w:widowControl/>
                    <w:jc w:val="center"/>
                    <w:rPr>
                      <w:kern w:val="0"/>
                      <w:szCs w:val="21"/>
                    </w:rPr>
                  </w:pPr>
                  <w:r>
                    <w:rPr>
                      <w:kern w:val="0"/>
                      <w:szCs w:val="21"/>
                    </w:rPr>
                    <w:t>900-249-08</w:t>
                  </w:r>
                </w:p>
              </w:tc>
              <w:tc>
                <w:tcPr>
                  <w:tcW w:w="846" w:type="pct"/>
                  <w:vMerge w:val="continue"/>
                  <w:vAlign w:val="center"/>
                </w:tcPr>
                <w:p w14:paraId="6294C923">
                  <w:pPr>
                    <w:widowControl/>
                    <w:jc w:val="left"/>
                    <w:rPr>
                      <w:kern w:val="0"/>
                      <w:szCs w:val="21"/>
                    </w:rPr>
                  </w:pPr>
                </w:p>
              </w:tc>
              <w:tc>
                <w:tcPr>
                  <w:tcW w:w="338" w:type="pct"/>
                  <w:vMerge w:val="continue"/>
                  <w:vAlign w:val="center"/>
                </w:tcPr>
                <w:p w14:paraId="00F52D4B">
                  <w:pPr>
                    <w:widowControl/>
                    <w:jc w:val="left"/>
                    <w:rPr>
                      <w:kern w:val="0"/>
                      <w:szCs w:val="21"/>
                    </w:rPr>
                  </w:pPr>
                </w:p>
              </w:tc>
              <w:tc>
                <w:tcPr>
                  <w:tcW w:w="536" w:type="pct"/>
                  <w:vMerge w:val="continue"/>
                  <w:vAlign w:val="center"/>
                </w:tcPr>
                <w:p w14:paraId="58D74719">
                  <w:pPr>
                    <w:widowControl/>
                    <w:jc w:val="left"/>
                    <w:rPr>
                      <w:kern w:val="0"/>
                      <w:szCs w:val="21"/>
                    </w:rPr>
                  </w:pPr>
                </w:p>
              </w:tc>
              <w:tc>
                <w:tcPr>
                  <w:tcW w:w="537" w:type="pct"/>
                  <w:vMerge w:val="continue"/>
                  <w:vAlign w:val="center"/>
                </w:tcPr>
                <w:p w14:paraId="55CF7468">
                  <w:pPr>
                    <w:widowControl/>
                    <w:jc w:val="left"/>
                    <w:rPr>
                      <w:kern w:val="0"/>
                      <w:szCs w:val="21"/>
                    </w:rPr>
                  </w:pPr>
                </w:p>
              </w:tc>
            </w:tr>
            <w:tr w14:paraId="12D3FC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39" w:type="pct"/>
                  <w:vMerge w:val="restart"/>
                  <w:shd w:val="clear" w:color="auto" w:fill="auto"/>
                  <w:vAlign w:val="center"/>
                </w:tcPr>
                <w:p w14:paraId="41BE0954">
                  <w:pPr>
                    <w:widowControl/>
                    <w:jc w:val="center"/>
                    <w:rPr>
                      <w:kern w:val="0"/>
                      <w:szCs w:val="21"/>
                    </w:rPr>
                  </w:pPr>
                  <w:r>
                    <w:rPr>
                      <w:kern w:val="0"/>
                      <w:szCs w:val="21"/>
                    </w:rPr>
                    <w:t>5</w:t>
                  </w:r>
                </w:p>
              </w:tc>
              <w:tc>
                <w:tcPr>
                  <w:tcW w:w="675" w:type="pct"/>
                  <w:vMerge w:val="restart"/>
                  <w:shd w:val="clear" w:color="auto" w:fill="auto"/>
                  <w:vAlign w:val="center"/>
                </w:tcPr>
                <w:p w14:paraId="3278C517">
                  <w:pPr>
                    <w:widowControl/>
                    <w:jc w:val="center"/>
                    <w:rPr>
                      <w:kern w:val="0"/>
                      <w:szCs w:val="21"/>
                    </w:rPr>
                  </w:pPr>
                  <w:r>
                    <w:rPr>
                      <w:kern w:val="0"/>
                      <w:szCs w:val="21"/>
                    </w:rPr>
                    <w:t>设备维修</w:t>
                  </w:r>
                </w:p>
              </w:tc>
              <w:tc>
                <w:tcPr>
                  <w:tcW w:w="513" w:type="pct"/>
                  <w:vMerge w:val="restart"/>
                  <w:shd w:val="clear" w:color="auto" w:fill="auto"/>
                  <w:vAlign w:val="center"/>
                </w:tcPr>
                <w:p w14:paraId="5E2DDA92">
                  <w:pPr>
                    <w:widowControl/>
                    <w:jc w:val="center"/>
                    <w:rPr>
                      <w:kern w:val="0"/>
                      <w:szCs w:val="21"/>
                    </w:rPr>
                  </w:pPr>
                  <w:r>
                    <w:rPr>
                      <w:kern w:val="0"/>
                      <w:szCs w:val="21"/>
                    </w:rPr>
                    <w:t>废润滑油脂S5</w:t>
                  </w:r>
                </w:p>
              </w:tc>
              <w:tc>
                <w:tcPr>
                  <w:tcW w:w="507" w:type="pct"/>
                  <w:vMerge w:val="restart"/>
                  <w:shd w:val="clear" w:color="auto" w:fill="auto"/>
                  <w:vAlign w:val="center"/>
                </w:tcPr>
                <w:p w14:paraId="2026FD5D">
                  <w:pPr>
                    <w:widowControl/>
                    <w:jc w:val="center"/>
                    <w:rPr>
                      <w:kern w:val="0"/>
                      <w:szCs w:val="21"/>
                    </w:rPr>
                  </w:pPr>
                  <w:r>
                    <w:rPr>
                      <w:kern w:val="0"/>
                      <w:szCs w:val="21"/>
                    </w:rPr>
                    <w:t>危险废物</w:t>
                  </w:r>
                </w:p>
              </w:tc>
              <w:tc>
                <w:tcPr>
                  <w:tcW w:w="708" w:type="pct"/>
                  <w:shd w:val="clear" w:color="auto" w:fill="auto"/>
                  <w:vAlign w:val="center"/>
                </w:tcPr>
                <w:p w14:paraId="12D2A8F6">
                  <w:pPr>
                    <w:widowControl/>
                    <w:jc w:val="center"/>
                    <w:rPr>
                      <w:kern w:val="0"/>
                      <w:szCs w:val="21"/>
                    </w:rPr>
                  </w:pPr>
                  <w:r>
                    <w:rPr>
                      <w:kern w:val="0"/>
                      <w:szCs w:val="21"/>
                    </w:rPr>
                    <w:t>HW08</w:t>
                  </w:r>
                </w:p>
              </w:tc>
              <w:tc>
                <w:tcPr>
                  <w:tcW w:w="846" w:type="pct"/>
                  <w:vMerge w:val="restart"/>
                  <w:shd w:val="clear" w:color="auto" w:fill="auto"/>
                  <w:vAlign w:val="center"/>
                </w:tcPr>
                <w:p w14:paraId="36A8A67B">
                  <w:pPr>
                    <w:widowControl/>
                    <w:jc w:val="center"/>
                    <w:rPr>
                      <w:kern w:val="0"/>
                      <w:szCs w:val="21"/>
                    </w:rPr>
                  </w:pPr>
                  <w:r>
                    <w:rPr>
                      <w:kern w:val="0"/>
                      <w:szCs w:val="21"/>
                    </w:rPr>
                    <w:t xml:space="preserve">其他生产、销售、使用过程中产生的废矿物油 </w:t>
                  </w:r>
                </w:p>
              </w:tc>
              <w:tc>
                <w:tcPr>
                  <w:tcW w:w="338" w:type="pct"/>
                  <w:vMerge w:val="restart"/>
                  <w:shd w:val="clear" w:color="auto" w:fill="auto"/>
                  <w:vAlign w:val="center"/>
                </w:tcPr>
                <w:p w14:paraId="7F07909A">
                  <w:pPr>
                    <w:widowControl/>
                    <w:jc w:val="center"/>
                    <w:rPr>
                      <w:kern w:val="0"/>
                      <w:szCs w:val="21"/>
                    </w:rPr>
                  </w:pPr>
                  <w:r>
                    <w:rPr>
                      <w:kern w:val="0"/>
                      <w:szCs w:val="21"/>
                    </w:rPr>
                    <w:t>液态</w:t>
                  </w:r>
                </w:p>
              </w:tc>
              <w:tc>
                <w:tcPr>
                  <w:tcW w:w="536" w:type="pct"/>
                  <w:vMerge w:val="restart"/>
                  <w:shd w:val="clear" w:color="auto" w:fill="auto"/>
                  <w:vAlign w:val="center"/>
                </w:tcPr>
                <w:p w14:paraId="60434E91">
                  <w:pPr>
                    <w:widowControl/>
                    <w:jc w:val="center"/>
                    <w:rPr>
                      <w:kern w:val="0"/>
                      <w:szCs w:val="21"/>
                    </w:rPr>
                  </w:pPr>
                  <w:r>
                    <w:rPr>
                      <w:kern w:val="0"/>
                      <w:szCs w:val="21"/>
                    </w:rPr>
                    <w:t>T，I</w:t>
                  </w:r>
                </w:p>
              </w:tc>
              <w:tc>
                <w:tcPr>
                  <w:tcW w:w="537" w:type="pct"/>
                  <w:vMerge w:val="restart"/>
                  <w:shd w:val="clear" w:color="auto" w:fill="auto"/>
                  <w:vAlign w:val="center"/>
                </w:tcPr>
                <w:p w14:paraId="1129FCCD">
                  <w:pPr>
                    <w:widowControl/>
                    <w:jc w:val="center"/>
                    <w:rPr>
                      <w:kern w:val="0"/>
                      <w:szCs w:val="21"/>
                    </w:rPr>
                  </w:pPr>
                  <w:r>
                    <w:rPr>
                      <w:kern w:val="0"/>
                      <w:szCs w:val="21"/>
                    </w:rPr>
                    <w:t>0.2</w:t>
                  </w:r>
                </w:p>
              </w:tc>
            </w:tr>
            <w:tr w14:paraId="29E09D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39" w:type="pct"/>
                  <w:vMerge w:val="continue"/>
                  <w:vAlign w:val="center"/>
                </w:tcPr>
                <w:p w14:paraId="697A0FD6">
                  <w:pPr>
                    <w:widowControl/>
                    <w:jc w:val="left"/>
                    <w:rPr>
                      <w:kern w:val="0"/>
                      <w:szCs w:val="21"/>
                    </w:rPr>
                  </w:pPr>
                </w:p>
              </w:tc>
              <w:tc>
                <w:tcPr>
                  <w:tcW w:w="675" w:type="pct"/>
                  <w:vMerge w:val="continue"/>
                  <w:vAlign w:val="center"/>
                </w:tcPr>
                <w:p w14:paraId="0ABE61A8">
                  <w:pPr>
                    <w:widowControl/>
                    <w:jc w:val="left"/>
                    <w:rPr>
                      <w:kern w:val="0"/>
                      <w:szCs w:val="21"/>
                    </w:rPr>
                  </w:pPr>
                </w:p>
              </w:tc>
              <w:tc>
                <w:tcPr>
                  <w:tcW w:w="513" w:type="pct"/>
                  <w:vMerge w:val="continue"/>
                  <w:vAlign w:val="center"/>
                </w:tcPr>
                <w:p w14:paraId="44B52680">
                  <w:pPr>
                    <w:widowControl/>
                    <w:jc w:val="left"/>
                    <w:rPr>
                      <w:kern w:val="0"/>
                      <w:szCs w:val="21"/>
                    </w:rPr>
                  </w:pPr>
                </w:p>
              </w:tc>
              <w:tc>
                <w:tcPr>
                  <w:tcW w:w="507" w:type="pct"/>
                  <w:vMerge w:val="continue"/>
                  <w:vAlign w:val="center"/>
                </w:tcPr>
                <w:p w14:paraId="7492C660">
                  <w:pPr>
                    <w:widowControl/>
                    <w:jc w:val="left"/>
                    <w:rPr>
                      <w:kern w:val="0"/>
                      <w:szCs w:val="21"/>
                    </w:rPr>
                  </w:pPr>
                </w:p>
              </w:tc>
              <w:tc>
                <w:tcPr>
                  <w:tcW w:w="708" w:type="pct"/>
                  <w:shd w:val="clear" w:color="auto" w:fill="auto"/>
                  <w:vAlign w:val="center"/>
                </w:tcPr>
                <w:p w14:paraId="3DD154D3">
                  <w:pPr>
                    <w:widowControl/>
                    <w:jc w:val="center"/>
                    <w:rPr>
                      <w:kern w:val="0"/>
                      <w:szCs w:val="21"/>
                    </w:rPr>
                  </w:pPr>
                  <w:r>
                    <w:rPr>
                      <w:kern w:val="0"/>
                      <w:szCs w:val="21"/>
                    </w:rPr>
                    <w:t>900-249-08</w:t>
                  </w:r>
                </w:p>
              </w:tc>
              <w:tc>
                <w:tcPr>
                  <w:tcW w:w="846" w:type="pct"/>
                  <w:vMerge w:val="continue"/>
                  <w:vAlign w:val="center"/>
                </w:tcPr>
                <w:p w14:paraId="22AFF78C">
                  <w:pPr>
                    <w:widowControl/>
                    <w:jc w:val="left"/>
                    <w:rPr>
                      <w:kern w:val="0"/>
                      <w:szCs w:val="21"/>
                    </w:rPr>
                  </w:pPr>
                </w:p>
              </w:tc>
              <w:tc>
                <w:tcPr>
                  <w:tcW w:w="338" w:type="pct"/>
                  <w:vMerge w:val="continue"/>
                  <w:vAlign w:val="center"/>
                </w:tcPr>
                <w:p w14:paraId="53B887FB">
                  <w:pPr>
                    <w:widowControl/>
                    <w:jc w:val="left"/>
                    <w:rPr>
                      <w:kern w:val="0"/>
                      <w:szCs w:val="21"/>
                    </w:rPr>
                  </w:pPr>
                </w:p>
              </w:tc>
              <w:tc>
                <w:tcPr>
                  <w:tcW w:w="536" w:type="pct"/>
                  <w:vMerge w:val="continue"/>
                  <w:vAlign w:val="center"/>
                </w:tcPr>
                <w:p w14:paraId="69458504">
                  <w:pPr>
                    <w:widowControl/>
                    <w:jc w:val="left"/>
                    <w:rPr>
                      <w:kern w:val="0"/>
                      <w:szCs w:val="21"/>
                    </w:rPr>
                  </w:pPr>
                </w:p>
              </w:tc>
              <w:tc>
                <w:tcPr>
                  <w:tcW w:w="537" w:type="pct"/>
                  <w:vMerge w:val="continue"/>
                  <w:vAlign w:val="center"/>
                </w:tcPr>
                <w:p w14:paraId="2B0CECAE">
                  <w:pPr>
                    <w:widowControl/>
                    <w:jc w:val="left"/>
                    <w:rPr>
                      <w:kern w:val="0"/>
                      <w:szCs w:val="21"/>
                    </w:rPr>
                  </w:pPr>
                </w:p>
              </w:tc>
            </w:tr>
            <w:tr w14:paraId="434709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9" w:type="pct"/>
                  <w:vMerge w:val="restart"/>
                  <w:shd w:val="clear" w:color="auto" w:fill="auto"/>
                  <w:vAlign w:val="center"/>
                </w:tcPr>
                <w:p w14:paraId="28FBFDD4">
                  <w:pPr>
                    <w:widowControl/>
                    <w:jc w:val="center"/>
                    <w:rPr>
                      <w:kern w:val="0"/>
                      <w:szCs w:val="21"/>
                    </w:rPr>
                  </w:pPr>
                  <w:r>
                    <w:rPr>
                      <w:kern w:val="0"/>
                      <w:szCs w:val="21"/>
                    </w:rPr>
                    <w:t>6</w:t>
                  </w:r>
                </w:p>
              </w:tc>
              <w:tc>
                <w:tcPr>
                  <w:tcW w:w="675" w:type="pct"/>
                  <w:vMerge w:val="restart"/>
                  <w:shd w:val="clear" w:color="auto" w:fill="auto"/>
                  <w:vAlign w:val="center"/>
                </w:tcPr>
                <w:p w14:paraId="6645865B">
                  <w:pPr>
                    <w:widowControl/>
                    <w:jc w:val="center"/>
                    <w:rPr>
                      <w:kern w:val="0"/>
                      <w:szCs w:val="21"/>
                    </w:rPr>
                  </w:pPr>
                  <w:r>
                    <w:rPr>
                      <w:kern w:val="0"/>
                      <w:szCs w:val="21"/>
                    </w:rPr>
                    <w:t>物检</w:t>
                  </w:r>
                </w:p>
              </w:tc>
              <w:tc>
                <w:tcPr>
                  <w:tcW w:w="513" w:type="pct"/>
                  <w:vMerge w:val="restart"/>
                  <w:shd w:val="clear" w:color="auto" w:fill="auto"/>
                  <w:vAlign w:val="center"/>
                </w:tcPr>
                <w:p w14:paraId="144030D2">
                  <w:pPr>
                    <w:widowControl/>
                    <w:jc w:val="center"/>
                    <w:rPr>
                      <w:kern w:val="0"/>
                      <w:szCs w:val="21"/>
                    </w:rPr>
                  </w:pPr>
                  <w:r>
                    <w:rPr>
                      <w:kern w:val="0"/>
                      <w:szCs w:val="21"/>
                    </w:rPr>
                    <w:t>废有机溶剂S6</w:t>
                  </w:r>
                </w:p>
              </w:tc>
              <w:tc>
                <w:tcPr>
                  <w:tcW w:w="507" w:type="pct"/>
                  <w:vMerge w:val="restart"/>
                  <w:shd w:val="clear" w:color="auto" w:fill="auto"/>
                  <w:vAlign w:val="center"/>
                </w:tcPr>
                <w:p w14:paraId="7D9DA102">
                  <w:pPr>
                    <w:widowControl/>
                    <w:jc w:val="center"/>
                    <w:rPr>
                      <w:kern w:val="0"/>
                      <w:szCs w:val="21"/>
                    </w:rPr>
                  </w:pPr>
                  <w:r>
                    <w:rPr>
                      <w:kern w:val="0"/>
                      <w:szCs w:val="21"/>
                    </w:rPr>
                    <w:t>危险废物</w:t>
                  </w:r>
                </w:p>
              </w:tc>
              <w:tc>
                <w:tcPr>
                  <w:tcW w:w="708" w:type="pct"/>
                  <w:shd w:val="clear" w:color="auto" w:fill="auto"/>
                  <w:vAlign w:val="center"/>
                </w:tcPr>
                <w:p w14:paraId="2336B6D3">
                  <w:pPr>
                    <w:widowControl/>
                    <w:jc w:val="center"/>
                    <w:rPr>
                      <w:kern w:val="0"/>
                      <w:szCs w:val="21"/>
                    </w:rPr>
                  </w:pPr>
                  <w:r>
                    <w:rPr>
                      <w:kern w:val="0"/>
                      <w:szCs w:val="21"/>
                    </w:rPr>
                    <w:t>HW49</w:t>
                  </w:r>
                </w:p>
              </w:tc>
              <w:tc>
                <w:tcPr>
                  <w:tcW w:w="846" w:type="pct"/>
                  <w:vMerge w:val="restart"/>
                  <w:shd w:val="clear" w:color="auto" w:fill="auto"/>
                  <w:vAlign w:val="center"/>
                </w:tcPr>
                <w:p w14:paraId="0510821D">
                  <w:pPr>
                    <w:widowControl/>
                    <w:jc w:val="center"/>
                    <w:rPr>
                      <w:kern w:val="0"/>
                      <w:szCs w:val="21"/>
                    </w:rPr>
                  </w:pPr>
                  <w:r>
                    <w:rPr>
                      <w:kern w:val="0"/>
                      <w:szCs w:val="21"/>
                    </w:rPr>
                    <w:t xml:space="preserve">检测产生的有机溶剂 </w:t>
                  </w:r>
                </w:p>
              </w:tc>
              <w:tc>
                <w:tcPr>
                  <w:tcW w:w="338" w:type="pct"/>
                  <w:vMerge w:val="restart"/>
                  <w:shd w:val="clear" w:color="auto" w:fill="auto"/>
                  <w:vAlign w:val="center"/>
                </w:tcPr>
                <w:p w14:paraId="655C549F">
                  <w:pPr>
                    <w:widowControl/>
                    <w:jc w:val="center"/>
                    <w:rPr>
                      <w:kern w:val="0"/>
                      <w:szCs w:val="21"/>
                    </w:rPr>
                  </w:pPr>
                  <w:r>
                    <w:rPr>
                      <w:kern w:val="0"/>
                      <w:szCs w:val="21"/>
                    </w:rPr>
                    <w:t>液态</w:t>
                  </w:r>
                </w:p>
              </w:tc>
              <w:tc>
                <w:tcPr>
                  <w:tcW w:w="536" w:type="pct"/>
                  <w:vMerge w:val="restart"/>
                  <w:shd w:val="clear" w:color="auto" w:fill="auto"/>
                  <w:vAlign w:val="center"/>
                </w:tcPr>
                <w:p w14:paraId="2227398C">
                  <w:pPr>
                    <w:widowControl/>
                    <w:jc w:val="center"/>
                    <w:rPr>
                      <w:kern w:val="0"/>
                      <w:szCs w:val="21"/>
                    </w:rPr>
                  </w:pPr>
                  <w:r>
                    <w:rPr>
                      <w:kern w:val="0"/>
                      <w:szCs w:val="21"/>
                    </w:rPr>
                    <w:t xml:space="preserve">T/C/I/R </w:t>
                  </w:r>
                </w:p>
              </w:tc>
              <w:tc>
                <w:tcPr>
                  <w:tcW w:w="537" w:type="pct"/>
                  <w:vMerge w:val="restart"/>
                  <w:shd w:val="clear" w:color="auto" w:fill="auto"/>
                  <w:vAlign w:val="center"/>
                </w:tcPr>
                <w:p w14:paraId="55D764E8">
                  <w:pPr>
                    <w:widowControl/>
                    <w:jc w:val="center"/>
                    <w:rPr>
                      <w:kern w:val="0"/>
                      <w:szCs w:val="21"/>
                    </w:rPr>
                  </w:pPr>
                  <w:r>
                    <w:rPr>
                      <w:kern w:val="0"/>
                      <w:szCs w:val="21"/>
                    </w:rPr>
                    <w:t>1.5</w:t>
                  </w:r>
                </w:p>
              </w:tc>
            </w:tr>
            <w:tr w14:paraId="61BF1C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9" w:type="pct"/>
                  <w:vMerge w:val="continue"/>
                  <w:vAlign w:val="center"/>
                </w:tcPr>
                <w:p w14:paraId="1738B91B">
                  <w:pPr>
                    <w:widowControl/>
                    <w:jc w:val="left"/>
                    <w:rPr>
                      <w:kern w:val="0"/>
                      <w:szCs w:val="21"/>
                    </w:rPr>
                  </w:pPr>
                </w:p>
              </w:tc>
              <w:tc>
                <w:tcPr>
                  <w:tcW w:w="675" w:type="pct"/>
                  <w:vMerge w:val="continue"/>
                  <w:vAlign w:val="center"/>
                </w:tcPr>
                <w:p w14:paraId="7621F089">
                  <w:pPr>
                    <w:widowControl/>
                    <w:jc w:val="left"/>
                    <w:rPr>
                      <w:kern w:val="0"/>
                      <w:szCs w:val="21"/>
                    </w:rPr>
                  </w:pPr>
                </w:p>
              </w:tc>
              <w:tc>
                <w:tcPr>
                  <w:tcW w:w="513" w:type="pct"/>
                  <w:vMerge w:val="continue"/>
                  <w:vAlign w:val="center"/>
                </w:tcPr>
                <w:p w14:paraId="0F15ACA9">
                  <w:pPr>
                    <w:widowControl/>
                    <w:jc w:val="left"/>
                    <w:rPr>
                      <w:kern w:val="0"/>
                      <w:szCs w:val="21"/>
                    </w:rPr>
                  </w:pPr>
                </w:p>
              </w:tc>
              <w:tc>
                <w:tcPr>
                  <w:tcW w:w="507" w:type="pct"/>
                  <w:vMerge w:val="continue"/>
                  <w:vAlign w:val="center"/>
                </w:tcPr>
                <w:p w14:paraId="4D8D90A8">
                  <w:pPr>
                    <w:widowControl/>
                    <w:jc w:val="left"/>
                    <w:rPr>
                      <w:kern w:val="0"/>
                      <w:szCs w:val="21"/>
                    </w:rPr>
                  </w:pPr>
                </w:p>
              </w:tc>
              <w:tc>
                <w:tcPr>
                  <w:tcW w:w="708" w:type="pct"/>
                  <w:shd w:val="clear" w:color="auto" w:fill="auto"/>
                  <w:vAlign w:val="center"/>
                </w:tcPr>
                <w:p w14:paraId="4AF35EE3">
                  <w:pPr>
                    <w:widowControl/>
                    <w:jc w:val="center"/>
                    <w:rPr>
                      <w:kern w:val="0"/>
                      <w:szCs w:val="21"/>
                    </w:rPr>
                  </w:pPr>
                  <w:r>
                    <w:rPr>
                      <w:kern w:val="0"/>
                      <w:szCs w:val="21"/>
                    </w:rPr>
                    <w:t>900-047-49</w:t>
                  </w:r>
                </w:p>
              </w:tc>
              <w:tc>
                <w:tcPr>
                  <w:tcW w:w="846" w:type="pct"/>
                  <w:vMerge w:val="continue"/>
                  <w:vAlign w:val="center"/>
                </w:tcPr>
                <w:p w14:paraId="758C0CD8">
                  <w:pPr>
                    <w:widowControl/>
                    <w:jc w:val="left"/>
                    <w:rPr>
                      <w:kern w:val="0"/>
                      <w:szCs w:val="21"/>
                    </w:rPr>
                  </w:pPr>
                </w:p>
              </w:tc>
              <w:tc>
                <w:tcPr>
                  <w:tcW w:w="338" w:type="pct"/>
                  <w:vMerge w:val="continue"/>
                  <w:vAlign w:val="center"/>
                </w:tcPr>
                <w:p w14:paraId="18D5A744">
                  <w:pPr>
                    <w:widowControl/>
                    <w:jc w:val="left"/>
                    <w:rPr>
                      <w:kern w:val="0"/>
                      <w:szCs w:val="21"/>
                    </w:rPr>
                  </w:pPr>
                </w:p>
              </w:tc>
              <w:tc>
                <w:tcPr>
                  <w:tcW w:w="536" w:type="pct"/>
                  <w:vMerge w:val="continue"/>
                  <w:vAlign w:val="center"/>
                </w:tcPr>
                <w:p w14:paraId="577EABA7">
                  <w:pPr>
                    <w:widowControl/>
                    <w:jc w:val="left"/>
                    <w:rPr>
                      <w:kern w:val="0"/>
                      <w:szCs w:val="21"/>
                    </w:rPr>
                  </w:pPr>
                </w:p>
              </w:tc>
              <w:tc>
                <w:tcPr>
                  <w:tcW w:w="537" w:type="pct"/>
                  <w:vMerge w:val="continue"/>
                  <w:vAlign w:val="center"/>
                </w:tcPr>
                <w:p w14:paraId="318BF83D">
                  <w:pPr>
                    <w:widowControl/>
                    <w:jc w:val="left"/>
                    <w:rPr>
                      <w:kern w:val="0"/>
                      <w:szCs w:val="21"/>
                    </w:rPr>
                  </w:pPr>
                </w:p>
              </w:tc>
            </w:tr>
            <w:tr w14:paraId="5C34E4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9" w:type="pct"/>
                  <w:vMerge w:val="restart"/>
                  <w:shd w:val="clear" w:color="auto" w:fill="auto"/>
                  <w:vAlign w:val="center"/>
                </w:tcPr>
                <w:p w14:paraId="7BB3048C">
                  <w:pPr>
                    <w:widowControl/>
                    <w:jc w:val="center"/>
                    <w:rPr>
                      <w:kern w:val="0"/>
                      <w:szCs w:val="21"/>
                    </w:rPr>
                  </w:pPr>
                  <w:r>
                    <w:rPr>
                      <w:kern w:val="0"/>
                      <w:szCs w:val="21"/>
                    </w:rPr>
                    <w:t>7</w:t>
                  </w:r>
                </w:p>
              </w:tc>
              <w:tc>
                <w:tcPr>
                  <w:tcW w:w="675" w:type="pct"/>
                  <w:vMerge w:val="restart"/>
                  <w:shd w:val="clear" w:color="auto" w:fill="auto"/>
                  <w:vAlign w:val="center"/>
                </w:tcPr>
                <w:p w14:paraId="1DC26579">
                  <w:pPr>
                    <w:widowControl/>
                    <w:jc w:val="center"/>
                    <w:rPr>
                      <w:kern w:val="0"/>
                      <w:szCs w:val="21"/>
                    </w:rPr>
                  </w:pPr>
                  <w:r>
                    <w:rPr>
                      <w:kern w:val="0"/>
                      <w:szCs w:val="21"/>
                    </w:rPr>
                    <w:t>纺丝组件清洗</w:t>
                  </w:r>
                </w:p>
              </w:tc>
              <w:tc>
                <w:tcPr>
                  <w:tcW w:w="513" w:type="pct"/>
                  <w:vMerge w:val="restart"/>
                  <w:shd w:val="clear" w:color="auto" w:fill="auto"/>
                  <w:vAlign w:val="center"/>
                </w:tcPr>
                <w:p w14:paraId="45BB9B1D">
                  <w:pPr>
                    <w:widowControl/>
                    <w:jc w:val="center"/>
                    <w:rPr>
                      <w:kern w:val="0"/>
                      <w:szCs w:val="21"/>
                    </w:rPr>
                  </w:pPr>
                  <w:r>
                    <w:rPr>
                      <w:kern w:val="0"/>
                      <w:szCs w:val="21"/>
                    </w:rPr>
                    <w:t>废碱液S7</w:t>
                  </w:r>
                </w:p>
              </w:tc>
              <w:tc>
                <w:tcPr>
                  <w:tcW w:w="507" w:type="pct"/>
                  <w:vMerge w:val="restart"/>
                  <w:shd w:val="clear" w:color="auto" w:fill="auto"/>
                  <w:vAlign w:val="center"/>
                </w:tcPr>
                <w:p w14:paraId="493A7E4D">
                  <w:pPr>
                    <w:widowControl/>
                    <w:jc w:val="center"/>
                    <w:rPr>
                      <w:kern w:val="0"/>
                      <w:szCs w:val="21"/>
                    </w:rPr>
                  </w:pPr>
                  <w:r>
                    <w:rPr>
                      <w:kern w:val="0"/>
                      <w:szCs w:val="21"/>
                    </w:rPr>
                    <w:t>危险废物</w:t>
                  </w:r>
                </w:p>
              </w:tc>
              <w:tc>
                <w:tcPr>
                  <w:tcW w:w="708" w:type="pct"/>
                  <w:shd w:val="clear" w:color="auto" w:fill="auto"/>
                  <w:noWrap/>
                  <w:vAlign w:val="center"/>
                </w:tcPr>
                <w:p w14:paraId="640C36D9">
                  <w:pPr>
                    <w:widowControl/>
                    <w:jc w:val="center"/>
                    <w:rPr>
                      <w:kern w:val="0"/>
                      <w:szCs w:val="21"/>
                    </w:rPr>
                  </w:pPr>
                  <w:r>
                    <w:rPr>
                      <w:kern w:val="0"/>
                      <w:szCs w:val="21"/>
                    </w:rPr>
                    <w:t>HW35</w:t>
                  </w:r>
                </w:p>
              </w:tc>
              <w:tc>
                <w:tcPr>
                  <w:tcW w:w="846" w:type="pct"/>
                  <w:vMerge w:val="restart"/>
                  <w:shd w:val="clear" w:color="auto" w:fill="auto"/>
                  <w:vAlign w:val="center"/>
                </w:tcPr>
                <w:p w14:paraId="43A10BBB">
                  <w:pPr>
                    <w:widowControl/>
                    <w:jc w:val="center"/>
                    <w:rPr>
                      <w:kern w:val="0"/>
                      <w:szCs w:val="21"/>
                    </w:rPr>
                  </w:pPr>
                  <w:r>
                    <w:rPr>
                      <w:kern w:val="0"/>
                      <w:szCs w:val="21"/>
                    </w:rPr>
                    <w:t>清洗产生的废碱液</w:t>
                  </w:r>
                </w:p>
              </w:tc>
              <w:tc>
                <w:tcPr>
                  <w:tcW w:w="338" w:type="pct"/>
                  <w:vMerge w:val="restart"/>
                  <w:shd w:val="clear" w:color="auto" w:fill="auto"/>
                  <w:vAlign w:val="center"/>
                </w:tcPr>
                <w:p w14:paraId="144BEA2A">
                  <w:pPr>
                    <w:widowControl/>
                    <w:jc w:val="center"/>
                    <w:rPr>
                      <w:kern w:val="0"/>
                      <w:szCs w:val="21"/>
                    </w:rPr>
                  </w:pPr>
                  <w:r>
                    <w:rPr>
                      <w:kern w:val="0"/>
                      <w:szCs w:val="21"/>
                    </w:rPr>
                    <w:t>液态</w:t>
                  </w:r>
                </w:p>
              </w:tc>
              <w:tc>
                <w:tcPr>
                  <w:tcW w:w="536" w:type="pct"/>
                  <w:vMerge w:val="restart"/>
                  <w:shd w:val="clear" w:color="auto" w:fill="auto"/>
                  <w:vAlign w:val="center"/>
                </w:tcPr>
                <w:p w14:paraId="3F630FF2">
                  <w:pPr>
                    <w:widowControl/>
                    <w:jc w:val="center"/>
                    <w:rPr>
                      <w:kern w:val="0"/>
                      <w:szCs w:val="21"/>
                    </w:rPr>
                  </w:pPr>
                  <w:r>
                    <w:rPr>
                      <w:kern w:val="0"/>
                      <w:szCs w:val="21"/>
                    </w:rPr>
                    <w:t xml:space="preserve">T/C/I/R </w:t>
                  </w:r>
                </w:p>
              </w:tc>
              <w:tc>
                <w:tcPr>
                  <w:tcW w:w="537" w:type="pct"/>
                  <w:vMerge w:val="restart"/>
                  <w:shd w:val="clear" w:color="auto" w:fill="auto"/>
                  <w:vAlign w:val="center"/>
                </w:tcPr>
                <w:p w14:paraId="566783B7">
                  <w:pPr>
                    <w:widowControl/>
                    <w:jc w:val="center"/>
                    <w:rPr>
                      <w:kern w:val="0"/>
                      <w:szCs w:val="21"/>
                    </w:rPr>
                  </w:pPr>
                  <w:r>
                    <w:rPr>
                      <w:kern w:val="0"/>
                      <w:szCs w:val="21"/>
                    </w:rPr>
                    <w:t>10</w:t>
                  </w:r>
                </w:p>
              </w:tc>
            </w:tr>
            <w:tr w14:paraId="36DD96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9" w:type="pct"/>
                  <w:vMerge w:val="continue"/>
                  <w:vAlign w:val="center"/>
                </w:tcPr>
                <w:p w14:paraId="7426B86E">
                  <w:pPr>
                    <w:widowControl/>
                    <w:jc w:val="left"/>
                    <w:rPr>
                      <w:kern w:val="0"/>
                      <w:szCs w:val="21"/>
                    </w:rPr>
                  </w:pPr>
                </w:p>
              </w:tc>
              <w:tc>
                <w:tcPr>
                  <w:tcW w:w="675" w:type="pct"/>
                  <w:vMerge w:val="continue"/>
                  <w:vAlign w:val="center"/>
                </w:tcPr>
                <w:p w14:paraId="0C7E5418">
                  <w:pPr>
                    <w:widowControl/>
                    <w:jc w:val="left"/>
                    <w:rPr>
                      <w:kern w:val="0"/>
                      <w:szCs w:val="21"/>
                    </w:rPr>
                  </w:pPr>
                </w:p>
              </w:tc>
              <w:tc>
                <w:tcPr>
                  <w:tcW w:w="513" w:type="pct"/>
                  <w:vMerge w:val="continue"/>
                  <w:vAlign w:val="center"/>
                </w:tcPr>
                <w:p w14:paraId="656CC135">
                  <w:pPr>
                    <w:widowControl/>
                    <w:jc w:val="left"/>
                    <w:rPr>
                      <w:kern w:val="0"/>
                      <w:szCs w:val="21"/>
                    </w:rPr>
                  </w:pPr>
                </w:p>
              </w:tc>
              <w:tc>
                <w:tcPr>
                  <w:tcW w:w="507" w:type="pct"/>
                  <w:vMerge w:val="continue"/>
                  <w:vAlign w:val="center"/>
                </w:tcPr>
                <w:p w14:paraId="183CF9B4">
                  <w:pPr>
                    <w:widowControl/>
                    <w:jc w:val="left"/>
                    <w:rPr>
                      <w:kern w:val="0"/>
                      <w:szCs w:val="21"/>
                    </w:rPr>
                  </w:pPr>
                </w:p>
              </w:tc>
              <w:tc>
                <w:tcPr>
                  <w:tcW w:w="708" w:type="pct"/>
                  <w:shd w:val="clear" w:color="auto" w:fill="auto"/>
                  <w:noWrap/>
                  <w:vAlign w:val="center"/>
                </w:tcPr>
                <w:p w14:paraId="764433FF">
                  <w:pPr>
                    <w:widowControl/>
                    <w:jc w:val="center"/>
                    <w:rPr>
                      <w:kern w:val="0"/>
                      <w:szCs w:val="21"/>
                    </w:rPr>
                  </w:pPr>
                  <w:r>
                    <w:rPr>
                      <w:kern w:val="0"/>
                      <w:szCs w:val="21"/>
                    </w:rPr>
                    <w:t>900-352-35</w:t>
                  </w:r>
                </w:p>
              </w:tc>
              <w:tc>
                <w:tcPr>
                  <w:tcW w:w="846" w:type="pct"/>
                  <w:vMerge w:val="continue"/>
                  <w:vAlign w:val="center"/>
                </w:tcPr>
                <w:p w14:paraId="318BB406">
                  <w:pPr>
                    <w:widowControl/>
                    <w:jc w:val="left"/>
                    <w:rPr>
                      <w:kern w:val="0"/>
                      <w:szCs w:val="21"/>
                    </w:rPr>
                  </w:pPr>
                </w:p>
              </w:tc>
              <w:tc>
                <w:tcPr>
                  <w:tcW w:w="338" w:type="pct"/>
                  <w:vMerge w:val="continue"/>
                  <w:vAlign w:val="center"/>
                </w:tcPr>
                <w:p w14:paraId="578623B8">
                  <w:pPr>
                    <w:widowControl/>
                    <w:jc w:val="left"/>
                    <w:rPr>
                      <w:kern w:val="0"/>
                      <w:szCs w:val="21"/>
                    </w:rPr>
                  </w:pPr>
                </w:p>
              </w:tc>
              <w:tc>
                <w:tcPr>
                  <w:tcW w:w="536" w:type="pct"/>
                  <w:vMerge w:val="continue"/>
                  <w:vAlign w:val="center"/>
                </w:tcPr>
                <w:p w14:paraId="50152601">
                  <w:pPr>
                    <w:widowControl/>
                    <w:jc w:val="left"/>
                    <w:rPr>
                      <w:kern w:val="0"/>
                      <w:szCs w:val="21"/>
                    </w:rPr>
                  </w:pPr>
                </w:p>
              </w:tc>
              <w:tc>
                <w:tcPr>
                  <w:tcW w:w="537" w:type="pct"/>
                  <w:vMerge w:val="continue"/>
                  <w:vAlign w:val="center"/>
                </w:tcPr>
                <w:p w14:paraId="565FDE3C">
                  <w:pPr>
                    <w:widowControl/>
                    <w:jc w:val="left"/>
                    <w:rPr>
                      <w:kern w:val="0"/>
                      <w:szCs w:val="21"/>
                    </w:rPr>
                  </w:pPr>
                </w:p>
              </w:tc>
            </w:tr>
            <w:tr w14:paraId="7B0996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9" w:type="pct"/>
                  <w:shd w:val="clear" w:color="auto" w:fill="auto"/>
                  <w:vAlign w:val="center"/>
                </w:tcPr>
                <w:p w14:paraId="6DF25C4D">
                  <w:pPr>
                    <w:widowControl/>
                    <w:jc w:val="center"/>
                    <w:rPr>
                      <w:kern w:val="0"/>
                      <w:szCs w:val="21"/>
                    </w:rPr>
                  </w:pPr>
                  <w:r>
                    <w:rPr>
                      <w:kern w:val="0"/>
                      <w:szCs w:val="21"/>
                    </w:rPr>
                    <w:t>8</w:t>
                  </w:r>
                </w:p>
              </w:tc>
              <w:tc>
                <w:tcPr>
                  <w:tcW w:w="675" w:type="pct"/>
                  <w:shd w:val="clear" w:color="auto" w:fill="auto"/>
                  <w:vAlign w:val="center"/>
                </w:tcPr>
                <w:p w14:paraId="05CBEE03">
                  <w:pPr>
                    <w:widowControl/>
                    <w:jc w:val="center"/>
                    <w:rPr>
                      <w:kern w:val="0"/>
                      <w:szCs w:val="21"/>
                    </w:rPr>
                  </w:pPr>
                  <w:r>
                    <w:rPr>
                      <w:kern w:val="0"/>
                      <w:szCs w:val="21"/>
                    </w:rPr>
                    <w:t>废丝回收</w:t>
                  </w:r>
                </w:p>
              </w:tc>
              <w:tc>
                <w:tcPr>
                  <w:tcW w:w="513" w:type="pct"/>
                  <w:shd w:val="clear" w:color="auto" w:fill="auto"/>
                  <w:vAlign w:val="center"/>
                </w:tcPr>
                <w:p w14:paraId="7B769C43">
                  <w:pPr>
                    <w:widowControl/>
                    <w:jc w:val="center"/>
                    <w:rPr>
                      <w:kern w:val="0"/>
                      <w:szCs w:val="21"/>
                    </w:rPr>
                  </w:pPr>
                  <w:r>
                    <w:rPr>
                      <w:kern w:val="0"/>
                      <w:szCs w:val="21"/>
                    </w:rPr>
                    <w:t>杂质废料S8</w:t>
                  </w:r>
                </w:p>
              </w:tc>
              <w:tc>
                <w:tcPr>
                  <w:tcW w:w="507" w:type="pct"/>
                  <w:shd w:val="clear" w:color="auto" w:fill="auto"/>
                  <w:vAlign w:val="center"/>
                </w:tcPr>
                <w:p w14:paraId="1055B8DE">
                  <w:pPr>
                    <w:widowControl/>
                    <w:jc w:val="center"/>
                    <w:rPr>
                      <w:kern w:val="0"/>
                      <w:szCs w:val="21"/>
                    </w:rPr>
                  </w:pPr>
                  <w:r>
                    <w:rPr>
                      <w:kern w:val="0"/>
                      <w:szCs w:val="21"/>
                    </w:rPr>
                    <w:t>一般固废</w:t>
                  </w:r>
                </w:p>
              </w:tc>
              <w:tc>
                <w:tcPr>
                  <w:tcW w:w="708" w:type="pct"/>
                  <w:shd w:val="clear" w:color="auto" w:fill="auto"/>
                  <w:noWrap/>
                  <w:vAlign w:val="center"/>
                </w:tcPr>
                <w:p w14:paraId="43A1E04F">
                  <w:pPr>
                    <w:widowControl/>
                    <w:jc w:val="center"/>
                    <w:rPr>
                      <w:kern w:val="0"/>
                      <w:szCs w:val="21"/>
                    </w:rPr>
                  </w:pPr>
                  <w:r>
                    <w:rPr>
                      <w:kern w:val="0"/>
                      <w:szCs w:val="21"/>
                    </w:rPr>
                    <w:t>181-001-S14</w:t>
                  </w:r>
                </w:p>
              </w:tc>
              <w:tc>
                <w:tcPr>
                  <w:tcW w:w="846" w:type="pct"/>
                  <w:shd w:val="clear" w:color="auto" w:fill="auto"/>
                  <w:vAlign w:val="center"/>
                </w:tcPr>
                <w:p w14:paraId="3427115D">
                  <w:pPr>
                    <w:widowControl/>
                    <w:jc w:val="center"/>
                    <w:rPr>
                      <w:kern w:val="0"/>
                      <w:szCs w:val="21"/>
                    </w:rPr>
                  </w:pPr>
                  <w:r>
                    <w:rPr>
                      <w:kern w:val="0"/>
                      <w:szCs w:val="21"/>
                    </w:rPr>
                    <w:t xml:space="preserve">/ </w:t>
                  </w:r>
                </w:p>
              </w:tc>
              <w:tc>
                <w:tcPr>
                  <w:tcW w:w="338" w:type="pct"/>
                  <w:shd w:val="clear" w:color="auto" w:fill="auto"/>
                  <w:vAlign w:val="center"/>
                </w:tcPr>
                <w:p w14:paraId="59D1EE61">
                  <w:pPr>
                    <w:widowControl/>
                    <w:jc w:val="center"/>
                    <w:rPr>
                      <w:kern w:val="0"/>
                      <w:szCs w:val="21"/>
                    </w:rPr>
                  </w:pPr>
                  <w:r>
                    <w:rPr>
                      <w:kern w:val="0"/>
                      <w:szCs w:val="21"/>
                    </w:rPr>
                    <w:t>固态</w:t>
                  </w:r>
                </w:p>
              </w:tc>
              <w:tc>
                <w:tcPr>
                  <w:tcW w:w="536" w:type="pct"/>
                  <w:shd w:val="clear" w:color="auto" w:fill="auto"/>
                  <w:vAlign w:val="center"/>
                </w:tcPr>
                <w:p w14:paraId="65B2F805">
                  <w:pPr>
                    <w:widowControl/>
                    <w:jc w:val="center"/>
                    <w:rPr>
                      <w:kern w:val="0"/>
                      <w:szCs w:val="21"/>
                    </w:rPr>
                  </w:pPr>
                  <w:r>
                    <w:rPr>
                      <w:kern w:val="0"/>
                      <w:szCs w:val="21"/>
                    </w:rPr>
                    <w:t>/</w:t>
                  </w:r>
                </w:p>
              </w:tc>
              <w:tc>
                <w:tcPr>
                  <w:tcW w:w="537" w:type="pct"/>
                  <w:shd w:val="clear" w:color="auto" w:fill="auto"/>
                  <w:vAlign w:val="center"/>
                </w:tcPr>
                <w:p w14:paraId="1DE1D087">
                  <w:pPr>
                    <w:widowControl/>
                    <w:jc w:val="center"/>
                    <w:rPr>
                      <w:kern w:val="0"/>
                      <w:szCs w:val="21"/>
                    </w:rPr>
                  </w:pPr>
                  <w:r>
                    <w:rPr>
                      <w:kern w:val="0"/>
                      <w:szCs w:val="21"/>
                    </w:rPr>
                    <w:t>160</w:t>
                  </w:r>
                </w:p>
              </w:tc>
            </w:tr>
            <w:tr w14:paraId="7D63B5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9" w:type="pct"/>
                  <w:vMerge w:val="restart"/>
                  <w:shd w:val="clear" w:color="auto" w:fill="auto"/>
                  <w:noWrap/>
                  <w:vAlign w:val="center"/>
                </w:tcPr>
                <w:p w14:paraId="39DC7CBC">
                  <w:pPr>
                    <w:widowControl/>
                    <w:jc w:val="center"/>
                    <w:rPr>
                      <w:kern w:val="0"/>
                      <w:sz w:val="22"/>
                      <w:szCs w:val="22"/>
                    </w:rPr>
                  </w:pPr>
                  <w:r>
                    <w:rPr>
                      <w:kern w:val="0"/>
                      <w:sz w:val="22"/>
                      <w:szCs w:val="22"/>
                    </w:rPr>
                    <w:t>9</w:t>
                  </w:r>
                </w:p>
              </w:tc>
              <w:tc>
                <w:tcPr>
                  <w:tcW w:w="675" w:type="pct"/>
                  <w:vMerge w:val="restart"/>
                  <w:shd w:val="clear" w:color="auto" w:fill="auto"/>
                  <w:vAlign w:val="center"/>
                </w:tcPr>
                <w:p w14:paraId="5AAA077F">
                  <w:pPr>
                    <w:widowControl/>
                    <w:jc w:val="center"/>
                    <w:rPr>
                      <w:kern w:val="0"/>
                      <w:szCs w:val="21"/>
                    </w:rPr>
                  </w:pPr>
                  <w:r>
                    <w:rPr>
                      <w:kern w:val="0"/>
                      <w:szCs w:val="21"/>
                    </w:rPr>
                    <w:t>日常包装</w:t>
                  </w:r>
                </w:p>
              </w:tc>
              <w:tc>
                <w:tcPr>
                  <w:tcW w:w="513" w:type="pct"/>
                  <w:vMerge w:val="restart"/>
                  <w:shd w:val="clear" w:color="auto" w:fill="auto"/>
                  <w:vAlign w:val="center"/>
                </w:tcPr>
                <w:p w14:paraId="47EE6CC0">
                  <w:pPr>
                    <w:widowControl/>
                    <w:jc w:val="center"/>
                    <w:rPr>
                      <w:kern w:val="0"/>
                      <w:szCs w:val="21"/>
                    </w:rPr>
                  </w:pPr>
                  <w:r>
                    <w:rPr>
                      <w:kern w:val="0"/>
                      <w:szCs w:val="21"/>
                    </w:rPr>
                    <w:t>废包装桶S9</w:t>
                  </w:r>
                </w:p>
              </w:tc>
              <w:tc>
                <w:tcPr>
                  <w:tcW w:w="507" w:type="pct"/>
                  <w:vMerge w:val="restart"/>
                  <w:shd w:val="clear" w:color="auto" w:fill="auto"/>
                  <w:vAlign w:val="center"/>
                </w:tcPr>
                <w:p w14:paraId="20CEE4E2">
                  <w:pPr>
                    <w:widowControl/>
                    <w:jc w:val="center"/>
                    <w:rPr>
                      <w:kern w:val="0"/>
                      <w:szCs w:val="21"/>
                    </w:rPr>
                  </w:pPr>
                  <w:r>
                    <w:rPr>
                      <w:kern w:val="0"/>
                      <w:szCs w:val="21"/>
                    </w:rPr>
                    <w:t>危险废物</w:t>
                  </w:r>
                </w:p>
              </w:tc>
              <w:tc>
                <w:tcPr>
                  <w:tcW w:w="708" w:type="pct"/>
                  <w:shd w:val="clear" w:color="auto" w:fill="auto"/>
                  <w:vAlign w:val="center"/>
                </w:tcPr>
                <w:p w14:paraId="3C2F717E">
                  <w:pPr>
                    <w:widowControl/>
                    <w:jc w:val="center"/>
                    <w:rPr>
                      <w:kern w:val="0"/>
                      <w:szCs w:val="21"/>
                    </w:rPr>
                  </w:pPr>
                  <w:r>
                    <w:rPr>
                      <w:kern w:val="0"/>
                      <w:szCs w:val="21"/>
                    </w:rPr>
                    <w:t>HW 49</w:t>
                  </w:r>
                </w:p>
              </w:tc>
              <w:tc>
                <w:tcPr>
                  <w:tcW w:w="846" w:type="pct"/>
                  <w:vMerge w:val="restart"/>
                  <w:shd w:val="clear" w:color="auto" w:fill="auto"/>
                  <w:vAlign w:val="center"/>
                </w:tcPr>
                <w:p w14:paraId="0321BBE1">
                  <w:pPr>
                    <w:widowControl/>
                    <w:jc w:val="center"/>
                    <w:rPr>
                      <w:kern w:val="0"/>
                      <w:sz w:val="22"/>
                      <w:szCs w:val="22"/>
                    </w:rPr>
                  </w:pPr>
                  <w:r>
                    <w:rPr>
                      <w:kern w:val="0"/>
                      <w:sz w:val="22"/>
                      <w:szCs w:val="22"/>
                    </w:rPr>
                    <w:t xml:space="preserve">含有或沾染毒性、感染性危险废物的废弃包装 </w:t>
                  </w:r>
                  <w:r>
                    <w:rPr>
                      <w:kern w:val="0"/>
                      <w:sz w:val="22"/>
                      <w:szCs w:val="22"/>
                    </w:rPr>
                    <w:br w:type="textWrapping"/>
                  </w:r>
                  <w:r>
                    <w:rPr>
                      <w:kern w:val="0"/>
                      <w:sz w:val="22"/>
                      <w:szCs w:val="22"/>
                    </w:rPr>
                    <w:t>物、容器</w:t>
                  </w:r>
                </w:p>
              </w:tc>
              <w:tc>
                <w:tcPr>
                  <w:tcW w:w="338" w:type="pct"/>
                  <w:vMerge w:val="restart"/>
                  <w:shd w:val="clear" w:color="auto" w:fill="auto"/>
                  <w:vAlign w:val="center"/>
                </w:tcPr>
                <w:p w14:paraId="403156B1">
                  <w:pPr>
                    <w:widowControl/>
                    <w:jc w:val="center"/>
                    <w:rPr>
                      <w:kern w:val="0"/>
                      <w:szCs w:val="21"/>
                    </w:rPr>
                  </w:pPr>
                  <w:r>
                    <w:rPr>
                      <w:kern w:val="0"/>
                      <w:szCs w:val="21"/>
                    </w:rPr>
                    <w:t>固态</w:t>
                  </w:r>
                </w:p>
              </w:tc>
              <w:tc>
                <w:tcPr>
                  <w:tcW w:w="536" w:type="pct"/>
                  <w:vMerge w:val="restart"/>
                  <w:shd w:val="clear" w:color="auto" w:fill="auto"/>
                  <w:noWrap/>
                  <w:vAlign w:val="center"/>
                </w:tcPr>
                <w:p w14:paraId="3FD7A7BC">
                  <w:pPr>
                    <w:widowControl/>
                    <w:jc w:val="center"/>
                    <w:rPr>
                      <w:kern w:val="0"/>
                      <w:sz w:val="22"/>
                      <w:szCs w:val="22"/>
                    </w:rPr>
                  </w:pPr>
                  <w:r>
                    <w:rPr>
                      <w:kern w:val="0"/>
                      <w:sz w:val="22"/>
                      <w:szCs w:val="22"/>
                    </w:rPr>
                    <w:t>T/In</w:t>
                  </w:r>
                </w:p>
              </w:tc>
              <w:tc>
                <w:tcPr>
                  <w:tcW w:w="537" w:type="pct"/>
                  <w:vMerge w:val="restart"/>
                  <w:shd w:val="clear" w:color="auto" w:fill="auto"/>
                  <w:noWrap/>
                  <w:vAlign w:val="center"/>
                </w:tcPr>
                <w:p w14:paraId="4F4AA333">
                  <w:pPr>
                    <w:widowControl/>
                    <w:jc w:val="center"/>
                    <w:rPr>
                      <w:kern w:val="0"/>
                      <w:sz w:val="22"/>
                      <w:szCs w:val="22"/>
                    </w:rPr>
                  </w:pPr>
                  <w:r>
                    <w:rPr>
                      <w:kern w:val="0"/>
                      <w:sz w:val="22"/>
                      <w:szCs w:val="22"/>
                    </w:rPr>
                    <w:t>8</w:t>
                  </w:r>
                </w:p>
              </w:tc>
            </w:tr>
            <w:tr w14:paraId="5AA80C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9" w:type="pct"/>
                  <w:vMerge w:val="continue"/>
                  <w:vAlign w:val="center"/>
                </w:tcPr>
                <w:p w14:paraId="753488B0">
                  <w:pPr>
                    <w:widowControl/>
                    <w:jc w:val="left"/>
                    <w:rPr>
                      <w:kern w:val="0"/>
                      <w:sz w:val="22"/>
                      <w:szCs w:val="22"/>
                    </w:rPr>
                  </w:pPr>
                </w:p>
              </w:tc>
              <w:tc>
                <w:tcPr>
                  <w:tcW w:w="675" w:type="pct"/>
                  <w:vMerge w:val="continue"/>
                  <w:vAlign w:val="center"/>
                </w:tcPr>
                <w:p w14:paraId="7B6CC3A4">
                  <w:pPr>
                    <w:widowControl/>
                    <w:jc w:val="left"/>
                    <w:rPr>
                      <w:kern w:val="0"/>
                      <w:szCs w:val="21"/>
                    </w:rPr>
                  </w:pPr>
                </w:p>
              </w:tc>
              <w:tc>
                <w:tcPr>
                  <w:tcW w:w="513" w:type="pct"/>
                  <w:vMerge w:val="continue"/>
                  <w:vAlign w:val="center"/>
                </w:tcPr>
                <w:p w14:paraId="169A6696">
                  <w:pPr>
                    <w:widowControl/>
                    <w:jc w:val="left"/>
                    <w:rPr>
                      <w:kern w:val="0"/>
                      <w:szCs w:val="21"/>
                    </w:rPr>
                  </w:pPr>
                </w:p>
              </w:tc>
              <w:tc>
                <w:tcPr>
                  <w:tcW w:w="507" w:type="pct"/>
                  <w:vMerge w:val="continue"/>
                  <w:vAlign w:val="center"/>
                </w:tcPr>
                <w:p w14:paraId="3C5E53A5">
                  <w:pPr>
                    <w:widowControl/>
                    <w:jc w:val="left"/>
                    <w:rPr>
                      <w:kern w:val="0"/>
                      <w:szCs w:val="21"/>
                    </w:rPr>
                  </w:pPr>
                </w:p>
              </w:tc>
              <w:tc>
                <w:tcPr>
                  <w:tcW w:w="708" w:type="pct"/>
                  <w:shd w:val="clear" w:color="auto" w:fill="auto"/>
                  <w:vAlign w:val="center"/>
                </w:tcPr>
                <w:p w14:paraId="09BBC1E7">
                  <w:pPr>
                    <w:widowControl/>
                    <w:jc w:val="center"/>
                    <w:rPr>
                      <w:kern w:val="0"/>
                      <w:szCs w:val="21"/>
                    </w:rPr>
                  </w:pPr>
                  <w:r>
                    <w:rPr>
                      <w:kern w:val="0"/>
                      <w:szCs w:val="21"/>
                    </w:rPr>
                    <w:t>900-041-49</w:t>
                  </w:r>
                </w:p>
              </w:tc>
              <w:tc>
                <w:tcPr>
                  <w:tcW w:w="846" w:type="pct"/>
                  <w:vMerge w:val="continue"/>
                  <w:vAlign w:val="center"/>
                </w:tcPr>
                <w:p w14:paraId="030A700C">
                  <w:pPr>
                    <w:widowControl/>
                    <w:jc w:val="left"/>
                    <w:rPr>
                      <w:kern w:val="0"/>
                      <w:sz w:val="22"/>
                      <w:szCs w:val="22"/>
                    </w:rPr>
                  </w:pPr>
                </w:p>
              </w:tc>
              <w:tc>
                <w:tcPr>
                  <w:tcW w:w="338" w:type="pct"/>
                  <w:vMerge w:val="continue"/>
                  <w:vAlign w:val="center"/>
                </w:tcPr>
                <w:p w14:paraId="42792785">
                  <w:pPr>
                    <w:widowControl/>
                    <w:jc w:val="left"/>
                    <w:rPr>
                      <w:kern w:val="0"/>
                      <w:szCs w:val="21"/>
                    </w:rPr>
                  </w:pPr>
                </w:p>
              </w:tc>
              <w:tc>
                <w:tcPr>
                  <w:tcW w:w="536" w:type="pct"/>
                  <w:vMerge w:val="continue"/>
                  <w:vAlign w:val="center"/>
                </w:tcPr>
                <w:p w14:paraId="3CEDE4C6">
                  <w:pPr>
                    <w:widowControl/>
                    <w:jc w:val="left"/>
                    <w:rPr>
                      <w:kern w:val="0"/>
                      <w:sz w:val="22"/>
                      <w:szCs w:val="22"/>
                    </w:rPr>
                  </w:pPr>
                </w:p>
              </w:tc>
              <w:tc>
                <w:tcPr>
                  <w:tcW w:w="537" w:type="pct"/>
                  <w:vMerge w:val="continue"/>
                  <w:vAlign w:val="center"/>
                </w:tcPr>
                <w:p w14:paraId="0D6E470A">
                  <w:pPr>
                    <w:widowControl/>
                    <w:jc w:val="left"/>
                    <w:rPr>
                      <w:kern w:val="0"/>
                      <w:sz w:val="22"/>
                      <w:szCs w:val="22"/>
                    </w:rPr>
                  </w:pPr>
                </w:p>
              </w:tc>
            </w:tr>
            <w:tr w14:paraId="0A348C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9" w:type="pct"/>
                  <w:shd w:val="clear" w:color="auto" w:fill="auto"/>
                  <w:noWrap/>
                  <w:vAlign w:val="center"/>
                </w:tcPr>
                <w:p w14:paraId="7BF710E1">
                  <w:pPr>
                    <w:widowControl/>
                    <w:jc w:val="center"/>
                    <w:rPr>
                      <w:kern w:val="0"/>
                      <w:sz w:val="22"/>
                      <w:szCs w:val="22"/>
                    </w:rPr>
                  </w:pPr>
                  <w:r>
                    <w:rPr>
                      <w:kern w:val="0"/>
                      <w:sz w:val="22"/>
                      <w:szCs w:val="22"/>
                    </w:rPr>
                    <w:t>10</w:t>
                  </w:r>
                </w:p>
              </w:tc>
              <w:tc>
                <w:tcPr>
                  <w:tcW w:w="675" w:type="pct"/>
                  <w:shd w:val="clear" w:color="auto" w:fill="auto"/>
                  <w:vAlign w:val="center"/>
                </w:tcPr>
                <w:p w14:paraId="504F91C1">
                  <w:pPr>
                    <w:widowControl/>
                    <w:jc w:val="center"/>
                    <w:rPr>
                      <w:kern w:val="0"/>
                      <w:szCs w:val="21"/>
                    </w:rPr>
                  </w:pPr>
                  <w:r>
                    <w:rPr>
                      <w:kern w:val="0"/>
                      <w:szCs w:val="21"/>
                    </w:rPr>
                    <w:t>废丝回收</w:t>
                  </w:r>
                </w:p>
              </w:tc>
              <w:tc>
                <w:tcPr>
                  <w:tcW w:w="513" w:type="pct"/>
                  <w:shd w:val="clear" w:color="auto" w:fill="auto"/>
                  <w:vAlign w:val="center"/>
                </w:tcPr>
                <w:p w14:paraId="1797896F">
                  <w:pPr>
                    <w:widowControl/>
                    <w:jc w:val="center"/>
                    <w:rPr>
                      <w:kern w:val="0"/>
                      <w:szCs w:val="21"/>
                    </w:rPr>
                  </w:pPr>
                  <w:r>
                    <w:rPr>
                      <w:kern w:val="0"/>
                      <w:szCs w:val="21"/>
                    </w:rPr>
                    <w:t>摩擦料S10</w:t>
                  </w:r>
                </w:p>
              </w:tc>
              <w:tc>
                <w:tcPr>
                  <w:tcW w:w="507" w:type="pct"/>
                  <w:shd w:val="clear" w:color="auto" w:fill="auto"/>
                  <w:vAlign w:val="center"/>
                </w:tcPr>
                <w:p w14:paraId="2B802584">
                  <w:pPr>
                    <w:widowControl/>
                    <w:jc w:val="center"/>
                    <w:rPr>
                      <w:kern w:val="0"/>
                      <w:szCs w:val="21"/>
                    </w:rPr>
                  </w:pPr>
                  <w:r>
                    <w:rPr>
                      <w:kern w:val="0"/>
                      <w:szCs w:val="21"/>
                    </w:rPr>
                    <w:t>一般固废</w:t>
                  </w:r>
                </w:p>
              </w:tc>
              <w:tc>
                <w:tcPr>
                  <w:tcW w:w="708" w:type="pct"/>
                  <w:shd w:val="clear" w:color="auto" w:fill="auto"/>
                  <w:vAlign w:val="center"/>
                </w:tcPr>
                <w:p w14:paraId="6E2C09A6">
                  <w:pPr>
                    <w:widowControl/>
                    <w:jc w:val="center"/>
                    <w:rPr>
                      <w:kern w:val="0"/>
                      <w:szCs w:val="21"/>
                    </w:rPr>
                  </w:pPr>
                  <w:r>
                    <w:rPr>
                      <w:kern w:val="0"/>
                      <w:szCs w:val="21"/>
                    </w:rPr>
                    <w:t>181-001-S14</w:t>
                  </w:r>
                </w:p>
              </w:tc>
              <w:tc>
                <w:tcPr>
                  <w:tcW w:w="846" w:type="pct"/>
                  <w:shd w:val="clear" w:color="auto" w:fill="auto"/>
                  <w:vAlign w:val="center"/>
                </w:tcPr>
                <w:p w14:paraId="2A7B1733">
                  <w:pPr>
                    <w:widowControl/>
                    <w:jc w:val="center"/>
                    <w:rPr>
                      <w:kern w:val="0"/>
                      <w:szCs w:val="21"/>
                    </w:rPr>
                  </w:pPr>
                  <w:r>
                    <w:rPr>
                      <w:kern w:val="0"/>
                      <w:szCs w:val="21"/>
                    </w:rPr>
                    <w:t>/</w:t>
                  </w:r>
                </w:p>
              </w:tc>
              <w:tc>
                <w:tcPr>
                  <w:tcW w:w="338" w:type="pct"/>
                  <w:shd w:val="clear" w:color="auto" w:fill="auto"/>
                  <w:vAlign w:val="center"/>
                </w:tcPr>
                <w:p w14:paraId="4F35B699">
                  <w:pPr>
                    <w:widowControl/>
                    <w:jc w:val="center"/>
                    <w:rPr>
                      <w:kern w:val="0"/>
                      <w:szCs w:val="21"/>
                    </w:rPr>
                  </w:pPr>
                  <w:r>
                    <w:rPr>
                      <w:kern w:val="0"/>
                      <w:szCs w:val="21"/>
                    </w:rPr>
                    <w:t>固态</w:t>
                  </w:r>
                </w:p>
              </w:tc>
              <w:tc>
                <w:tcPr>
                  <w:tcW w:w="536" w:type="pct"/>
                  <w:shd w:val="clear" w:color="auto" w:fill="auto"/>
                  <w:vAlign w:val="center"/>
                </w:tcPr>
                <w:p w14:paraId="5AAAF8D4">
                  <w:pPr>
                    <w:widowControl/>
                    <w:jc w:val="center"/>
                    <w:rPr>
                      <w:kern w:val="0"/>
                      <w:szCs w:val="21"/>
                    </w:rPr>
                  </w:pPr>
                  <w:r>
                    <w:rPr>
                      <w:kern w:val="0"/>
                      <w:szCs w:val="21"/>
                    </w:rPr>
                    <w:t>/</w:t>
                  </w:r>
                </w:p>
              </w:tc>
              <w:tc>
                <w:tcPr>
                  <w:tcW w:w="537" w:type="pct"/>
                  <w:shd w:val="clear" w:color="auto" w:fill="auto"/>
                  <w:vAlign w:val="center"/>
                </w:tcPr>
                <w:p w14:paraId="6C18B069">
                  <w:pPr>
                    <w:widowControl/>
                    <w:jc w:val="center"/>
                    <w:rPr>
                      <w:kern w:val="0"/>
                      <w:szCs w:val="21"/>
                    </w:rPr>
                  </w:pPr>
                  <w:r>
                    <w:rPr>
                      <w:kern w:val="0"/>
                      <w:szCs w:val="21"/>
                    </w:rPr>
                    <w:t>24000</w:t>
                  </w:r>
                </w:p>
              </w:tc>
            </w:tr>
            <w:tr w14:paraId="23A1A1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9" w:type="pct"/>
                  <w:vMerge w:val="restart"/>
                  <w:shd w:val="clear" w:color="auto" w:fill="auto"/>
                  <w:noWrap/>
                  <w:vAlign w:val="center"/>
                </w:tcPr>
                <w:p w14:paraId="1CF93B3A">
                  <w:pPr>
                    <w:widowControl/>
                    <w:jc w:val="center"/>
                    <w:rPr>
                      <w:kern w:val="0"/>
                      <w:sz w:val="22"/>
                      <w:szCs w:val="22"/>
                    </w:rPr>
                  </w:pPr>
                  <w:r>
                    <w:rPr>
                      <w:kern w:val="0"/>
                      <w:sz w:val="22"/>
                      <w:szCs w:val="22"/>
                    </w:rPr>
                    <w:t>11</w:t>
                  </w:r>
                </w:p>
              </w:tc>
              <w:tc>
                <w:tcPr>
                  <w:tcW w:w="675" w:type="pct"/>
                  <w:vMerge w:val="restart"/>
                  <w:shd w:val="clear" w:color="auto" w:fill="auto"/>
                  <w:vAlign w:val="center"/>
                </w:tcPr>
                <w:p w14:paraId="2061F471">
                  <w:pPr>
                    <w:widowControl/>
                    <w:jc w:val="center"/>
                    <w:rPr>
                      <w:kern w:val="0"/>
                      <w:szCs w:val="21"/>
                    </w:rPr>
                  </w:pPr>
                  <w:r>
                    <w:rPr>
                      <w:kern w:val="0"/>
                      <w:szCs w:val="21"/>
                    </w:rPr>
                    <w:t>油罐清洗</w:t>
                  </w:r>
                </w:p>
              </w:tc>
              <w:tc>
                <w:tcPr>
                  <w:tcW w:w="513" w:type="pct"/>
                  <w:vMerge w:val="restart"/>
                  <w:shd w:val="clear" w:color="auto" w:fill="auto"/>
                  <w:vAlign w:val="center"/>
                </w:tcPr>
                <w:p w14:paraId="68EB5AC1">
                  <w:pPr>
                    <w:widowControl/>
                    <w:jc w:val="center"/>
                    <w:rPr>
                      <w:kern w:val="0"/>
                      <w:szCs w:val="21"/>
                    </w:rPr>
                  </w:pPr>
                  <w:r>
                    <w:rPr>
                      <w:kern w:val="0"/>
                      <w:szCs w:val="21"/>
                    </w:rPr>
                    <w:t>油泥S11</w:t>
                  </w:r>
                </w:p>
              </w:tc>
              <w:tc>
                <w:tcPr>
                  <w:tcW w:w="507" w:type="pct"/>
                  <w:vMerge w:val="restart"/>
                  <w:shd w:val="clear" w:color="auto" w:fill="auto"/>
                  <w:vAlign w:val="center"/>
                </w:tcPr>
                <w:p w14:paraId="280597CC">
                  <w:pPr>
                    <w:widowControl/>
                    <w:jc w:val="center"/>
                    <w:rPr>
                      <w:kern w:val="0"/>
                      <w:szCs w:val="21"/>
                    </w:rPr>
                  </w:pPr>
                  <w:r>
                    <w:rPr>
                      <w:kern w:val="0"/>
                      <w:szCs w:val="21"/>
                    </w:rPr>
                    <w:t>危险废物</w:t>
                  </w:r>
                </w:p>
              </w:tc>
              <w:tc>
                <w:tcPr>
                  <w:tcW w:w="708" w:type="pct"/>
                  <w:shd w:val="clear" w:color="auto" w:fill="auto"/>
                  <w:vAlign w:val="center"/>
                </w:tcPr>
                <w:p w14:paraId="799D4659">
                  <w:pPr>
                    <w:widowControl/>
                    <w:jc w:val="center"/>
                    <w:rPr>
                      <w:kern w:val="0"/>
                      <w:szCs w:val="21"/>
                    </w:rPr>
                  </w:pPr>
                  <w:r>
                    <w:rPr>
                      <w:kern w:val="0"/>
                      <w:szCs w:val="21"/>
                    </w:rPr>
                    <w:t>HW08</w:t>
                  </w:r>
                </w:p>
              </w:tc>
              <w:tc>
                <w:tcPr>
                  <w:tcW w:w="846" w:type="pct"/>
                  <w:vMerge w:val="restart"/>
                  <w:shd w:val="clear" w:color="auto" w:fill="auto"/>
                  <w:vAlign w:val="center"/>
                </w:tcPr>
                <w:p w14:paraId="21A0AAFC">
                  <w:pPr>
                    <w:widowControl/>
                    <w:jc w:val="center"/>
                    <w:rPr>
                      <w:kern w:val="0"/>
                      <w:sz w:val="22"/>
                      <w:szCs w:val="22"/>
                    </w:rPr>
                  </w:pPr>
                  <w:r>
                    <w:rPr>
                      <w:kern w:val="0"/>
                      <w:sz w:val="22"/>
                      <w:szCs w:val="22"/>
                    </w:rPr>
                    <w:t>废燃料油及燃料油储存过程中产生的油泥</w:t>
                  </w:r>
                </w:p>
              </w:tc>
              <w:tc>
                <w:tcPr>
                  <w:tcW w:w="338" w:type="pct"/>
                  <w:vMerge w:val="restart"/>
                  <w:shd w:val="clear" w:color="auto" w:fill="auto"/>
                  <w:vAlign w:val="center"/>
                </w:tcPr>
                <w:p w14:paraId="2BCC59B1">
                  <w:pPr>
                    <w:widowControl/>
                    <w:jc w:val="center"/>
                    <w:rPr>
                      <w:kern w:val="0"/>
                      <w:szCs w:val="21"/>
                    </w:rPr>
                  </w:pPr>
                  <w:r>
                    <w:rPr>
                      <w:kern w:val="0"/>
                      <w:szCs w:val="21"/>
                    </w:rPr>
                    <w:t>液态</w:t>
                  </w:r>
                </w:p>
              </w:tc>
              <w:tc>
                <w:tcPr>
                  <w:tcW w:w="536" w:type="pct"/>
                  <w:vMerge w:val="restart"/>
                  <w:shd w:val="clear" w:color="auto" w:fill="auto"/>
                  <w:vAlign w:val="center"/>
                </w:tcPr>
                <w:p w14:paraId="5999B477">
                  <w:pPr>
                    <w:widowControl/>
                    <w:jc w:val="center"/>
                    <w:rPr>
                      <w:kern w:val="0"/>
                      <w:szCs w:val="21"/>
                    </w:rPr>
                  </w:pPr>
                  <w:r>
                    <w:rPr>
                      <w:kern w:val="0"/>
                      <w:szCs w:val="21"/>
                    </w:rPr>
                    <w:t>T，I</w:t>
                  </w:r>
                </w:p>
              </w:tc>
              <w:tc>
                <w:tcPr>
                  <w:tcW w:w="537" w:type="pct"/>
                  <w:vMerge w:val="restart"/>
                  <w:shd w:val="clear" w:color="auto" w:fill="auto"/>
                  <w:noWrap/>
                  <w:vAlign w:val="center"/>
                </w:tcPr>
                <w:p w14:paraId="78AD18E9">
                  <w:pPr>
                    <w:widowControl/>
                    <w:jc w:val="center"/>
                    <w:rPr>
                      <w:kern w:val="0"/>
                      <w:sz w:val="22"/>
                      <w:szCs w:val="22"/>
                    </w:rPr>
                  </w:pPr>
                  <w:r>
                    <w:rPr>
                      <w:kern w:val="0"/>
                      <w:sz w:val="22"/>
                      <w:szCs w:val="22"/>
                    </w:rPr>
                    <w:t>0.1</w:t>
                  </w:r>
                </w:p>
              </w:tc>
            </w:tr>
            <w:tr w14:paraId="2CD2D1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9" w:type="pct"/>
                  <w:vMerge w:val="continue"/>
                  <w:vAlign w:val="center"/>
                </w:tcPr>
                <w:p w14:paraId="0AAF137B">
                  <w:pPr>
                    <w:widowControl/>
                    <w:jc w:val="left"/>
                    <w:rPr>
                      <w:kern w:val="0"/>
                      <w:sz w:val="22"/>
                      <w:szCs w:val="22"/>
                    </w:rPr>
                  </w:pPr>
                </w:p>
              </w:tc>
              <w:tc>
                <w:tcPr>
                  <w:tcW w:w="675" w:type="pct"/>
                  <w:vMerge w:val="continue"/>
                  <w:vAlign w:val="center"/>
                </w:tcPr>
                <w:p w14:paraId="798B1AC4">
                  <w:pPr>
                    <w:widowControl/>
                    <w:jc w:val="left"/>
                    <w:rPr>
                      <w:kern w:val="0"/>
                      <w:szCs w:val="21"/>
                    </w:rPr>
                  </w:pPr>
                </w:p>
              </w:tc>
              <w:tc>
                <w:tcPr>
                  <w:tcW w:w="513" w:type="pct"/>
                  <w:vMerge w:val="continue"/>
                  <w:vAlign w:val="center"/>
                </w:tcPr>
                <w:p w14:paraId="688EBD2C">
                  <w:pPr>
                    <w:widowControl/>
                    <w:jc w:val="left"/>
                    <w:rPr>
                      <w:kern w:val="0"/>
                      <w:szCs w:val="21"/>
                    </w:rPr>
                  </w:pPr>
                </w:p>
              </w:tc>
              <w:tc>
                <w:tcPr>
                  <w:tcW w:w="507" w:type="pct"/>
                  <w:vMerge w:val="continue"/>
                  <w:vAlign w:val="center"/>
                </w:tcPr>
                <w:p w14:paraId="46FC3772">
                  <w:pPr>
                    <w:widowControl/>
                    <w:jc w:val="left"/>
                    <w:rPr>
                      <w:kern w:val="0"/>
                      <w:szCs w:val="21"/>
                    </w:rPr>
                  </w:pPr>
                </w:p>
              </w:tc>
              <w:tc>
                <w:tcPr>
                  <w:tcW w:w="708" w:type="pct"/>
                  <w:shd w:val="clear" w:color="auto" w:fill="auto"/>
                  <w:vAlign w:val="center"/>
                </w:tcPr>
                <w:p w14:paraId="54E7F0EC">
                  <w:pPr>
                    <w:widowControl/>
                    <w:jc w:val="center"/>
                    <w:rPr>
                      <w:kern w:val="0"/>
                      <w:szCs w:val="21"/>
                    </w:rPr>
                  </w:pPr>
                  <w:r>
                    <w:rPr>
                      <w:kern w:val="0"/>
                      <w:szCs w:val="21"/>
                    </w:rPr>
                    <w:t>900-221-08</w:t>
                  </w:r>
                </w:p>
              </w:tc>
              <w:tc>
                <w:tcPr>
                  <w:tcW w:w="846" w:type="pct"/>
                  <w:vMerge w:val="continue"/>
                  <w:vAlign w:val="center"/>
                </w:tcPr>
                <w:p w14:paraId="611265C6">
                  <w:pPr>
                    <w:widowControl/>
                    <w:jc w:val="left"/>
                    <w:rPr>
                      <w:kern w:val="0"/>
                      <w:sz w:val="22"/>
                      <w:szCs w:val="22"/>
                    </w:rPr>
                  </w:pPr>
                </w:p>
              </w:tc>
              <w:tc>
                <w:tcPr>
                  <w:tcW w:w="338" w:type="pct"/>
                  <w:vMerge w:val="continue"/>
                  <w:vAlign w:val="center"/>
                </w:tcPr>
                <w:p w14:paraId="19D7472E">
                  <w:pPr>
                    <w:widowControl/>
                    <w:jc w:val="left"/>
                    <w:rPr>
                      <w:kern w:val="0"/>
                      <w:szCs w:val="21"/>
                    </w:rPr>
                  </w:pPr>
                </w:p>
              </w:tc>
              <w:tc>
                <w:tcPr>
                  <w:tcW w:w="536" w:type="pct"/>
                  <w:vMerge w:val="continue"/>
                  <w:vAlign w:val="center"/>
                </w:tcPr>
                <w:p w14:paraId="72D278EA">
                  <w:pPr>
                    <w:widowControl/>
                    <w:jc w:val="left"/>
                    <w:rPr>
                      <w:kern w:val="0"/>
                      <w:szCs w:val="21"/>
                    </w:rPr>
                  </w:pPr>
                </w:p>
              </w:tc>
              <w:tc>
                <w:tcPr>
                  <w:tcW w:w="537" w:type="pct"/>
                  <w:vMerge w:val="continue"/>
                  <w:vAlign w:val="center"/>
                </w:tcPr>
                <w:p w14:paraId="0F75949C">
                  <w:pPr>
                    <w:widowControl/>
                    <w:jc w:val="left"/>
                    <w:rPr>
                      <w:kern w:val="0"/>
                      <w:sz w:val="22"/>
                      <w:szCs w:val="22"/>
                    </w:rPr>
                  </w:pPr>
                </w:p>
              </w:tc>
            </w:tr>
            <w:tr w14:paraId="25394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9" w:type="pct"/>
                  <w:shd w:val="clear" w:color="auto" w:fill="auto"/>
                  <w:noWrap/>
                  <w:vAlign w:val="center"/>
                </w:tcPr>
                <w:p w14:paraId="2EC98657">
                  <w:pPr>
                    <w:widowControl/>
                    <w:jc w:val="center"/>
                    <w:rPr>
                      <w:kern w:val="0"/>
                      <w:sz w:val="22"/>
                      <w:szCs w:val="22"/>
                    </w:rPr>
                  </w:pPr>
                  <w:r>
                    <w:rPr>
                      <w:kern w:val="0"/>
                      <w:sz w:val="22"/>
                      <w:szCs w:val="22"/>
                    </w:rPr>
                    <w:t>12</w:t>
                  </w:r>
                </w:p>
              </w:tc>
              <w:tc>
                <w:tcPr>
                  <w:tcW w:w="675" w:type="pct"/>
                  <w:shd w:val="clear" w:color="auto" w:fill="auto"/>
                  <w:vAlign w:val="center"/>
                </w:tcPr>
                <w:p w14:paraId="043391E6">
                  <w:pPr>
                    <w:widowControl/>
                    <w:jc w:val="center"/>
                    <w:rPr>
                      <w:kern w:val="0"/>
                      <w:szCs w:val="21"/>
                    </w:rPr>
                  </w:pPr>
                  <w:r>
                    <w:rPr>
                      <w:kern w:val="0"/>
                      <w:szCs w:val="21"/>
                    </w:rPr>
                    <w:t>废气处理</w:t>
                  </w:r>
                </w:p>
              </w:tc>
              <w:tc>
                <w:tcPr>
                  <w:tcW w:w="513" w:type="pct"/>
                  <w:shd w:val="clear" w:color="auto" w:fill="auto"/>
                  <w:vAlign w:val="center"/>
                </w:tcPr>
                <w:p w14:paraId="4970D34F">
                  <w:pPr>
                    <w:widowControl/>
                    <w:jc w:val="center"/>
                    <w:rPr>
                      <w:kern w:val="0"/>
                      <w:szCs w:val="21"/>
                    </w:rPr>
                  </w:pPr>
                  <w:r>
                    <w:rPr>
                      <w:kern w:val="0"/>
                      <w:szCs w:val="21"/>
                    </w:rPr>
                    <w:t>废布袋S12</w:t>
                  </w:r>
                </w:p>
              </w:tc>
              <w:tc>
                <w:tcPr>
                  <w:tcW w:w="507" w:type="pct"/>
                  <w:shd w:val="clear" w:color="auto" w:fill="auto"/>
                  <w:vAlign w:val="center"/>
                </w:tcPr>
                <w:p w14:paraId="086764BB">
                  <w:pPr>
                    <w:widowControl/>
                    <w:jc w:val="center"/>
                    <w:rPr>
                      <w:kern w:val="0"/>
                      <w:szCs w:val="21"/>
                    </w:rPr>
                  </w:pPr>
                  <w:r>
                    <w:rPr>
                      <w:kern w:val="0"/>
                      <w:szCs w:val="21"/>
                    </w:rPr>
                    <w:t>一般固废</w:t>
                  </w:r>
                </w:p>
              </w:tc>
              <w:tc>
                <w:tcPr>
                  <w:tcW w:w="708" w:type="pct"/>
                  <w:shd w:val="clear" w:color="auto" w:fill="auto"/>
                  <w:vAlign w:val="center"/>
                </w:tcPr>
                <w:p w14:paraId="0190040C">
                  <w:pPr>
                    <w:widowControl/>
                    <w:jc w:val="center"/>
                    <w:rPr>
                      <w:kern w:val="0"/>
                      <w:szCs w:val="21"/>
                    </w:rPr>
                  </w:pPr>
                  <w:r>
                    <w:rPr>
                      <w:kern w:val="0"/>
                      <w:szCs w:val="21"/>
                    </w:rPr>
                    <w:t xml:space="preserve">282-002-99 </w:t>
                  </w:r>
                </w:p>
              </w:tc>
              <w:tc>
                <w:tcPr>
                  <w:tcW w:w="846" w:type="pct"/>
                  <w:shd w:val="clear" w:color="auto" w:fill="auto"/>
                  <w:vAlign w:val="center"/>
                </w:tcPr>
                <w:p w14:paraId="0CF7F6FC">
                  <w:pPr>
                    <w:widowControl/>
                    <w:jc w:val="center"/>
                    <w:rPr>
                      <w:kern w:val="0"/>
                      <w:sz w:val="22"/>
                      <w:szCs w:val="22"/>
                    </w:rPr>
                  </w:pPr>
                  <w:r>
                    <w:rPr>
                      <w:kern w:val="0"/>
                      <w:sz w:val="22"/>
                      <w:szCs w:val="22"/>
                    </w:rPr>
                    <w:t>废气处理</w:t>
                  </w:r>
                </w:p>
              </w:tc>
              <w:tc>
                <w:tcPr>
                  <w:tcW w:w="338" w:type="pct"/>
                  <w:shd w:val="clear" w:color="auto" w:fill="auto"/>
                  <w:vAlign w:val="center"/>
                </w:tcPr>
                <w:p w14:paraId="1FCAE4FC">
                  <w:pPr>
                    <w:widowControl/>
                    <w:jc w:val="center"/>
                    <w:rPr>
                      <w:kern w:val="0"/>
                      <w:szCs w:val="21"/>
                    </w:rPr>
                  </w:pPr>
                  <w:r>
                    <w:rPr>
                      <w:kern w:val="0"/>
                      <w:szCs w:val="21"/>
                    </w:rPr>
                    <w:t>固态</w:t>
                  </w:r>
                </w:p>
              </w:tc>
              <w:tc>
                <w:tcPr>
                  <w:tcW w:w="536" w:type="pct"/>
                  <w:shd w:val="clear" w:color="auto" w:fill="auto"/>
                  <w:noWrap/>
                  <w:vAlign w:val="center"/>
                </w:tcPr>
                <w:p w14:paraId="45BF68CE">
                  <w:pPr>
                    <w:widowControl/>
                    <w:jc w:val="center"/>
                    <w:rPr>
                      <w:kern w:val="0"/>
                      <w:sz w:val="22"/>
                      <w:szCs w:val="22"/>
                    </w:rPr>
                  </w:pPr>
                  <w:r>
                    <w:rPr>
                      <w:kern w:val="0"/>
                      <w:sz w:val="22"/>
                      <w:szCs w:val="22"/>
                    </w:rPr>
                    <w:t>/</w:t>
                  </w:r>
                </w:p>
              </w:tc>
              <w:tc>
                <w:tcPr>
                  <w:tcW w:w="537" w:type="pct"/>
                  <w:shd w:val="clear" w:color="auto" w:fill="auto"/>
                  <w:noWrap/>
                  <w:vAlign w:val="center"/>
                </w:tcPr>
                <w:p w14:paraId="5B249371">
                  <w:pPr>
                    <w:widowControl/>
                    <w:jc w:val="center"/>
                    <w:rPr>
                      <w:kern w:val="0"/>
                      <w:sz w:val="22"/>
                      <w:szCs w:val="22"/>
                    </w:rPr>
                  </w:pPr>
                  <w:r>
                    <w:rPr>
                      <w:kern w:val="0"/>
                      <w:sz w:val="22"/>
                      <w:szCs w:val="22"/>
                    </w:rPr>
                    <w:t>0.1</w:t>
                  </w:r>
                </w:p>
              </w:tc>
            </w:tr>
          </w:tbl>
          <w:p w14:paraId="100B2CD4">
            <w:pPr>
              <w:spacing w:line="360" w:lineRule="auto"/>
              <w:ind w:firstLine="482" w:firstLineChars="200"/>
              <w:contextualSpacing/>
              <w:rPr>
                <w:b/>
                <w:bCs/>
                <w:sz w:val="24"/>
              </w:rPr>
            </w:pPr>
            <w:r>
              <w:rPr>
                <w:b/>
                <w:bCs/>
                <w:sz w:val="24"/>
              </w:rPr>
              <w:t>（2）固体废物储存、处置方式</w:t>
            </w:r>
          </w:p>
          <w:p w14:paraId="17C38CC5">
            <w:pPr>
              <w:jc w:val="center"/>
              <w:rPr>
                <w:b/>
                <w:sz w:val="24"/>
              </w:rPr>
            </w:pPr>
            <w:r>
              <w:rPr>
                <w:b/>
                <w:sz w:val="24"/>
              </w:rPr>
              <w:t>表4-16 本项目固体废物储存处置方式表</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346"/>
              <w:gridCol w:w="1249"/>
              <w:gridCol w:w="875"/>
              <w:gridCol w:w="2028"/>
              <w:gridCol w:w="1963"/>
            </w:tblGrid>
            <w:tr w14:paraId="0AC278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25" w:type="pct"/>
                  <w:vMerge w:val="restart"/>
                  <w:shd w:val="clear" w:color="auto" w:fill="auto"/>
                  <w:vAlign w:val="center"/>
                </w:tcPr>
                <w:p w14:paraId="43FC2D8B">
                  <w:pPr>
                    <w:widowControl/>
                    <w:jc w:val="center"/>
                    <w:rPr>
                      <w:b/>
                      <w:bCs/>
                      <w:kern w:val="0"/>
                      <w:szCs w:val="21"/>
                    </w:rPr>
                  </w:pPr>
                  <w:r>
                    <w:rPr>
                      <w:b/>
                      <w:bCs/>
                      <w:kern w:val="0"/>
                      <w:szCs w:val="21"/>
                    </w:rPr>
                    <w:t>序号</w:t>
                  </w:r>
                </w:p>
              </w:tc>
              <w:tc>
                <w:tcPr>
                  <w:tcW w:w="807" w:type="pct"/>
                  <w:vMerge w:val="restart"/>
                  <w:shd w:val="clear" w:color="auto" w:fill="auto"/>
                  <w:vAlign w:val="center"/>
                </w:tcPr>
                <w:p w14:paraId="3C6C0E61">
                  <w:pPr>
                    <w:widowControl/>
                    <w:jc w:val="center"/>
                    <w:rPr>
                      <w:b/>
                      <w:bCs/>
                      <w:kern w:val="0"/>
                      <w:szCs w:val="21"/>
                    </w:rPr>
                  </w:pPr>
                  <w:r>
                    <w:rPr>
                      <w:b/>
                      <w:bCs/>
                      <w:kern w:val="0"/>
                      <w:szCs w:val="21"/>
                    </w:rPr>
                    <w:t>固体废物名称</w:t>
                  </w:r>
                </w:p>
              </w:tc>
              <w:tc>
                <w:tcPr>
                  <w:tcW w:w="749" w:type="pct"/>
                  <w:vMerge w:val="restart"/>
                  <w:shd w:val="clear" w:color="auto" w:fill="auto"/>
                  <w:vAlign w:val="center"/>
                </w:tcPr>
                <w:p w14:paraId="187073C3">
                  <w:pPr>
                    <w:widowControl/>
                    <w:jc w:val="center"/>
                    <w:rPr>
                      <w:b/>
                      <w:bCs/>
                      <w:kern w:val="0"/>
                      <w:szCs w:val="21"/>
                    </w:rPr>
                  </w:pPr>
                  <w:r>
                    <w:rPr>
                      <w:b/>
                      <w:bCs/>
                      <w:kern w:val="0"/>
                      <w:szCs w:val="21"/>
                    </w:rPr>
                    <w:t>产生量（t/a）</w:t>
                  </w:r>
                </w:p>
              </w:tc>
              <w:tc>
                <w:tcPr>
                  <w:tcW w:w="525" w:type="pct"/>
                  <w:shd w:val="clear" w:color="auto" w:fill="auto"/>
                  <w:vAlign w:val="center"/>
                </w:tcPr>
                <w:p w14:paraId="2D15AF1F">
                  <w:pPr>
                    <w:widowControl/>
                    <w:jc w:val="center"/>
                    <w:rPr>
                      <w:b/>
                      <w:bCs/>
                      <w:kern w:val="0"/>
                      <w:szCs w:val="21"/>
                    </w:rPr>
                  </w:pPr>
                  <w:r>
                    <w:rPr>
                      <w:b/>
                      <w:bCs/>
                      <w:kern w:val="0"/>
                      <w:szCs w:val="21"/>
                    </w:rPr>
                    <w:t>利用或处置量</w:t>
                  </w:r>
                </w:p>
              </w:tc>
              <w:tc>
                <w:tcPr>
                  <w:tcW w:w="1216" w:type="pct"/>
                  <w:vMerge w:val="restart"/>
                  <w:shd w:val="clear" w:color="auto" w:fill="auto"/>
                  <w:vAlign w:val="center"/>
                </w:tcPr>
                <w:p w14:paraId="33EC0357">
                  <w:pPr>
                    <w:widowControl/>
                    <w:jc w:val="center"/>
                    <w:rPr>
                      <w:b/>
                      <w:bCs/>
                      <w:kern w:val="0"/>
                      <w:szCs w:val="21"/>
                    </w:rPr>
                  </w:pPr>
                  <w:r>
                    <w:rPr>
                      <w:b/>
                      <w:bCs/>
                      <w:kern w:val="0"/>
                      <w:szCs w:val="21"/>
                    </w:rPr>
                    <w:t>贮存位置</w:t>
                  </w:r>
                </w:p>
              </w:tc>
              <w:tc>
                <w:tcPr>
                  <w:tcW w:w="1177" w:type="pct"/>
                  <w:vMerge w:val="restart"/>
                  <w:shd w:val="clear" w:color="auto" w:fill="auto"/>
                  <w:vAlign w:val="center"/>
                </w:tcPr>
                <w:p w14:paraId="0048FA99">
                  <w:pPr>
                    <w:widowControl/>
                    <w:jc w:val="center"/>
                    <w:rPr>
                      <w:b/>
                      <w:bCs/>
                      <w:kern w:val="0"/>
                      <w:szCs w:val="21"/>
                    </w:rPr>
                  </w:pPr>
                  <w:r>
                    <w:rPr>
                      <w:b/>
                      <w:bCs/>
                      <w:kern w:val="0"/>
                      <w:szCs w:val="21"/>
                    </w:rPr>
                    <w:t>利用处置方式和方向</w:t>
                  </w:r>
                </w:p>
              </w:tc>
            </w:tr>
            <w:tr w14:paraId="40C556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5" w:type="pct"/>
                  <w:vMerge w:val="continue"/>
                  <w:vAlign w:val="center"/>
                </w:tcPr>
                <w:p w14:paraId="61A22E2A">
                  <w:pPr>
                    <w:widowControl/>
                    <w:jc w:val="left"/>
                    <w:rPr>
                      <w:b/>
                      <w:bCs/>
                      <w:kern w:val="0"/>
                      <w:szCs w:val="21"/>
                    </w:rPr>
                  </w:pPr>
                </w:p>
              </w:tc>
              <w:tc>
                <w:tcPr>
                  <w:tcW w:w="807" w:type="pct"/>
                  <w:vMerge w:val="continue"/>
                  <w:vAlign w:val="center"/>
                </w:tcPr>
                <w:p w14:paraId="25D1DE9C">
                  <w:pPr>
                    <w:widowControl/>
                    <w:jc w:val="left"/>
                    <w:rPr>
                      <w:b/>
                      <w:bCs/>
                      <w:kern w:val="0"/>
                      <w:szCs w:val="21"/>
                    </w:rPr>
                  </w:pPr>
                </w:p>
              </w:tc>
              <w:tc>
                <w:tcPr>
                  <w:tcW w:w="749" w:type="pct"/>
                  <w:vMerge w:val="continue"/>
                  <w:vAlign w:val="center"/>
                </w:tcPr>
                <w:p w14:paraId="7F55DDA9">
                  <w:pPr>
                    <w:widowControl/>
                    <w:jc w:val="left"/>
                    <w:rPr>
                      <w:b/>
                      <w:bCs/>
                      <w:kern w:val="0"/>
                      <w:szCs w:val="21"/>
                    </w:rPr>
                  </w:pPr>
                </w:p>
              </w:tc>
              <w:tc>
                <w:tcPr>
                  <w:tcW w:w="525" w:type="pct"/>
                  <w:shd w:val="clear" w:color="auto" w:fill="auto"/>
                  <w:vAlign w:val="center"/>
                </w:tcPr>
                <w:p w14:paraId="1C25982E">
                  <w:pPr>
                    <w:widowControl/>
                    <w:jc w:val="center"/>
                    <w:rPr>
                      <w:b/>
                      <w:bCs/>
                      <w:kern w:val="0"/>
                      <w:szCs w:val="21"/>
                    </w:rPr>
                  </w:pPr>
                  <w:r>
                    <w:rPr>
                      <w:b/>
                      <w:bCs/>
                      <w:kern w:val="0"/>
                      <w:szCs w:val="21"/>
                    </w:rPr>
                    <w:t>（t/a）</w:t>
                  </w:r>
                </w:p>
              </w:tc>
              <w:tc>
                <w:tcPr>
                  <w:tcW w:w="1216" w:type="pct"/>
                  <w:vMerge w:val="continue"/>
                  <w:vAlign w:val="center"/>
                </w:tcPr>
                <w:p w14:paraId="694BD2E2">
                  <w:pPr>
                    <w:widowControl/>
                    <w:jc w:val="left"/>
                    <w:rPr>
                      <w:b/>
                      <w:bCs/>
                      <w:kern w:val="0"/>
                      <w:szCs w:val="21"/>
                    </w:rPr>
                  </w:pPr>
                </w:p>
              </w:tc>
              <w:tc>
                <w:tcPr>
                  <w:tcW w:w="1177" w:type="pct"/>
                  <w:vMerge w:val="continue"/>
                  <w:vAlign w:val="center"/>
                </w:tcPr>
                <w:p w14:paraId="1CE60E75">
                  <w:pPr>
                    <w:widowControl/>
                    <w:jc w:val="left"/>
                    <w:rPr>
                      <w:b/>
                      <w:bCs/>
                      <w:kern w:val="0"/>
                      <w:szCs w:val="21"/>
                    </w:rPr>
                  </w:pPr>
                </w:p>
              </w:tc>
            </w:tr>
            <w:tr w14:paraId="73591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pct"/>
                  <w:shd w:val="clear" w:color="auto" w:fill="auto"/>
                  <w:vAlign w:val="center"/>
                </w:tcPr>
                <w:p w14:paraId="6D9913D6">
                  <w:pPr>
                    <w:widowControl/>
                    <w:jc w:val="center"/>
                    <w:rPr>
                      <w:kern w:val="0"/>
                      <w:szCs w:val="21"/>
                    </w:rPr>
                  </w:pPr>
                  <w:r>
                    <w:rPr>
                      <w:kern w:val="0"/>
                      <w:szCs w:val="21"/>
                    </w:rPr>
                    <w:t>1</w:t>
                  </w:r>
                </w:p>
              </w:tc>
              <w:tc>
                <w:tcPr>
                  <w:tcW w:w="807" w:type="pct"/>
                  <w:shd w:val="clear" w:color="auto" w:fill="auto"/>
                  <w:vAlign w:val="center"/>
                </w:tcPr>
                <w:p w14:paraId="249ADF2C">
                  <w:pPr>
                    <w:widowControl/>
                    <w:jc w:val="center"/>
                    <w:rPr>
                      <w:kern w:val="0"/>
                      <w:szCs w:val="21"/>
                    </w:rPr>
                  </w:pPr>
                  <w:r>
                    <w:rPr>
                      <w:kern w:val="0"/>
                      <w:szCs w:val="21"/>
                    </w:rPr>
                    <w:t>废无油丝S1</w:t>
                  </w:r>
                </w:p>
              </w:tc>
              <w:tc>
                <w:tcPr>
                  <w:tcW w:w="749" w:type="pct"/>
                  <w:shd w:val="clear" w:color="auto" w:fill="auto"/>
                  <w:vAlign w:val="center"/>
                </w:tcPr>
                <w:p w14:paraId="64705A26">
                  <w:pPr>
                    <w:widowControl/>
                    <w:jc w:val="center"/>
                    <w:rPr>
                      <w:kern w:val="0"/>
                      <w:szCs w:val="21"/>
                    </w:rPr>
                  </w:pPr>
                  <w:r>
                    <w:rPr>
                      <w:kern w:val="0"/>
                      <w:szCs w:val="21"/>
                    </w:rPr>
                    <w:t>2304.2</w:t>
                  </w:r>
                </w:p>
              </w:tc>
              <w:tc>
                <w:tcPr>
                  <w:tcW w:w="525" w:type="pct"/>
                  <w:shd w:val="clear" w:color="auto" w:fill="auto"/>
                  <w:vAlign w:val="center"/>
                </w:tcPr>
                <w:p w14:paraId="453F425D">
                  <w:pPr>
                    <w:widowControl/>
                    <w:jc w:val="center"/>
                    <w:rPr>
                      <w:kern w:val="0"/>
                      <w:szCs w:val="21"/>
                    </w:rPr>
                  </w:pPr>
                  <w:r>
                    <w:rPr>
                      <w:kern w:val="0"/>
                      <w:szCs w:val="21"/>
                    </w:rPr>
                    <w:t>2304.2</w:t>
                  </w:r>
                </w:p>
              </w:tc>
              <w:tc>
                <w:tcPr>
                  <w:tcW w:w="1216" w:type="pct"/>
                  <w:shd w:val="clear" w:color="auto" w:fill="auto"/>
                  <w:vAlign w:val="center"/>
                </w:tcPr>
                <w:p w14:paraId="26E1CC78">
                  <w:pPr>
                    <w:widowControl/>
                    <w:jc w:val="center"/>
                    <w:rPr>
                      <w:kern w:val="0"/>
                      <w:szCs w:val="21"/>
                    </w:rPr>
                  </w:pPr>
                  <w:r>
                    <w:rPr>
                      <w:kern w:val="0"/>
                      <w:szCs w:val="21"/>
                    </w:rPr>
                    <w:t>一般固废库</w:t>
                  </w:r>
                </w:p>
              </w:tc>
              <w:tc>
                <w:tcPr>
                  <w:tcW w:w="1177" w:type="pct"/>
                  <w:vMerge w:val="restart"/>
                  <w:shd w:val="clear" w:color="auto" w:fill="auto"/>
                  <w:vAlign w:val="center"/>
                </w:tcPr>
                <w:p w14:paraId="3F6DD389">
                  <w:pPr>
                    <w:widowControl/>
                    <w:jc w:val="center"/>
                    <w:rPr>
                      <w:kern w:val="0"/>
                      <w:szCs w:val="21"/>
                    </w:rPr>
                  </w:pPr>
                  <w:r>
                    <w:rPr>
                      <w:kern w:val="0"/>
                      <w:szCs w:val="21"/>
                    </w:rPr>
                    <w:t>自用或外售综合利用</w:t>
                  </w:r>
                </w:p>
              </w:tc>
            </w:tr>
            <w:tr w14:paraId="0E7E9F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5" w:type="pct"/>
                  <w:shd w:val="clear" w:color="auto" w:fill="auto"/>
                  <w:vAlign w:val="center"/>
                </w:tcPr>
                <w:p w14:paraId="3B7805A7">
                  <w:pPr>
                    <w:widowControl/>
                    <w:jc w:val="center"/>
                    <w:rPr>
                      <w:kern w:val="0"/>
                      <w:szCs w:val="21"/>
                    </w:rPr>
                  </w:pPr>
                  <w:r>
                    <w:rPr>
                      <w:kern w:val="0"/>
                      <w:szCs w:val="21"/>
                    </w:rPr>
                    <w:t>2</w:t>
                  </w:r>
                </w:p>
              </w:tc>
              <w:tc>
                <w:tcPr>
                  <w:tcW w:w="807" w:type="pct"/>
                  <w:shd w:val="clear" w:color="auto" w:fill="auto"/>
                  <w:vAlign w:val="center"/>
                </w:tcPr>
                <w:p w14:paraId="067DAA05">
                  <w:pPr>
                    <w:widowControl/>
                    <w:jc w:val="center"/>
                    <w:rPr>
                      <w:kern w:val="0"/>
                      <w:szCs w:val="21"/>
                    </w:rPr>
                  </w:pPr>
                  <w:r>
                    <w:rPr>
                      <w:kern w:val="0"/>
                      <w:szCs w:val="21"/>
                    </w:rPr>
                    <w:t>废含油丝S2</w:t>
                  </w:r>
                </w:p>
              </w:tc>
              <w:tc>
                <w:tcPr>
                  <w:tcW w:w="749" w:type="pct"/>
                  <w:shd w:val="clear" w:color="auto" w:fill="auto"/>
                  <w:vAlign w:val="center"/>
                </w:tcPr>
                <w:p w14:paraId="1DF026D5">
                  <w:pPr>
                    <w:widowControl/>
                    <w:jc w:val="center"/>
                    <w:rPr>
                      <w:kern w:val="0"/>
                      <w:szCs w:val="21"/>
                    </w:rPr>
                  </w:pPr>
                  <w:r>
                    <w:rPr>
                      <w:kern w:val="0"/>
                      <w:szCs w:val="21"/>
                    </w:rPr>
                    <w:t>2081</w:t>
                  </w:r>
                </w:p>
              </w:tc>
              <w:tc>
                <w:tcPr>
                  <w:tcW w:w="525" w:type="pct"/>
                  <w:shd w:val="clear" w:color="auto" w:fill="auto"/>
                  <w:vAlign w:val="center"/>
                </w:tcPr>
                <w:p w14:paraId="210E88E1">
                  <w:pPr>
                    <w:widowControl/>
                    <w:jc w:val="center"/>
                    <w:rPr>
                      <w:kern w:val="0"/>
                      <w:szCs w:val="21"/>
                    </w:rPr>
                  </w:pPr>
                  <w:r>
                    <w:rPr>
                      <w:kern w:val="0"/>
                      <w:szCs w:val="21"/>
                    </w:rPr>
                    <w:t>2081</w:t>
                  </w:r>
                </w:p>
              </w:tc>
              <w:tc>
                <w:tcPr>
                  <w:tcW w:w="1216" w:type="pct"/>
                  <w:shd w:val="clear" w:color="auto" w:fill="auto"/>
                  <w:vAlign w:val="center"/>
                </w:tcPr>
                <w:p w14:paraId="45A5EEDD">
                  <w:pPr>
                    <w:widowControl/>
                    <w:jc w:val="center"/>
                    <w:rPr>
                      <w:kern w:val="0"/>
                      <w:szCs w:val="21"/>
                    </w:rPr>
                  </w:pPr>
                  <w:r>
                    <w:rPr>
                      <w:kern w:val="0"/>
                      <w:szCs w:val="21"/>
                    </w:rPr>
                    <w:t>一般固废库</w:t>
                  </w:r>
                </w:p>
              </w:tc>
              <w:tc>
                <w:tcPr>
                  <w:tcW w:w="1177" w:type="pct"/>
                  <w:vMerge w:val="continue"/>
                  <w:vAlign w:val="center"/>
                </w:tcPr>
                <w:p w14:paraId="09C966EF">
                  <w:pPr>
                    <w:widowControl/>
                    <w:jc w:val="left"/>
                    <w:rPr>
                      <w:kern w:val="0"/>
                      <w:szCs w:val="21"/>
                    </w:rPr>
                  </w:pPr>
                </w:p>
              </w:tc>
            </w:tr>
            <w:tr w14:paraId="15F366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5" w:type="pct"/>
                  <w:shd w:val="clear" w:color="auto" w:fill="auto"/>
                  <w:vAlign w:val="center"/>
                </w:tcPr>
                <w:p w14:paraId="2AC1EE7F">
                  <w:pPr>
                    <w:widowControl/>
                    <w:jc w:val="center"/>
                    <w:rPr>
                      <w:kern w:val="0"/>
                      <w:szCs w:val="21"/>
                    </w:rPr>
                  </w:pPr>
                  <w:r>
                    <w:rPr>
                      <w:kern w:val="0"/>
                      <w:szCs w:val="21"/>
                    </w:rPr>
                    <w:t>3</w:t>
                  </w:r>
                </w:p>
              </w:tc>
              <w:tc>
                <w:tcPr>
                  <w:tcW w:w="807" w:type="pct"/>
                  <w:shd w:val="clear" w:color="auto" w:fill="auto"/>
                  <w:vAlign w:val="center"/>
                </w:tcPr>
                <w:p w14:paraId="6CE74EC2">
                  <w:pPr>
                    <w:widowControl/>
                    <w:jc w:val="center"/>
                    <w:rPr>
                      <w:kern w:val="0"/>
                      <w:szCs w:val="21"/>
                    </w:rPr>
                  </w:pPr>
                  <w:r>
                    <w:rPr>
                      <w:kern w:val="0"/>
                      <w:szCs w:val="21"/>
                    </w:rPr>
                    <w:t>废纺丝油剂S3</w:t>
                  </w:r>
                </w:p>
              </w:tc>
              <w:tc>
                <w:tcPr>
                  <w:tcW w:w="749" w:type="pct"/>
                  <w:shd w:val="clear" w:color="auto" w:fill="auto"/>
                  <w:vAlign w:val="center"/>
                </w:tcPr>
                <w:p w14:paraId="00C55367">
                  <w:pPr>
                    <w:widowControl/>
                    <w:jc w:val="center"/>
                    <w:rPr>
                      <w:kern w:val="0"/>
                      <w:szCs w:val="21"/>
                    </w:rPr>
                  </w:pPr>
                  <w:r>
                    <w:rPr>
                      <w:kern w:val="0"/>
                      <w:szCs w:val="21"/>
                    </w:rPr>
                    <w:t>70</w:t>
                  </w:r>
                </w:p>
              </w:tc>
              <w:tc>
                <w:tcPr>
                  <w:tcW w:w="525" w:type="pct"/>
                  <w:shd w:val="clear" w:color="auto" w:fill="auto"/>
                  <w:vAlign w:val="center"/>
                </w:tcPr>
                <w:p w14:paraId="2D1D51B0">
                  <w:pPr>
                    <w:widowControl/>
                    <w:jc w:val="center"/>
                    <w:rPr>
                      <w:kern w:val="0"/>
                      <w:szCs w:val="21"/>
                    </w:rPr>
                  </w:pPr>
                  <w:r>
                    <w:rPr>
                      <w:kern w:val="0"/>
                      <w:szCs w:val="21"/>
                    </w:rPr>
                    <w:t>70</w:t>
                  </w:r>
                </w:p>
              </w:tc>
              <w:tc>
                <w:tcPr>
                  <w:tcW w:w="1216" w:type="pct"/>
                  <w:shd w:val="clear" w:color="auto" w:fill="auto"/>
                  <w:vAlign w:val="center"/>
                </w:tcPr>
                <w:p w14:paraId="58D39A6A">
                  <w:pPr>
                    <w:widowControl/>
                    <w:jc w:val="center"/>
                    <w:rPr>
                      <w:kern w:val="0"/>
                      <w:szCs w:val="21"/>
                    </w:rPr>
                  </w:pPr>
                  <w:r>
                    <w:rPr>
                      <w:kern w:val="0"/>
                      <w:szCs w:val="21"/>
                    </w:rPr>
                    <w:t>危废库</w:t>
                  </w:r>
                </w:p>
              </w:tc>
              <w:tc>
                <w:tcPr>
                  <w:tcW w:w="1177" w:type="pct"/>
                  <w:shd w:val="clear" w:color="auto" w:fill="auto"/>
                  <w:vAlign w:val="center"/>
                </w:tcPr>
                <w:p w14:paraId="48D7B2CE">
                  <w:pPr>
                    <w:widowControl/>
                    <w:jc w:val="center"/>
                    <w:rPr>
                      <w:kern w:val="0"/>
                      <w:szCs w:val="21"/>
                    </w:rPr>
                  </w:pPr>
                  <w:r>
                    <w:rPr>
                      <w:kern w:val="0"/>
                      <w:szCs w:val="21"/>
                    </w:rPr>
                    <w:t>委托有资质单位</w:t>
                  </w:r>
                  <w:r>
                    <w:rPr>
                      <w:rFonts w:hint="eastAsia"/>
                      <w:kern w:val="0"/>
                      <w:szCs w:val="21"/>
                    </w:rPr>
                    <w:t>安全</w:t>
                  </w:r>
                  <w:r>
                    <w:rPr>
                      <w:kern w:val="0"/>
                      <w:szCs w:val="21"/>
                    </w:rPr>
                    <w:t>处置</w:t>
                  </w:r>
                </w:p>
              </w:tc>
            </w:tr>
            <w:tr w14:paraId="2BDAC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pct"/>
                  <w:shd w:val="clear" w:color="auto" w:fill="auto"/>
                  <w:vAlign w:val="center"/>
                </w:tcPr>
                <w:p w14:paraId="35AA322F">
                  <w:pPr>
                    <w:widowControl/>
                    <w:jc w:val="center"/>
                    <w:rPr>
                      <w:kern w:val="0"/>
                      <w:szCs w:val="21"/>
                    </w:rPr>
                  </w:pPr>
                  <w:r>
                    <w:rPr>
                      <w:kern w:val="0"/>
                      <w:szCs w:val="21"/>
                    </w:rPr>
                    <w:t>4</w:t>
                  </w:r>
                </w:p>
              </w:tc>
              <w:tc>
                <w:tcPr>
                  <w:tcW w:w="807" w:type="pct"/>
                  <w:shd w:val="clear" w:color="auto" w:fill="auto"/>
                  <w:vAlign w:val="center"/>
                </w:tcPr>
                <w:p w14:paraId="5D540459">
                  <w:pPr>
                    <w:widowControl/>
                    <w:jc w:val="center"/>
                    <w:rPr>
                      <w:kern w:val="0"/>
                      <w:szCs w:val="21"/>
                    </w:rPr>
                  </w:pPr>
                  <w:r>
                    <w:rPr>
                      <w:kern w:val="0"/>
                      <w:szCs w:val="21"/>
                    </w:rPr>
                    <w:t>废油S4</w:t>
                  </w:r>
                </w:p>
              </w:tc>
              <w:tc>
                <w:tcPr>
                  <w:tcW w:w="749" w:type="pct"/>
                  <w:shd w:val="clear" w:color="auto" w:fill="auto"/>
                  <w:vAlign w:val="center"/>
                </w:tcPr>
                <w:p w14:paraId="7B37AAE9">
                  <w:pPr>
                    <w:widowControl/>
                    <w:jc w:val="center"/>
                    <w:rPr>
                      <w:kern w:val="0"/>
                      <w:szCs w:val="21"/>
                    </w:rPr>
                  </w:pPr>
                  <w:r>
                    <w:rPr>
                      <w:kern w:val="0"/>
                      <w:szCs w:val="21"/>
                    </w:rPr>
                    <w:t>20</w:t>
                  </w:r>
                </w:p>
              </w:tc>
              <w:tc>
                <w:tcPr>
                  <w:tcW w:w="525" w:type="pct"/>
                  <w:shd w:val="clear" w:color="auto" w:fill="auto"/>
                  <w:vAlign w:val="center"/>
                </w:tcPr>
                <w:p w14:paraId="21A4B205">
                  <w:pPr>
                    <w:widowControl/>
                    <w:jc w:val="center"/>
                    <w:rPr>
                      <w:kern w:val="0"/>
                      <w:szCs w:val="21"/>
                    </w:rPr>
                  </w:pPr>
                  <w:r>
                    <w:rPr>
                      <w:kern w:val="0"/>
                      <w:szCs w:val="21"/>
                    </w:rPr>
                    <w:t>20</w:t>
                  </w:r>
                </w:p>
              </w:tc>
              <w:tc>
                <w:tcPr>
                  <w:tcW w:w="1216" w:type="pct"/>
                  <w:shd w:val="clear" w:color="auto" w:fill="auto"/>
                  <w:vAlign w:val="center"/>
                </w:tcPr>
                <w:p w14:paraId="464E2995">
                  <w:pPr>
                    <w:widowControl/>
                    <w:jc w:val="center"/>
                    <w:rPr>
                      <w:kern w:val="0"/>
                      <w:szCs w:val="21"/>
                    </w:rPr>
                  </w:pPr>
                  <w:r>
                    <w:rPr>
                      <w:kern w:val="0"/>
                      <w:szCs w:val="21"/>
                    </w:rPr>
                    <w:t>危废库</w:t>
                  </w:r>
                </w:p>
              </w:tc>
              <w:tc>
                <w:tcPr>
                  <w:tcW w:w="1177" w:type="pct"/>
                  <w:shd w:val="clear" w:color="auto" w:fill="auto"/>
                  <w:vAlign w:val="center"/>
                </w:tcPr>
                <w:p w14:paraId="3F9E02B5">
                  <w:pPr>
                    <w:widowControl/>
                    <w:jc w:val="center"/>
                    <w:rPr>
                      <w:kern w:val="0"/>
                      <w:szCs w:val="21"/>
                    </w:rPr>
                  </w:pPr>
                  <w:r>
                    <w:rPr>
                      <w:kern w:val="0"/>
                      <w:szCs w:val="21"/>
                    </w:rPr>
                    <w:t>委托有资质单位</w:t>
                  </w:r>
                  <w:r>
                    <w:rPr>
                      <w:rFonts w:hint="eastAsia"/>
                      <w:kern w:val="0"/>
                      <w:szCs w:val="21"/>
                    </w:rPr>
                    <w:t>安全</w:t>
                  </w:r>
                  <w:r>
                    <w:rPr>
                      <w:kern w:val="0"/>
                      <w:szCs w:val="21"/>
                    </w:rPr>
                    <w:t>处置</w:t>
                  </w:r>
                </w:p>
              </w:tc>
            </w:tr>
            <w:tr w14:paraId="7BD129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5" w:type="pct"/>
                  <w:shd w:val="clear" w:color="auto" w:fill="auto"/>
                  <w:vAlign w:val="center"/>
                </w:tcPr>
                <w:p w14:paraId="024AC753">
                  <w:pPr>
                    <w:widowControl/>
                    <w:jc w:val="center"/>
                    <w:rPr>
                      <w:kern w:val="0"/>
                      <w:szCs w:val="21"/>
                    </w:rPr>
                  </w:pPr>
                  <w:r>
                    <w:rPr>
                      <w:kern w:val="0"/>
                      <w:szCs w:val="21"/>
                    </w:rPr>
                    <w:t>5</w:t>
                  </w:r>
                </w:p>
              </w:tc>
              <w:tc>
                <w:tcPr>
                  <w:tcW w:w="807" w:type="pct"/>
                  <w:shd w:val="clear" w:color="auto" w:fill="auto"/>
                  <w:vAlign w:val="center"/>
                </w:tcPr>
                <w:p w14:paraId="09CD5E72">
                  <w:pPr>
                    <w:widowControl/>
                    <w:jc w:val="center"/>
                    <w:rPr>
                      <w:kern w:val="0"/>
                      <w:szCs w:val="21"/>
                    </w:rPr>
                  </w:pPr>
                  <w:r>
                    <w:rPr>
                      <w:kern w:val="0"/>
                      <w:szCs w:val="21"/>
                    </w:rPr>
                    <w:t>废润滑油脂S5</w:t>
                  </w:r>
                </w:p>
              </w:tc>
              <w:tc>
                <w:tcPr>
                  <w:tcW w:w="749" w:type="pct"/>
                  <w:shd w:val="clear" w:color="auto" w:fill="auto"/>
                  <w:vAlign w:val="center"/>
                </w:tcPr>
                <w:p w14:paraId="26AD0419">
                  <w:pPr>
                    <w:widowControl/>
                    <w:jc w:val="center"/>
                    <w:rPr>
                      <w:kern w:val="0"/>
                      <w:szCs w:val="21"/>
                    </w:rPr>
                  </w:pPr>
                  <w:r>
                    <w:rPr>
                      <w:kern w:val="0"/>
                      <w:szCs w:val="21"/>
                    </w:rPr>
                    <w:t>0.2</w:t>
                  </w:r>
                </w:p>
              </w:tc>
              <w:tc>
                <w:tcPr>
                  <w:tcW w:w="525" w:type="pct"/>
                  <w:shd w:val="clear" w:color="auto" w:fill="auto"/>
                  <w:vAlign w:val="center"/>
                </w:tcPr>
                <w:p w14:paraId="568304E5">
                  <w:pPr>
                    <w:widowControl/>
                    <w:jc w:val="center"/>
                    <w:rPr>
                      <w:kern w:val="0"/>
                      <w:szCs w:val="21"/>
                    </w:rPr>
                  </w:pPr>
                  <w:r>
                    <w:rPr>
                      <w:kern w:val="0"/>
                      <w:szCs w:val="21"/>
                    </w:rPr>
                    <w:t>0.2</w:t>
                  </w:r>
                </w:p>
              </w:tc>
              <w:tc>
                <w:tcPr>
                  <w:tcW w:w="1216" w:type="pct"/>
                  <w:shd w:val="clear" w:color="auto" w:fill="auto"/>
                  <w:vAlign w:val="center"/>
                </w:tcPr>
                <w:p w14:paraId="7B5F9D44">
                  <w:pPr>
                    <w:widowControl/>
                    <w:jc w:val="center"/>
                    <w:rPr>
                      <w:kern w:val="0"/>
                      <w:szCs w:val="21"/>
                    </w:rPr>
                  </w:pPr>
                  <w:r>
                    <w:rPr>
                      <w:kern w:val="0"/>
                      <w:szCs w:val="21"/>
                    </w:rPr>
                    <w:t>危废库</w:t>
                  </w:r>
                </w:p>
              </w:tc>
              <w:tc>
                <w:tcPr>
                  <w:tcW w:w="1177" w:type="pct"/>
                  <w:shd w:val="clear" w:color="auto" w:fill="auto"/>
                  <w:vAlign w:val="center"/>
                </w:tcPr>
                <w:p w14:paraId="1E213A95">
                  <w:pPr>
                    <w:widowControl/>
                    <w:jc w:val="center"/>
                    <w:rPr>
                      <w:kern w:val="0"/>
                      <w:szCs w:val="21"/>
                    </w:rPr>
                  </w:pPr>
                  <w:r>
                    <w:rPr>
                      <w:kern w:val="0"/>
                      <w:szCs w:val="21"/>
                    </w:rPr>
                    <w:t>委托有资质单位</w:t>
                  </w:r>
                  <w:r>
                    <w:rPr>
                      <w:rFonts w:hint="eastAsia"/>
                      <w:kern w:val="0"/>
                      <w:szCs w:val="21"/>
                    </w:rPr>
                    <w:t>安全</w:t>
                  </w:r>
                  <w:r>
                    <w:rPr>
                      <w:kern w:val="0"/>
                      <w:szCs w:val="21"/>
                    </w:rPr>
                    <w:t>处置</w:t>
                  </w:r>
                </w:p>
              </w:tc>
            </w:tr>
            <w:tr w14:paraId="0F8489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5" w:type="pct"/>
                  <w:shd w:val="clear" w:color="auto" w:fill="auto"/>
                  <w:vAlign w:val="center"/>
                </w:tcPr>
                <w:p w14:paraId="223D050C">
                  <w:pPr>
                    <w:widowControl/>
                    <w:jc w:val="center"/>
                    <w:rPr>
                      <w:kern w:val="0"/>
                      <w:szCs w:val="21"/>
                    </w:rPr>
                  </w:pPr>
                  <w:r>
                    <w:rPr>
                      <w:kern w:val="0"/>
                      <w:szCs w:val="21"/>
                    </w:rPr>
                    <w:t>6</w:t>
                  </w:r>
                </w:p>
              </w:tc>
              <w:tc>
                <w:tcPr>
                  <w:tcW w:w="807" w:type="pct"/>
                  <w:shd w:val="clear" w:color="auto" w:fill="auto"/>
                  <w:vAlign w:val="center"/>
                </w:tcPr>
                <w:p w14:paraId="19F76F1C">
                  <w:pPr>
                    <w:widowControl/>
                    <w:jc w:val="center"/>
                    <w:rPr>
                      <w:kern w:val="0"/>
                      <w:szCs w:val="21"/>
                    </w:rPr>
                  </w:pPr>
                  <w:r>
                    <w:rPr>
                      <w:kern w:val="0"/>
                      <w:szCs w:val="21"/>
                    </w:rPr>
                    <w:t>废有机溶剂S6</w:t>
                  </w:r>
                </w:p>
              </w:tc>
              <w:tc>
                <w:tcPr>
                  <w:tcW w:w="749" w:type="pct"/>
                  <w:shd w:val="clear" w:color="auto" w:fill="auto"/>
                  <w:vAlign w:val="center"/>
                </w:tcPr>
                <w:p w14:paraId="446E3F2B">
                  <w:pPr>
                    <w:widowControl/>
                    <w:jc w:val="center"/>
                    <w:rPr>
                      <w:kern w:val="0"/>
                      <w:szCs w:val="21"/>
                    </w:rPr>
                  </w:pPr>
                  <w:r>
                    <w:rPr>
                      <w:kern w:val="0"/>
                      <w:szCs w:val="21"/>
                    </w:rPr>
                    <w:t>1.5</w:t>
                  </w:r>
                </w:p>
              </w:tc>
              <w:tc>
                <w:tcPr>
                  <w:tcW w:w="525" w:type="pct"/>
                  <w:shd w:val="clear" w:color="auto" w:fill="auto"/>
                  <w:vAlign w:val="center"/>
                </w:tcPr>
                <w:p w14:paraId="547A1EB9">
                  <w:pPr>
                    <w:widowControl/>
                    <w:jc w:val="center"/>
                    <w:rPr>
                      <w:kern w:val="0"/>
                      <w:szCs w:val="21"/>
                    </w:rPr>
                  </w:pPr>
                  <w:r>
                    <w:rPr>
                      <w:kern w:val="0"/>
                      <w:szCs w:val="21"/>
                    </w:rPr>
                    <w:t>1.5</w:t>
                  </w:r>
                </w:p>
              </w:tc>
              <w:tc>
                <w:tcPr>
                  <w:tcW w:w="1216" w:type="pct"/>
                  <w:shd w:val="clear" w:color="auto" w:fill="auto"/>
                  <w:vAlign w:val="center"/>
                </w:tcPr>
                <w:p w14:paraId="6BF991B2">
                  <w:pPr>
                    <w:widowControl/>
                    <w:jc w:val="center"/>
                    <w:rPr>
                      <w:kern w:val="0"/>
                      <w:szCs w:val="21"/>
                    </w:rPr>
                  </w:pPr>
                  <w:r>
                    <w:rPr>
                      <w:kern w:val="0"/>
                      <w:szCs w:val="21"/>
                    </w:rPr>
                    <w:t>危废库</w:t>
                  </w:r>
                </w:p>
              </w:tc>
              <w:tc>
                <w:tcPr>
                  <w:tcW w:w="1177" w:type="pct"/>
                  <w:shd w:val="clear" w:color="auto" w:fill="auto"/>
                  <w:vAlign w:val="center"/>
                </w:tcPr>
                <w:p w14:paraId="6057487B">
                  <w:pPr>
                    <w:widowControl/>
                    <w:jc w:val="center"/>
                    <w:rPr>
                      <w:kern w:val="0"/>
                      <w:szCs w:val="21"/>
                    </w:rPr>
                  </w:pPr>
                  <w:r>
                    <w:rPr>
                      <w:kern w:val="0"/>
                      <w:szCs w:val="21"/>
                    </w:rPr>
                    <w:t>委托有资质单位</w:t>
                  </w:r>
                  <w:r>
                    <w:rPr>
                      <w:rFonts w:hint="eastAsia"/>
                      <w:kern w:val="0"/>
                      <w:szCs w:val="21"/>
                    </w:rPr>
                    <w:t>安全</w:t>
                  </w:r>
                  <w:r>
                    <w:rPr>
                      <w:kern w:val="0"/>
                      <w:szCs w:val="21"/>
                    </w:rPr>
                    <w:t>处置</w:t>
                  </w:r>
                </w:p>
              </w:tc>
            </w:tr>
            <w:tr w14:paraId="0FDB04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5" w:type="pct"/>
                  <w:shd w:val="clear" w:color="auto" w:fill="auto"/>
                  <w:vAlign w:val="center"/>
                </w:tcPr>
                <w:p w14:paraId="6A97EB6A">
                  <w:pPr>
                    <w:widowControl/>
                    <w:jc w:val="center"/>
                    <w:rPr>
                      <w:kern w:val="0"/>
                      <w:szCs w:val="21"/>
                    </w:rPr>
                  </w:pPr>
                  <w:r>
                    <w:rPr>
                      <w:kern w:val="0"/>
                      <w:szCs w:val="21"/>
                    </w:rPr>
                    <w:t>7</w:t>
                  </w:r>
                </w:p>
              </w:tc>
              <w:tc>
                <w:tcPr>
                  <w:tcW w:w="807" w:type="pct"/>
                  <w:shd w:val="clear" w:color="auto" w:fill="auto"/>
                  <w:vAlign w:val="center"/>
                </w:tcPr>
                <w:p w14:paraId="612F27C9">
                  <w:pPr>
                    <w:widowControl/>
                    <w:jc w:val="center"/>
                    <w:rPr>
                      <w:kern w:val="0"/>
                      <w:szCs w:val="21"/>
                    </w:rPr>
                  </w:pPr>
                  <w:r>
                    <w:rPr>
                      <w:kern w:val="0"/>
                      <w:szCs w:val="21"/>
                    </w:rPr>
                    <w:t>废碱液S7</w:t>
                  </w:r>
                </w:p>
              </w:tc>
              <w:tc>
                <w:tcPr>
                  <w:tcW w:w="749" w:type="pct"/>
                  <w:shd w:val="clear" w:color="auto" w:fill="auto"/>
                  <w:vAlign w:val="center"/>
                </w:tcPr>
                <w:p w14:paraId="69162189">
                  <w:pPr>
                    <w:widowControl/>
                    <w:jc w:val="center"/>
                    <w:rPr>
                      <w:kern w:val="0"/>
                      <w:szCs w:val="21"/>
                    </w:rPr>
                  </w:pPr>
                  <w:r>
                    <w:rPr>
                      <w:kern w:val="0"/>
                      <w:szCs w:val="21"/>
                    </w:rPr>
                    <w:t>10</w:t>
                  </w:r>
                </w:p>
              </w:tc>
              <w:tc>
                <w:tcPr>
                  <w:tcW w:w="525" w:type="pct"/>
                  <w:shd w:val="clear" w:color="auto" w:fill="auto"/>
                  <w:vAlign w:val="center"/>
                </w:tcPr>
                <w:p w14:paraId="1111649B">
                  <w:pPr>
                    <w:widowControl/>
                    <w:jc w:val="center"/>
                    <w:rPr>
                      <w:kern w:val="0"/>
                      <w:szCs w:val="21"/>
                    </w:rPr>
                  </w:pPr>
                  <w:r>
                    <w:rPr>
                      <w:kern w:val="0"/>
                      <w:szCs w:val="21"/>
                    </w:rPr>
                    <w:t>10</w:t>
                  </w:r>
                </w:p>
              </w:tc>
              <w:tc>
                <w:tcPr>
                  <w:tcW w:w="1216" w:type="pct"/>
                  <w:shd w:val="clear" w:color="auto" w:fill="auto"/>
                  <w:vAlign w:val="center"/>
                </w:tcPr>
                <w:p w14:paraId="634D4DFF">
                  <w:pPr>
                    <w:widowControl/>
                    <w:jc w:val="center"/>
                    <w:rPr>
                      <w:kern w:val="0"/>
                      <w:szCs w:val="21"/>
                    </w:rPr>
                  </w:pPr>
                  <w:r>
                    <w:rPr>
                      <w:kern w:val="0"/>
                      <w:szCs w:val="21"/>
                    </w:rPr>
                    <w:t>危废库</w:t>
                  </w:r>
                </w:p>
              </w:tc>
              <w:tc>
                <w:tcPr>
                  <w:tcW w:w="1177" w:type="pct"/>
                  <w:shd w:val="clear" w:color="auto" w:fill="auto"/>
                  <w:vAlign w:val="center"/>
                </w:tcPr>
                <w:p w14:paraId="27B6189D">
                  <w:pPr>
                    <w:widowControl/>
                    <w:jc w:val="center"/>
                    <w:rPr>
                      <w:kern w:val="0"/>
                      <w:szCs w:val="21"/>
                    </w:rPr>
                  </w:pPr>
                  <w:r>
                    <w:rPr>
                      <w:kern w:val="0"/>
                      <w:szCs w:val="21"/>
                    </w:rPr>
                    <w:t>委托有资质单位</w:t>
                  </w:r>
                  <w:r>
                    <w:rPr>
                      <w:rFonts w:hint="eastAsia"/>
                      <w:kern w:val="0"/>
                      <w:szCs w:val="21"/>
                    </w:rPr>
                    <w:t>安全</w:t>
                  </w:r>
                  <w:r>
                    <w:rPr>
                      <w:kern w:val="0"/>
                      <w:szCs w:val="21"/>
                    </w:rPr>
                    <w:t>处置</w:t>
                  </w:r>
                </w:p>
              </w:tc>
            </w:tr>
            <w:tr w14:paraId="4D894D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5" w:type="pct"/>
                  <w:shd w:val="clear" w:color="auto" w:fill="auto"/>
                  <w:vAlign w:val="center"/>
                </w:tcPr>
                <w:p w14:paraId="60569D93">
                  <w:pPr>
                    <w:widowControl/>
                    <w:jc w:val="center"/>
                    <w:rPr>
                      <w:kern w:val="0"/>
                      <w:szCs w:val="21"/>
                    </w:rPr>
                  </w:pPr>
                  <w:r>
                    <w:rPr>
                      <w:kern w:val="0"/>
                      <w:szCs w:val="21"/>
                    </w:rPr>
                    <w:t>8</w:t>
                  </w:r>
                </w:p>
              </w:tc>
              <w:tc>
                <w:tcPr>
                  <w:tcW w:w="807" w:type="pct"/>
                  <w:shd w:val="clear" w:color="auto" w:fill="auto"/>
                  <w:vAlign w:val="center"/>
                </w:tcPr>
                <w:p w14:paraId="75E803F0">
                  <w:pPr>
                    <w:widowControl/>
                    <w:jc w:val="center"/>
                    <w:rPr>
                      <w:kern w:val="0"/>
                      <w:szCs w:val="21"/>
                    </w:rPr>
                  </w:pPr>
                  <w:r>
                    <w:rPr>
                      <w:kern w:val="0"/>
                      <w:szCs w:val="21"/>
                    </w:rPr>
                    <w:t>杂质废料S8</w:t>
                  </w:r>
                </w:p>
              </w:tc>
              <w:tc>
                <w:tcPr>
                  <w:tcW w:w="749" w:type="pct"/>
                  <w:shd w:val="clear" w:color="auto" w:fill="auto"/>
                  <w:vAlign w:val="center"/>
                </w:tcPr>
                <w:p w14:paraId="60EC11D6">
                  <w:pPr>
                    <w:widowControl/>
                    <w:jc w:val="center"/>
                    <w:rPr>
                      <w:kern w:val="0"/>
                      <w:szCs w:val="21"/>
                    </w:rPr>
                  </w:pPr>
                  <w:r>
                    <w:rPr>
                      <w:kern w:val="0"/>
                      <w:szCs w:val="21"/>
                    </w:rPr>
                    <w:t>160</w:t>
                  </w:r>
                </w:p>
              </w:tc>
              <w:tc>
                <w:tcPr>
                  <w:tcW w:w="525" w:type="pct"/>
                  <w:shd w:val="clear" w:color="auto" w:fill="auto"/>
                  <w:vAlign w:val="center"/>
                </w:tcPr>
                <w:p w14:paraId="5B751E20">
                  <w:pPr>
                    <w:widowControl/>
                    <w:jc w:val="center"/>
                    <w:rPr>
                      <w:kern w:val="0"/>
                      <w:szCs w:val="21"/>
                    </w:rPr>
                  </w:pPr>
                  <w:r>
                    <w:rPr>
                      <w:kern w:val="0"/>
                      <w:szCs w:val="21"/>
                    </w:rPr>
                    <w:t>160</w:t>
                  </w:r>
                </w:p>
              </w:tc>
              <w:tc>
                <w:tcPr>
                  <w:tcW w:w="1216" w:type="pct"/>
                  <w:shd w:val="clear" w:color="auto" w:fill="auto"/>
                  <w:vAlign w:val="center"/>
                </w:tcPr>
                <w:p w14:paraId="3711943B">
                  <w:pPr>
                    <w:widowControl/>
                    <w:jc w:val="center"/>
                    <w:rPr>
                      <w:kern w:val="0"/>
                      <w:szCs w:val="21"/>
                    </w:rPr>
                  </w:pPr>
                  <w:r>
                    <w:rPr>
                      <w:kern w:val="0"/>
                      <w:szCs w:val="21"/>
                    </w:rPr>
                    <w:t>一般固废库</w:t>
                  </w:r>
                </w:p>
              </w:tc>
              <w:tc>
                <w:tcPr>
                  <w:tcW w:w="1177" w:type="pct"/>
                  <w:shd w:val="clear" w:color="auto" w:fill="auto"/>
                  <w:vAlign w:val="center"/>
                </w:tcPr>
                <w:p w14:paraId="387076C6">
                  <w:pPr>
                    <w:widowControl/>
                    <w:jc w:val="center"/>
                    <w:rPr>
                      <w:kern w:val="0"/>
                      <w:szCs w:val="21"/>
                    </w:rPr>
                  </w:pPr>
                  <w:r>
                    <w:rPr>
                      <w:kern w:val="0"/>
                      <w:szCs w:val="21"/>
                    </w:rPr>
                    <w:t>外售综合利用</w:t>
                  </w:r>
                </w:p>
              </w:tc>
            </w:tr>
            <w:tr w14:paraId="799BD9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525" w:type="pct"/>
                  <w:shd w:val="clear" w:color="auto" w:fill="auto"/>
                  <w:vAlign w:val="center"/>
                </w:tcPr>
                <w:p w14:paraId="276F94A6">
                  <w:pPr>
                    <w:widowControl/>
                    <w:jc w:val="center"/>
                    <w:rPr>
                      <w:kern w:val="0"/>
                      <w:szCs w:val="21"/>
                    </w:rPr>
                  </w:pPr>
                  <w:r>
                    <w:rPr>
                      <w:kern w:val="0"/>
                      <w:szCs w:val="21"/>
                    </w:rPr>
                    <w:t>9</w:t>
                  </w:r>
                </w:p>
              </w:tc>
              <w:tc>
                <w:tcPr>
                  <w:tcW w:w="807" w:type="pct"/>
                  <w:shd w:val="clear" w:color="auto" w:fill="auto"/>
                  <w:vAlign w:val="center"/>
                </w:tcPr>
                <w:p w14:paraId="7EA67A05">
                  <w:pPr>
                    <w:widowControl/>
                    <w:jc w:val="center"/>
                    <w:rPr>
                      <w:kern w:val="0"/>
                      <w:szCs w:val="21"/>
                    </w:rPr>
                  </w:pPr>
                  <w:r>
                    <w:rPr>
                      <w:kern w:val="0"/>
                      <w:szCs w:val="21"/>
                    </w:rPr>
                    <w:t>废包装桶（瓶）S9</w:t>
                  </w:r>
                </w:p>
              </w:tc>
              <w:tc>
                <w:tcPr>
                  <w:tcW w:w="749" w:type="pct"/>
                  <w:shd w:val="clear" w:color="auto" w:fill="auto"/>
                  <w:vAlign w:val="center"/>
                </w:tcPr>
                <w:p w14:paraId="53A40A3A">
                  <w:pPr>
                    <w:widowControl/>
                    <w:jc w:val="center"/>
                    <w:rPr>
                      <w:kern w:val="0"/>
                      <w:szCs w:val="21"/>
                    </w:rPr>
                  </w:pPr>
                  <w:r>
                    <w:rPr>
                      <w:kern w:val="0"/>
                      <w:szCs w:val="21"/>
                    </w:rPr>
                    <w:t>8</w:t>
                  </w:r>
                </w:p>
              </w:tc>
              <w:tc>
                <w:tcPr>
                  <w:tcW w:w="525" w:type="pct"/>
                  <w:shd w:val="clear" w:color="auto" w:fill="auto"/>
                  <w:vAlign w:val="center"/>
                </w:tcPr>
                <w:p w14:paraId="57292903">
                  <w:pPr>
                    <w:widowControl/>
                    <w:jc w:val="center"/>
                    <w:rPr>
                      <w:kern w:val="0"/>
                      <w:szCs w:val="21"/>
                    </w:rPr>
                  </w:pPr>
                  <w:r>
                    <w:rPr>
                      <w:kern w:val="0"/>
                      <w:szCs w:val="21"/>
                    </w:rPr>
                    <w:t>8</w:t>
                  </w:r>
                </w:p>
              </w:tc>
              <w:tc>
                <w:tcPr>
                  <w:tcW w:w="1216" w:type="pct"/>
                  <w:shd w:val="clear" w:color="auto" w:fill="auto"/>
                  <w:vAlign w:val="center"/>
                </w:tcPr>
                <w:p w14:paraId="61173F0A">
                  <w:pPr>
                    <w:widowControl/>
                    <w:jc w:val="center"/>
                    <w:rPr>
                      <w:kern w:val="0"/>
                      <w:szCs w:val="21"/>
                    </w:rPr>
                  </w:pPr>
                  <w:r>
                    <w:rPr>
                      <w:kern w:val="0"/>
                      <w:szCs w:val="21"/>
                    </w:rPr>
                    <w:t>危废库</w:t>
                  </w:r>
                </w:p>
              </w:tc>
              <w:tc>
                <w:tcPr>
                  <w:tcW w:w="1177" w:type="pct"/>
                  <w:shd w:val="clear" w:color="auto" w:fill="auto"/>
                  <w:vAlign w:val="center"/>
                </w:tcPr>
                <w:p w14:paraId="53DA5280">
                  <w:pPr>
                    <w:widowControl/>
                    <w:jc w:val="center"/>
                    <w:rPr>
                      <w:kern w:val="0"/>
                      <w:szCs w:val="21"/>
                    </w:rPr>
                  </w:pPr>
                  <w:r>
                    <w:rPr>
                      <w:kern w:val="0"/>
                      <w:szCs w:val="21"/>
                    </w:rPr>
                    <w:t>委托有资质单位</w:t>
                  </w:r>
                  <w:r>
                    <w:rPr>
                      <w:rFonts w:hint="eastAsia"/>
                      <w:kern w:val="0"/>
                      <w:szCs w:val="21"/>
                    </w:rPr>
                    <w:t>安全</w:t>
                  </w:r>
                  <w:r>
                    <w:rPr>
                      <w:kern w:val="0"/>
                      <w:szCs w:val="21"/>
                    </w:rPr>
                    <w:t>处置</w:t>
                  </w:r>
                </w:p>
              </w:tc>
            </w:tr>
            <w:tr w14:paraId="4418E7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5" w:type="pct"/>
                  <w:shd w:val="clear" w:color="auto" w:fill="auto"/>
                  <w:vAlign w:val="center"/>
                </w:tcPr>
                <w:p w14:paraId="6AF7F8BB">
                  <w:pPr>
                    <w:widowControl/>
                    <w:jc w:val="center"/>
                    <w:rPr>
                      <w:kern w:val="0"/>
                      <w:szCs w:val="21"/>
                    </w:rPr>
                  </w:pPr>
                  <w:r>
                    <w:rPr>
                      <w:kern w:val="0"/>
                      <w:szCs w:val="21"/>
                    </w:rPr>
                    <w:t>10</w:t>
                  </w:r>
                </w:p>
              </w:tc>
              <w:tc>
                <w:tcPr>
                  <w:tcW w:w="807" w:type="pct"/>
                  <w:shd w:val="clear" w:color="auto" w:fill="auto"/>
                  <w:vAlign w:val="center"/>
                </w:tcPr>
                <w:p w14:paraId="460E0DA7">
                  <w:pPr>
                    <w:widowControl/>
                    <w:jc w:val="center"/>
                    <w:rPr>
                      <w:kern w:val="0"/>
                      <w:szCs w:val="21"/>
                    </w:rPr>
                  </w:pPr>
                  <w:r>
                    <w:rPr>
                      <w:kern w:val="0"/>
                      <w:szCs w:val="21"/>
                    </w:rPr>
                    <w:t>摩擦料S10</w:t>
                  </w:r>
                </w:p>
              </w:tc>
              <w:tc>
                <w:tcPr>
                  <w:tcW w:w="749" w:type="pct"/>
                  <w:shd w:val="clear" w:color="auto" w:fill="auto"/>
                  <w:noWrap/>
                  <w:vAlign w:val="center"/>
                </w:tcPr>
                <w:p w14:paraId="242E92EA">
                  <w:pPr>
                    <w:widowControl/>
                    <w:jc w:val="center"/>
                    <w:rPr>
                      <w:kern w:val="0"/>
                      <w:sz w:val="22"/>
                      <w:szCs w:val="22"/>
                    </w:rPr>
                  </w:pPr>
                  <w:r>
                    <w:rPr>
                      <w:kern w:val="0"/>
                      <w:sz w:val="22"/>
                      <w:szCs w:val="22"/>
                    </w:rPr>
                    <w:t>24000</w:t>
                  </w:r>
                </w:p>
              </w:tc>
              <w:tc>
                <w:tcPr>
                  <w:tcW w:w="525" w:type="pct"/>
                  <w:shd w:val="clear" w:color="auto" w:fill="auto"/>
                  <w:vAlign w:val="center"/>
                </w:tcPr>
                <w:p w14:paraId="29C6ED48">
                  <w:pPr>
                    <w:widowControl/>
                    <w:jc w:val="center"/>
                    <w:rPr>
                      <w:kern w:val="0"/>
                      <w:sz w:val="20"/>
                      <w:szCs w:val="20"/>
                    </w:rPr>
                  </w:pPr>
                  <w:r>
                    <w:rPr>
                      <w:kern w:val="0"/>
                      <w:sz w:val="20"/>
                      <w:szCs w:val="20"/>
                    </w:rPr>
                    <w:t>24000</w:t>
                  </w:r>
                </w:p>
              </w:tc>
              <w:tc>
                <w:tcPr>
                  <w:tcW w:w="1216" w:type="pct"/>
                  <w:shd w:val="clear" w:color="auto" w:fill="auto"/>
                  <w:vAlign w:val="center"/>
                </w:tcPr>
                <w:p w14:paraId="4F89A791">
                  <w:pPr>
                    <w:widowControl/>
                    <w:jc w:val="center"/>
                    <w:rPr>
                      <w:kern w:val="0"/>
                      <w:szCs w:val="21"/>
                    </w:rPr>
                  </w:pPr>
                  <w:r>
                    <w:rPr>
                      <w:kern w:val="0"/>
                      <w:szCs w:val="21"/>
                    </w:rPr>
                    <w:t>一般固废库</w:t>
                  </w:r>
                </w:p>
              </w:tc>
              <w:tc>
                <w:tcPr>
                  <w:tcW w:w="1177" w:type="pct"/>
                  <w:shd w:val="clear" w:color="auto" w:fill="auto"/>
                  <w:vAlign w:val="center"/>
                </w:tcPr>
                <w:p w14:paraId="6EEE394B">
                  <w:pPr>
                    <w:widowControl/>
                    <w:jc w:val="center"/>
                    <w:rPr>
                      <w:kern w:val="0"/>
                      <w:szCs w:val="21"/>
                    </w:rPr>
                  </w:pPr>
                  <w:r>
                    <w:rPr>
                      <w:kern w:val="0"/>
                      <w:szCs w:val="21"/>
                    </w:rPr>
                    <w:t>外售综合利用</w:t>
                  </w:r>
                </w:p>
              </w:tc>
            </w:tr>
            <w:tr w14:paraId="5D5255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5" w:type="pct"/>
                  <w:shd w:val="clear" w:color="auto" w:fill="auto"/>
                  <w:vAlign w:val="center"/>
                </w:tcPr>
                <w:p w14:paraId="0A708AAB">
                  <w:pPr>
                    <w:widowControl/>
                    <w:jc w:val="center"/>
                    <w:rPr>
                      <w:kern w:val="0"/>
                      <w:szCs w:val="21"/>
                    </w:rPr>
                  </w:pPr>
                  <w:r>
                    <w:rPr>
                      <w:kern w:val="0"/>
                      <w:szCs w:val="21"/>
                    </w:rPr>
                    <w:t>11</w:t>
                  </w:r>
                </w:p>
              </w:tc>
              <w:tc>
                <w:tcPr>
                  <w:tcW w:w="807" w:type="pct"/>
                  <w:shd w:val="clear" w:color="auto" w:fill="auto"/>
                  <w:vAlign w:val="center"/>
                </w:tcPr>
                <w:p w14:paraId="1A847839">
                  <w:pPr>
                    <w:widowControl/>
                    <w:jc w:val="center"/>
                    <w:rPr>
                      <w:kern w:val="0"/>
                      <w:szCs w:val="21"/>
                    </w:rPr>
                  </w:pPr>
                  <w:r>
                    <w:rPr>
                      <w:kern w:val="0"/>
                      <w:szCs w:val="21"/>
                    </w:rPr>
                    <w:t>油泥S11</w:t>
                  </w:r>
                </w:p>
              </w:tc>
              <w:tc>
                <w:tcPr>
                  <w:tcW w:w="749" w:type="pct"/>
                  <w:shd w:val="clear" w:color="auto" w:fill="auto"/>
                  <w:noWrap/>
                  <w:vAlign w:val="center"/>
                </w:tcPr>
                <w:p w14:paraId="6704DBBA">
                  <w:pPr>
                    <w:widowControl/>
                    <w:jc w:val="center"/>
                    <w:rPr>
                      <w:kern w:val="0"/>
                      <w:sz w:val="22"/>
                      <w:szCs w:val="22"/>
                    </w:rPr>
                  </w:pPr>
                  <w:r>
                    <w:rPr>
                      <w:kern w:val="0"/>
                      <w:sz w:val="22"/>
                      <w:szCs w:val="22"/>
                    </w:rPr>
                    <w:t>0.1</w:t>
                  </w:r>
                </w:p>
              </w:tc>
              <w:tc>
                <w:tcPr>
                  <w:tcW w:w="525" w:type="pct"/>
                  <w:shd w:val="clear" w:color="auto" w:fill="auto"/>
                  <w:noWrap/>
                  <w:vAlign w:val="center"/>
                </w:tcPr>
                <w:p w14:paraId="406E512D">
                  <w:pPr>
                    <w:widowControl/>
                    <w:jc w:val="center"/>
                    <w:rPr>
                      <w:kern w:val="0"/>
                      <w:sz w:val="22"/>
                      <w:szCs w:val="22"/>
                    </w:rPr>
                  </w:pPr>
                  <w:r>
                    <w:rPr>
                      <w:kern w:val="0"/>
                      <w:sz w:val="22"/>
                      <w:szCs w:val="22"/>
                    </w:rPr>
                    <w:t>0.1</w:t>
                  </w:r>
                </w:p>
              </w:tc>
              <w:tc>
                <w:tcPr>
                  <w:tcW w:w="1216" w:type="pct"/>
                  <w:shd w:val="clear" w:color="auto" w:fill="auto"/>
                  <w:vAlign w:val="center"/>
                </w:tcPr>
                <w:p w14:paraId="632D06AF">
                  <w:pPr>
                    <w:widowControl/>
                    <w:jc w:val="center"/>
                    <w:rPr>
                      <w:kern w:val="0"/>
                      <w:szCs w:val="21"/>
                    </w:rPr>
                  </w:pPr>
                  <w:r>
                    <w:rPr>
                      <w:kern w:val="0"/>
                      <w:szCs w:val="21"/>
                    </w:rPr>
                    <w:t>危废库</w:t>
                  </w:r>
                </w:p>
              </w:tc>
              <w:tc>
                <w:tcPr>
                  <w:tcW w:w="1177" w:type="pct"/>
                  <w:shd w:val="clear" w:color="auto" w:fill="auto"/>
                  <w:vAlign w:val="center"/>
                </w:tcPr>
                <w:p w14:paraId="51665186">
                  <w:pPr>
                    <w:widowControl/>
                    <w:jc w:val="center"/>
                    <w:rPr>
                      <w:kern w:val="0"/>
                      <w:szCs w:val="21"/>
                    </w:rPr>
                  </w:pPr>
                  <w:r>
                    <w:rPr>
                      <w:kern w:val="0"/>
                      <w:szCs w:val="21"/>
                    </w:rPr>
                    <w:t>委托有资质单位</w:t>
                  </w:r>
                  <w:r>
                    <w:rPr>
                      <w:rFonts w:hint="eastAsia"/>
                      <w:kern w:val="0"/>
                      <w:szCs w:val="21"/>
                    </w:rPr>
                    <w:t>安全</w:t>
                  </w:r>
                  <w:r>
                    <w:rPr>
                      <w:kern w:val="0"/>
                      <w:szCs w:val="21"/>
                    </w:rPr>
                    <w:t>处置</w:t>
                  </w:r>
                </w:p>
              </w:tc>
            </w:tr>
            <w:tr w14:paraId="7708B6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5" w:type="pct"/>
                  <w:shd w:val="clear" w:color="auto" w:fill="auto"/>
                  <w:vAlign w:val="center"/>
                </w:tcPr>
                <w:p w14:paraId="3AA21998">
                  <w:pPr>
                    <w:widowControl/>
                    <w:jc w:val="center"/>
                    <w:rPr>
                      <w:kern w:val="0"/>
                      <w:szCs w:val="21"/>
                    </w:rPr>
                  </w:pPr>
                  <w:r>
                    <w:rPr>
                      <w:kern w:val="0"/>
                      <w:szCs w:val="21"/>
                    </w:rPr>
                    <w:t>12</w:t>
                  </w:r>
                </w:p>
              </w:tc>
              <w:tc>
                <w:tcPr>
                  <w:tcW w:w="807" w:type="pct"/>
                  <w:shd w:val="clear" w:color="auto" w:fill="auto"/>
                  <w:vAlign w:val="center"/>
                </w:tcPr>
                <w:p w14:paraId="77BCAE43">
                  <w:pPr>
                    <w:widowControl/>
                    <w:jc w:val="center"/>
                    <w:rPr>
                      <w:kern w:val="0"/>
                      <w:szCs w:val="21"/>
                    </w:rPr>
                  </w:pPr>
                  <w:r>
                    <w:rPr>
                      <w:kern w:val="0"/>
                      <w:szCs w:val="21"/>
                    </w:rPr>
                    <w:t>废布袋S12</w:t>
                  </w:r>
                </w:p>
              </w:tc>
              <w:tc>
                <w:tcPr>
                  <w:tcW w:w="749" w:type="pct"/>
                  <w:shd w:val="clear" w:color="auto" w:fill="auto"/>
                  <w:noWrap/>
                  <w:vAlign w:val="center"/>
                </w:tcPr>
                <w:p w14:paraId="1C763C93">
                  <w:pPr>
                    <w:widowControl/>
                    <w:jc w:val="center"/>
                    <w:rPr>
                      <w:kern w:val="0"/>
                      <w:sz w:val="22"/>
                      <w:szCs w:val="22"/>
                    </w:rPr>
                  </w:pPr>
                  <w:r>
                    <w:rPr>
                      <w:kern w:val="0"/>
                      <w:sz w:val="22"/>
                      <w:szCs w:val="22"/>
                    </w:rPr>
                    <w:t>0.1</w:t>
                  </w:r>
                </w:p>
              </w:tc>
              <w:tc>
                <w:tcPr>
                  <w:tcW w:w="525" w:type="pct"/>
                  <w:shd w:val="clear" w:color="auto" w:fill="auto"/>
                  <w:noWrap/>
                  <w:vAlign w:val="center"/>
                </w:tcPr>
                <w:p w14:paraId="7EFE8D2B">
                  <w:pPr>
                    <w:widowControl/>
                    <w:jc w:val="center"/>
                    <w:rPr>
                      <w:kern w:val="0"/>
                      <w:sz w:val="22"/>
                      <w:szCs w:val="22"/>
                    </w:rPr>
                  </w:pPr>
                  <w:r>
                    <w:rPr>
                      <w:kern w:val="0"/>
                      <w:sz w:val="22"/>
                      <w:szCs w:val="22"/>
                    </w:rPr>
                    <w:t>0.1</w:t>
                  </w:r>
                </w:p>
              </w:tc>
              <w:tc>
                <w:tcPr>
                  <w:tcW w:w="1216" w:type="pct"/>
                  <w:shd w:val="clear" w:color="auto" w:fill="auto"/>
                  <w:vAlign w:val="center"/>
                </w:tcPr>
                <w:p w14:paraId="067AAC8D">
                  <w:pPr>
                    <w:widowControl/>
                    <w:jc w:val="center"/>
                    <w:rPr>
                      <w:kern w:val="0"/>
                      <w:szCs w:val="21"/>
                    </w:rPr>
                  </w:pPr>
                  <w:r>
                    <w:rPr>
                      <w:kern w:val="0"/>
                      <w:szCs w:val="21"/>
                    </w:rPr>
                    <w:t>一般固废库</w:t>
                  </w:r>
                </w:p>
              </w:tc>
              <w:tc>
                <w:tcPr>
                  <w:tcW w:w="1177" w:type="pct"/>
                  <w:shd w:val="clear" w:color="auto" w:fill="auto"/>
                  <w:vAlign w:val="center"/>
                </w:tcPr>
                <w:p w14:paraId="2B3A4F80">
                  <w:pPr>
                    <w:widowControl/>
                    <w:jc w:val="center"/>
                    <w:rPr>
                      <w:kern w:val="0"/>
                      <w:szCs w:val="21"/>
                    </w:rPr>
                  </w:pPr>
                  <w:r>
                    <w:rPr>
                      <w:kern w:val="0"/>
                      <w:szCs w:val="21"/>
                    </w:rPr>
                    <w:t>外售综合利用</w:t>
                  </w:r>
                </w:p>
              </w:tc>
            </w:tr>
          </w:tbl>
          <w:p w14:paraId="2458722B">
            <w:pPr>
              <w:jc w:val="center"/>
              <w:rPr>
                <w:b/>
                <w:sz w:val="24"/>
              </w:rPr>
            </w:pPr>
          </w:p>
          <w:p w14:paraId="7020A3ED">
            <w:pPr>
              <w:spacing w:line="360" w:lineRule="auto"/>
              <w:ind w:firstLine="480" w:firstLineChars="200"/>
              <w:jc w:val="left"/>
              <w:rPr>
                <w:sz w:val="24"/>
              </w:rPr>
            </w:pPr>
            <w:r>
              <w:rPr>
                <w:sz w:val="24"/>
              </w:rPr>
              <w:t>贮存场所贮存能力合理性分析：</w:t>
            </w:r>
          </w:p>
          <w:p w14:paraId="2F3D9FCD">
            <w:pPr>
              <w:widowControl/>
              <w:snapToGrid w:val="0"/>
              <w:jc w:val="center"/>
              <w:rPr>
                <w:b/>
                <w:kern w:val="0"/>
                <w:sz w:val="24"/>
              </w:rPr>
            </w:pPr>
            <w:r>
              <w:rPr>
                <w:b/>
                <w:kern w:val="0"/>
                <w:sz w:val="24"/>
              </w:rPr>
              <w:t>表4-17本项目固体废物贮存场所贮存能力合理性分析表</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846"/>
              <w:gridCol w:w="871"/>
              <w:gridCol w:w="1087"/>
              <w:gridCol w:w="844"/>
              <w:gridCol w:w="959"/>
              <w:gridCol w:w="749"/>
              <w:gridCol w:w="882"/>
              <w:gridCol w:w="882"/>
              <w:gridCol w:w="748"/>
            </w:tblGrid>
            <w:tr w14:paraId="05FA32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1" w:type="pct"/>
                  <w:vMerge w:val="restart"/>
                  <w:shd w:val="clear" w:color="auto" w:fill="auto"/>
                  <w:vAlign w:val="center"/>
                </w:tcPr>
                <w:p w14:paraId="6A285A1B">
                  <w:pPr>
                    <w:widowControl/>
                    <w:jc w:val="center"/>
                    <w:rPr>
                      <w:b/>
                      <w:bCs/>
                      <w:kern w:val="0"/>
                      <w:szCs w:val="21"/>
                    </w:rPr>
                  </w:pPr>
                  <w:r>
                    <w:rPr>
                      <w:b/>
                      <w:bCs/>
                      <w:kern w:val="0"/>
                      <w:szCs w:val="21"/>
                    </w:rPr>
                    <w:t>序号</w:t>
                  </w:r>
                </w:p>
              </w:tc>
              <w:tc>
                <w:tcPr>
                  <w:tcW w:w="508" w:type="pct"/>
                  <w:vMerge w:val="restart"/>
                  <w:shd w:val="clear" w:color="auto" w:fill="auto"/>
                  <w:vAlign w:val="center"/>
                </w:tcPr>
                <w:p w14:paraId="2915A776">
                  <w:pPr>
                    <w:widowControl/>
                    <w:jc w:val="center"/>
                    <w:rPr>
                      <w:b/>
                      <w:bCs/>
                      <w:kern w:val="0"/>
                      <w:szCs w:val="21"/>
                    </w:rPr>
                  </w:pPr>
                  <w:r>
                    <w:rPr>
                      <w:b/>
                      <w:bCs/>
                      <w:kern w:val="0"/>
                      <w:szCs w:val="21"/>
                    </w:rPr>
                    <w:t>贮存物质名称</w:t>
                  </w:r>
                </w:p>
              </w:tc>
              <w:tc>
                <w:tcPr>
                  <w:tcW w:w="523" w:type="pct"/>
                  <w:vMerge w:val="restart"/>
                  <w:shd w:val="clear" w:color="auto" w:fill="auto"/>
                  <w:vAlign w:val="center"/>
                </w:tcPr>
                <w:p w14:paraId="3EC611B0">
                  <w:pPr>
                    <w:widowControl/>
                    <w:jc w:val="center"/>
                    <w:rPr>
                      <w:b/>
                      <w:bCs/>
                      <w:kern w:val="0"/>
                      <w:szCs w:val="21"/>
                    </w:rPr>
                  </w:pPr>
                  <w:r>
                    <w:rPr>
                      <w:b/>
                      <w:bCs/>
                      <w:kern w:val="0"/>
                      <w:szCs w:val="21"/>
                    </w:rPr>
                    <w:t>产生量（t/a）</w:t>
                  </w:r>
                </w:p>
              </w:tc>
              <w:tc>
                <w:tcPr>
                  <w:tcW w:w="714" w:type="pct"/>
                  <w:vMerge w:val="restart"/>
                  <w:shd w:val="clear" w:color="auto" w:fill="auto"/>
                  <w:vAlign w:val="center"/>
                </w:tcPr>
                <w:p w14:paraId="4FA17324">
                  <w:pPr>
                    <w:widowControl/>
                    <w:jc w:val="center"/>
                    <w:rPr>
                      <w:b/>
                      <w:bCs/>
                      <w:kern w:val="0"/>
                      <w:szCs w:val="21"/>
                    </w:rPr>
                  </w:pPr>
                  <w:r>
                    <w:rPr>
                      <w:b/>
                      <w:bCs/>
                      <w:kern w:val="0"/>
                      <w:szCs w:val="21"/>
                    </w:rPr>
                    <w:t>最大所需贮存容积（m</w:t>
                  </w:r>
                  <w:r>
                    <w:rPr>
                      <w:b/>
                      <w:bCs/>
                      <w:kern w:val="0"/>
                      <w:szCs w:val="21"/>
                      <w:vertAlign w:val="superscript"/>
                    </w:rPr>
                    <w:t>3</w:t>
                  </w:r>
                  <w:r>
                    <w:rPr>
                      <w:b/>
                      <w:bCs/>
                      <w:kern w:val="0"/>
                      <w:szCs w:val="21"/>
                    </w:rPr>
                    <w:t>）</w:t>
                  </w:r>
                </w:p>
              </w:tc>
              <w:tc>
                <w:tcPr>
                  <w:tcW w:w="527" w:type="pct"/>
                  <w:vMerge w:val="restart"/>
                  <w:shd w:val="clear" w:color="auto" w:fill="auto"/>
                  <w:vAlign w:val="center"/>
                </w:tcPr>
                <w:p w14:paraId="7FCAFC9F">
                  <w:pPr>
                    <w:widowControl/>
                    <w:jc w:val="center"/>
                    <w:rPr>
                      <w:b/>
                      <w:bCs/>
                      <w:kern w:val="0"/>
                      <w:szCs w:val="21"/>
                    </w:rPr>
                  </w:pPr>
                  <w:r>
                    <w:rPr>
                      <w:b/>
                      <w:bCs/>
                      <w:kern w:val="0"/>
                      <w:szCs w:val="21"/>
                    </w:rPr>
                    <w:t>贮存周期</w:t>
                  </w:r>
                </w:p>
              </w:tc>
              <w:tc>
                <w:tcPr>
                  <w:tcW w:w="596" w:type="pct"/>
                  <w:vMerge w:val="restart"/>
                  <w:shd w:val="clear" w:color="auto" w:fill="auto"/>
                  <w:vAlign w:val="center"/>
                </w:tcPr>
                <w:p w14:paraId="294A6A15">
                  <w:pPr>
                    <w:widowControl/>
                    <w:jc w:val="center"/>
                    <w:rPr>
                      <w:b/>
                      <w:bCs/>
                      <w:kern w:val="0"/>
                      <w:szCs w:val="21"/>
                    </w:rPr>
                  </w:pPr>
                  <w:r>
                    <w:rPr>
                      <w:b/>
                      <w:bCs/>
                      <w:kern w:val="0"/>
                      <w:szCs w:val="21"/>
                    </w:rPr>
                    <w:t>合计所需贮存能力（m</w:t>
                  </w:r>
                  <w:r>
                    <w:rPr>
                      <w:b/>
                      <w:bCs/>
                      <w:kern w:val="0"/>
                      <w:szCs w:val="21"/>
                      <w:vertAlign w:val="superscript"/>
                    </w:rPr>
                    <w:t>3</w:t>
                  </w:r>
                  <w:r>
                    <w:rPr>
                      <w:b/>
                      <w:bCs/>
                      <w:kern w:val="0"/>
                      <w:szCs w:val="21"/>
                    </w:rPr>
                    <w:t>）</w:t>
                  </w:r>
                </w:p>
              </w:tc>
              <w:tc>
                <w:tcPr>
                  <w:tcW w:w="1362" w:type="pct"/>
                  <w:gridSpan w:val="3"/>
                  <w:shd w:val="clear" w:color="auto" w:fill="auto"/>
                  <w:vAlign w:val="center"/>
                </w:tcPr>
                <w:p w14:paraId="26D46718">
                  <w:pPr>
                    <w:widowControl/>
                    <w:jc w:val="center"/>
                    <w:rPr>
                      <w:b/>
                      <w:bCs/>
                      <w:kern w:val="0"/>
                      <w:szCs w:val="21"/>
                    </w:rPr>
                  </w:pPr>
                  <w:r>
                    <w:rPr>
                      <w:b/>
                      <w:bCs/>
                      <w:kern w:val="0"/>
                      <w:szCs w:val="21"/>
                    </w:rPr>
                    <w:t>本项目贮存能力</w:t>
                  </w:r>
                </w:p>
              </w:tc>
              <w:tc>
                <w:tcPr>
                  <w:tcW w:w="470" w:type="pct"/>
                  <w:vMerge w:val="restart"/>
                  <w:shd w:val="clear" w:color="auto" w:fill="auto"/>
                  <w:vAlign w:val="center"/>
                </w:tcPr>
                <w:p w14:paraId="3D83D7CA">
                  <w:pPr>
                    <w:widowControl/>
                    <w:jc w:val="center"/>
                    <w:rPr>
                      <w:b/>
                      <w:bCs/>
                      <w:kern w:val="0"/>
                      <w:szCs w:val="21"/>
                    </w:rPr>
                  </w:pPr>
                  <w:r>
                    <w:rPr>
                      <w:b/>
                      <w:bCs/>
                      <w:kern w:val="0"/>
                      <w:szCs w:val="21"/>
                    </w:rPr>
                    <w:t>是否合理</w:t>
                  </w:r>
                </w:p>
              </w:tc>
            </w:tr>
            <w:tr w14:paraId="7CAE02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301" w:type="pct"/>
                  <w:vMerge w:val="continue"/>
                  <w:vAlign w:val="center"/>
                </w:tcPr>
                <w:p w14:paraId="6A733B91">
                  <w:pPr>
                    <w:widowControl/>
                    <w:jc w:val="left"/>
                    <w:rPr>
                      <w:b/>
                      <w:bCs/>
                      <w:kern w:val="0"/>
                      <w:szCs w:val="21"/>
                    </w:rPr>
                  </w:pPr>
                </w:p>
              </w:tc>
              <w:tc>
                <w:tcPr>
                  <w:tcW w:w="508" w:type="pct"/>
                  <w:vMerge w:val="continue"/>
                  <w:vAlign w:val="center"/>
                </w:tcPr>
                <w:p w14:paraId="61C127C7">
                  <w:pPr>
                    <w:widowControl/>
                    <w:jc w:val="left"/>
                    <w:rPr>
                      <w:b/>
                      <w:bCs/>
                      <w:kern w:val="0"/>
                      <w:szCs w:val="21"/>
                    </w:rPr>
                  </w:pPr>
                </w:p>
              </w:tc>
              <w:tc>
                <w:tcPr>
                  <w:tcW w:w="523" w:type="pct"/>
                  <w:vMerge w:val="continue"/>
                  <w:vAlign w:val="center"/>
                </w:tcPr>
                <w:p w14:paraId="4A1FF208">
                  <w:pPr>
                    <w:widowControl/>
                    <w:jc w:val="left"/>
                    <w:rPr>
                      <w:b/>
                      <w:bCs/>
                      <w:kern w:val="0"/>
                      <w:szCs w:val="21"/>
                    </w:rPr>
                  </w:pPr>
                </w:p>
              </w:tc>
              <w:tc>
                <w:tcPr>
                  <w:tcW w:w="714" w:type="pct"/>
                  <w:vMerge w:val="continue"/>
                  <w:vAlign w:val="center"/>
                </w:tcPr>
                <w:p w14:paraId="4694F698">
                  <w:pPr>
                    <w:widowControl/>
                    <w:jc w:val="left"/>
                    <w:rPr>
                      <w:b/>
                      <w:bCs/>
                      <w:kern w:val="0"/>
                      <w:szCs w:val="21"/>
                    </w:rPr>
                  </w:pPr>
                </w:p>
              </w:tc>
              <w:tc>
                <w:tcPr>
                  <w:tcW w:w="527" w:type="pct"/>
                  <w:vMerge w:val="continue"/>
                  <w:vAlign w:val="center"/>
                </w:tcPr>
                <w:p w14:paraId="5BC50F51">
                  <w:pPr>
                    <w:widowControl/>
                    <w:jc w:val="left"/>
                    <w:rPr>
                      <w:b/>
                      <w:bCs/>
                      <w:kern w:val="0"/>
                      <w:szCs w:val="21"/>
                    </w:rPr>
                  </w:pPr>
                </w:p>
              </w:tc>
              <w:tc>
                <w:tcPr>
                  <w:tcW w:w="596" w:type="pct"/>
                  <w:vMerge w:val="continue"/>
                  <w:vAlign w:val="center"/>
                </w:tcPr>
                <w:p w14:paraId="31E9780F">
                  <w:pPr>
                    <w:widowControl/>
                    <w:jc w:val="left"/>
                    <w:rPr>
                      <w:b/>
                      <w:bCs/>
                      <w:kern w:val="0"/>
                      <w:szCs w:val="21"/>
                    </w:rPr>
                  </w:pPr>
                </w:p>
              </w:tc>
              <w:tc>
                <w:tcPr>
                  <w:tcW w:w="470" w:type="pct"/>
                  <w:shd w:val="clear" w:color="auto" w:fill="auto"/>
                  <w:vAlign w:val="center"/>
                </w:tcPr>
                <w:p w14:paraId="64AFA4EC">
                  <w:pPr>
                    <w:widowControl/>
                    <w:jc w:val="center"/>
                    <w:rPr>
                      <w:b/>
                      <w:bCs/>
                      <w:kern w:val="0"/>
                      <w:szCs w:val="21"/>
                    </w:rPr>
                  </w:pPr>
                  <w:r>
                    <w:rPr>
                      <w:b/>
                      <w:bCs/>
                      <w:kern w:val="0"/>
                      <w:szCs w:val="21"/>
                    </w:rPr>
                    <w:t>贮存设施名称</w:t>
                  </w:r>
                </w:p>
              </w:tc>
              <w:tc>
                <w:tcPr>
                  <w:tcW w:w="467" w:type="pct"/>
                  <w:shd w:val="clear" w:color="auto" w:fill="auto"/>
                  <w:vAlign w:val="center"/>
                </w:tcPr>
                <w:p w14:paraId="4156EAE5">
                  <w:pPr>
                    <w:widowControl/>
                    <w:jc w:val="center"/>
                    <w:rPr>
                      <w:b/>
                      <w:bCs/>
                      <w:kern w:val="0"/>
                      <w:szCs w:val="21"/>
                    </w:rPr>
                  </w:pPr>
                  <w:r>
                    <w:rPr>
                      <w:b/>
                      <w:bCs/>
                      <w:kern w:val="0"/>
                      <w:szCs w:val="21"/>
                    </w:rPr>
                    <w:t>剩余面积（m</w:t>
                  </w:r>
                  <w:r>
                    <w:rPr>
                      <w:b/>
                      <w:bCs/>
                      <w:kern w:val="0"/>
                      <w:szCs w:val="21"/>
                      <w:vertAlign w:val="superscript"/>
                    </w:rPr>
                    <w:t>2</w:t>
                  </w:r>
                  <w:r>
                    <w:rPr>
                      <w:b/>
                      <w:bCs/>
                      <w:kern w:val="0"/>
                      <w:szCs w:val="21"/>
                    </w:rPr>
                    <w:t>）</w:t>
                  </w:r>
                </w:p>
              </w:tc>
              <w:tc>
                <w:tcPr>
                  <w:tcW w:w="425" w:type="pct"/>
                  <w:shd w:val="clear" w:color="auto" w:fill="auto"/>
                  <w:vAlign w:val="center"/>
                </w:tcPr>
                <w:p w14:paraId="3E7E2204">
                  <w:pPr>
                    <w:widowControl/>
                    <w:jc w:val="center"/>
                    <w:rPr>
                      <w:b/>
                      <w:bCs/>
                      <w:kern w:val="0"/>
                      <w:szCs w:val="21"/>
                    </w:rPr>
                  </w:pPr>
                  <w:r>
                    <w:rPr>
                      <w:b/>
                      <w:bCs/>
                      <w:kern w:val="0"/>
                      <w:szCs w:val="21"/>
                    </w:rPr>
                    <w:t>能力（m</w:t>
                  </w:r>
                  <w:r>
                    <w:rPr>
                      <w:b/>
                      <w:bCs/>
                      <w:kern w:val="0"/>
                      <w:szCs w:val="21"/>
                      <w:vertAlign w:val="superscript"/>
                    </w:rPr>
                    <w:t>3</w:t>
                  </w:r>
                  <w:r>
                    <w:rPr>
                      <w:b/>
                      <w:bCs/>
                      <w:kern w:val="0"/>
                      <w:szCs w:val="21"/>
                    </w:rPr>
                    <w:t>）</w:t>
                  </w:r>
                </w:p>
              </w:tc>
              <w:tc>
                <w:tcPr>
                  <w:tcW w:w="470" w:type="pct"/>
                  <w:vMerge w:val="continue"/>
                  <w:vAlign w:val="center"/>
                </w:tcPr>
                <w:p w14:paraId="07EBD098">
                  <w:pPr>
                    <w:widowControl/>
                    <w:jc w:val="left"/>
                    <w:rPr>
                      <w:b/>
                      <w:bCs/>
                      <w:kern w:val="0"/>
                      <w:szCs w:val="21"/>
                    </w:rPr>
                  </w:pPr>
                </w:p>
              </w:tc>
            </w:tr>
            <w:tr w14:paraId="0C6A78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01" w:type="pct"/>
                  <w:shd w:val="clear" w:color="auto" w:fill="auto"/>
                  <w:vAlign w:val="center"/>
                </w:tcPr>
                <w:p w14:paraId="3A984EF3">
                  <w:pPr>
                    <w:widowControl/>
                    <w:jc w:val="center"/>
                    <w:rPr>
                      <w:kern w:val="0"/>
                      <w:szCs w:val="21"/>
                    </w:rPr>
                  </w:pPr>
                  <w:r>
                    <w:rPr>
                      <w:kern w:val="0"/>
                      <w:szCs w:val="21"/>
                    </w:rPr>
                    <w:t>1</w:t>
                  </w:r>
                </w:p>
              </w:tc>
              <w:tc>
                <w:tcPr>
                  <w:tcW w:w="508" w:type="pct"/>
                  <w:shd w:val="clear" w:color="auto" w:fill="auto"/>
                  <w:vAlign w:val="center"/>
                </w:tcPr>
                <w:p w14:paraId="00199F11">
                  <w:pPr>
                    <w:widowControl/>
                    <w:jc w:val="center"/>
                    <w:rPr>
                      <w:kern w:val="0"/>
                      <w:szCs w:val="21"/>
                    </w:rPr>
                  </w:pPr>
                  <w:r>
                    <w:rPr>
                      <w:kern w:val="0"/>
                      <w:szCs w:val="21"/>
                    </w:rPr>
                    <w:t>废无油丝S1</w:t>
                  </w:r>
                </w:p>
              </w:tc>
              <w:tc>
                <w:tcPr>
                  <w:tcW w:w="523" w:type="pct"/>
                  <w:shd w:val="clear" w:color="auto" w:fill="auto"/>
                  <w:vAlign w:val="center"/>
                </w:tcPr>
                <w:p w14:paraId="71F7FA08">
                  <w:pPr>
                    <w:widowControl/>
                    <w:jc w:val="center"/>
                    <w:rPr>
                      <w:kern w:val="0"/>
                      <w:szCs w:val="21"/>
                    </w:rPr>
                  </w:pPr>
                  <w:r>
                    <w:rPr>
                      <w:kern w:val="0"/>
                      <w:szCs w:val="21"/>
                    </w:rPr>
                    <w:t>2304.2</w:t>
                  </w:r>
                </w:p>
              </w:tc>
              <w:tc>
                <w:tcPr>
                  <w:tcW w:w="714" w:type="pct"/>
                  <w:shd w:val="clear" w:color="auto" w:fill="auto"/>
                  <w:vAlign w:val="center"/>
                </w:tcPr>
                <w:p w14:paraId="51400137">
                  <w:pPr>
                    <w:widowControl/>
                    <w:jc w:val="center"/>
                    <w:rPr>
                      <w:kern w:val="0"/>
                      <w:szCs w:val="21"/>
                    </w:rPr>
                  </w:pPr>
                  <w:r>
                    <w:rPr>
                      <w:kern w:val="0"/>
                      <w:szCs w:val="21"/>
                    </w:rPr>
                    <w:t>70</w:t>
                  </w:r>
                </w:p>
              </w:tc>
              <w:tc>
                <w:tcPr>
                  <w:tcW w:w="527" w:type="pct"/>
                  <w:shd w:val="clear" w:color="auto" w:fill="auto"/>
                  <w:vAlign w:val="center"/>
                </w:tcPr>
                <w:p w14:paraId="1F7B6948">
                  <w:pPr>
                    <w:widowControl/>
                    <w:jc w:val="center"/>
                    <w:rPr>
                      <w:kern w:val="0"/>
                      <w:szCs w:val="21"/>
                    </w:rPr>
                  </w:pPr>
                  <w:r>
                    <w:rPr>
                      <w:kern w:val="0"/>
                      <w:szCs w:val="21"/>
                    </w:rPr>
                    <w:t>1个月</w:t>
                  </w:r>
                </w:p>
              </w:tc>
              <w:tc>
                <w:tcPr>
                  <w:tcW w:w="596" w:type="pct"/>
                  <w:shd w:val="clear" w:color="auto" w:fill="auto"/>
                  <w:vAlign w:val="center"/>
                </w:tcPr>
                <w:p w14:paraId="5C82C1E0">
                  <w:pPr>
                    <w:widowControl/>
                    <w:jc w:val="center"/>
                    <w:rPr>
                      <w:kern w:val="0"/>
                      <w:szCs w:val="21"/>
                    </w:rPr>
                  </w:pPr>
                  <w:r>
                    <w:rPr>
                      <w:kern w:val="0"/>
                      <w:szCs w:val="21"/>
                    </w:rPr>
                    <w:t>70</w:t>
                  </w:r>
                </w:p>
              </w:tc>
              <w:tc>
                <w:tcPr>
                  <w:tcW w:w="470" w:type="pct"/>
                  <w:shd w:val="clear" w:color="auto" w:fill="auto"/>
                  <w:vAlign w:val="center"/>
                </w:tcPr>
                <w:p w14:paraId="1F549C99">
                  <w:pPr>
                    <w:widowControl/>
                    <w:jc w:val="center"/>
                    <w:rPr>
                      <w:kern w:val="0"/>
                      <w:szCs w:val="21"/>
                    </w:rPr>
                  </w:pPr>
                  <w:r>
                    <w:rPr>
                      <w:kern w:val="0"/>
                      <w:szCs w:val="21"/>
                    </w:rPr>
                    <w:t>一般固废库</w:t>
                  </w:r>
                </w:p>
              </w:tc>
              <w:tc>
                <w:tcPr>
                  <w:tcW w:w="467" w:type="pct"/>
                  <w:vMerge w:val="restart"/>
                  <w:shd w:val="clear" w:color="auto" w:fill="auto"/>
                  <w:vAlign w:val="center"/>
                </w:tcPr>
                <w:p w14:paraId="0C08547B">
                  <w:pPr>
                    <w:widowControl/>
                    <w:jc w:val="center"/>
                    <w:rPr>
                      <w:kern w:val="0"/>
                      <w:szCs w:val="21"/>
                    </w:rPr>
                  </w:pPr>
                  <w:r>
                    <w:rPr>
                      <w:kern w:val="0"/>
                      <w:szCs w:val="21"/>
                    </w:rPr>
                    <w:t>300</w:t>
                  </w:r>
                </w:p>
              </w:tc>
              <w:tc>
                <w:tcPr>
                  <w:tcW w:w="425" w:type="pct"/>
                  <w:vMerge w:val="restart"/>
                  <w:shd w:val="clear" w:color="auto" w:fill="auto"/>
                  <w:vAlign w:val="center"/>
                </w:tcPr>
                <w:p w14:paraId="369D9D52">
                  <w:pPr>
                    <w:widowControl/>
                    <w:jc w:val="center"/>
                    <w:rPr>
                      <w:kern w:val="0"/>
                      <w:szCs w:val="21"/>
                    </w:rPr>
                  </w:pPr>
                  <w:r>
                    <w:rPr>
                      <w:kern w:val="0"/>
                      <w:szCs w:val="21"/>
                    </w:rPr>
                    <w:t>900</w:t>
                  </w:r>
                </w:p>
              </w:tc>
              <w:tc>
                <w:tcPr>
                  <w:tcW w:w="470" w:type="pct"/>
                  <w:shd w:val="clear" w:color="auto" w:fill="auto"/>
                  <w:vAlign w:val="center"/>
                </w:tcPr>
                <w:p w14:paraId="57A913D3">
                  <w:pPr>
                    <w:widowControl/>
                    <w:jc w:val="center"/>
                    <w:rPr>
                      <w:kern w:val="0"/>
                      <w:szCs w:val="21"/>
                    </w:rPr>
                  </w:pPr>
                  <w:r>
                    <w:rPr>
                      <w:kern w:val="0"/>
                      <w:szCs w:val="21"/>
                    </w:rPr>
                    <w:t>合理</w:t>
                  </w:r>
                </w:p>
              </w:tc>
            </w:tr>
            <w:tr w14:paraId="1F78AE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01" w:type="pct"/>
                  <w:shd w:val="clear" w:color="auto" w:fill="auto"/>
                  <w:vAlign w:val="center"/>
                </w:tcPr>
                <w:p w14:paraId="6BAF8A79">
                  <w:pPr>
                    <w:widowControl/>
                    <w:jc w:val="center"/>
                    <w:rPr>
                      <w:kern w:val="0"/>
                      <w:szCs w:val="21"/>
                    </w:rPr>
                  </w:pPr>
                  <w:r>
                    <w:rPr>
                      <w:kern w:val="0"/>
                      <w:szCs w:val="21"/>
                    </w:rPr>
                    <w:t>2</w:t>
                  </w:r>
                </w:p>
              </w:tc>
              <w:tc>
                <w:tcPr>
                  <w:tcW w:w="508" w:type="pct"/>
                  <w:shd w:val="clear" w:color="auto" w:fill="auto"/>
                  <w:vAlign w:val="center"/>
                </w:tcPr>
                <w:p w14:paraId="48602FA1">
                  <w:pPr>
                    <w:widowControl/>
                    <w:jc w:val="center"/>
                    <w:rPr>
                      <w:kern w:val="0"/>
                      <w:szCs w:val="21"/>
                    </w:rPr>
                  </w:pPr>
                  <w:r>
                    <w:rPr>
                      <w:kern w:val="0"/>
                      <w:szCs w:val="21"/>
                    </w:rPr>
                    <w:t>废含油丝S2</w:t>
                  </w:r>
                </w:p>
              </w:tc>
              <w:tc>
                <w:tcPr>
                  <w:tcW w:w="523" w:type="pct"/>
                  <w:shd w:val="clear" w:color="auto" w:fill="auto"/>
                  <w:vAlign w:val="center"/>
                </w:tcPr>
                <w:p w14:paraId="2D100E14">
                  <w:pPr>
                    <w:widowControl/>
                    <w:jc w:val="center"/>
                    <w:rPr>
                      <w:kern w:val="0"/>
                      <w:szCs w:val="21"/>
                    </w:rPr>
                  </w:pPr>
                  <w:r>
                    <w:rPr>
                      <w:kern w:val="0"/>
                      <w:szCs w:val="21"/>
                    </w:rPr>
                    <w:t>2081</w:t>
                  </w:r>
                </w:p>
              </w:tc>
              <w:tc>
                <w:tcPr>
                  <w:tcW w:w="714" w:type="pct"/>
                  <w:shd w:val="clear" w:color="auto" w:fill="auto"/>
                  <w:vAlign w:val="center"/>
                </w:tcPr>
                <w:p w14:paraId="5BF8DFE5">
                  <w:pPr>
                    <w:widowControl/>
                    <w:jc w:val="center"/>
                    <w:rPr>
                      <w:kern w:val="0"/>
                      <w:szCs w:val="21"/>
                    </w:rPr>
                  </w:pPr>
                  <w:r>
                    <w:rPr>
                      <w:kern w:val="0"/>
                      <w:szCs w:val="21"/>
                    </w:rPr>
                    <w:t>60</w:t>
                  </w:r>
                </w:p>
              </w:tc>
              <w:tc>
                <w:tcPr>
                  <w:tcW w:w="527" w:type="pct"/>
                  <w:shd w:val="clear" w:color="auto" w:fill="auto"/>
                  <w:vAlign w:val="center"/>
                </w:tcPr>
                <w:p w14:paraId="75B22ABB">
                  <w:pPr>
                    <w:widowControl/>
                    <w:jc w:val="center"/>
                    <w:rPr>
                      <w:kern w:val="0"/>
                      <w:szCs w:val="21"/>
                    </w:rPr>
                  </w:pPr>
                  <w:r>
                    <w:rPr>
                      <w:kern w:val="0"/>
                      <w:szCs w:val="21"/>
                    </w:rPr>
                    <w:t>1个月</w:t>
                  </w:r>
                </w:p>
              </w:tc>
              <w:tc>
                <w:tcPr>
                  <w:tcW w:w="596" w:type="pct"/>
                  <w:shd w:val="clear" w:color="auto" w:fill="auto"/>
                  <w:vAlign w:val="center"/>
                </w:tcPr>
                <w:p w14:paraId="4F1E4045">
                  <w:pPr>
                    <w:widowControl/>
                    <w:jc w:val="center"/>
                    <w:rPr>
                      <w:kern w:val="0"/>
                      <w:szCs w:val="21"/>
                    </w:rPr>
                  </w:pPr>
                  <w:r>
                    <w:rPr>
                      <w:kern w:val="0"/>
                      <w:szCs w:val="21"/>
                    </w:rPr>
                    <w:t>60</w:t>
                  </w:r>
                </w:p>
              </w:tc>
              <w:tc>
                <w:tcPr>
                  <w:tcW w:w="470" w:type="pct"/>
                  <w:shd w:val="clear" w:color="auto" w:fill="auto"/>
                  <w:vAlign w:val="center"/>
                </w:tcPr>
                <w:p w14:paraId="5694661D">
                  <w:pPr>
                    <w:widowControl/>
                    <w:jc w:val="center"/>
                    <w:rPr>
                      <w:kern w:val="0"/>
                      <w:szCs w:val="21"/>
                    </w:rPr>
                  </w:pPr>
                  <w:r>
                    <w:rPr>
                      <w:kern w:val="0"/>
                      <w:szCs w:val="21"/>
                    </w:rPr>
                    <w:t>一般固废库</w:t>
                  </w:r>
                </w:p>
              </w:tc>
              <w:tc>
                <w:tcPr>
                  <w:tcW w:w="467" w:type="pct"/>
                  <w:vMerge w:val="continue"/>
                  <w:vAlign w:val="center"/>
                </w:tcPr>
                <w:p w14:paraId="161E5894">
                  <w:pPr>
                    <w:widowControl/>
                    <w:jc w:val="left"/>
                    <w:rPr>
                      <w:kern w:val="0"/>
                      <w:szCs w:val="21"/>
                    </w:rPr>
                  </w:pPr>
                </w:p>
              </w:tc>
              <w:tc>
                <w:tcPr>
                  <w:tcW w:w="425" w:type="pct"/>
                  <w:vMerge w:val="continue"/>
                  <w:vAlign w:val="center"/>
                </w:tcPr>
                <w:p w14:paraId="2538EAC7">
                  <w:pPr>
                    <w:widowControl/>
                    <w:jc w:val="left"/>
                    <w:rPr>
                      <w:kern w:val="0"/>
                      <w:szCs w:val="21"/>
                    </w:rPr>
                  </w:pPr>
                </w:p>
              </w:tc>
              <w:tc>
                <w:tcPr>
                  <w:tcW w:w="470" w:type="pct"/>
                  <w:shd w:val="clear" w:color="auto" w:fill="auto"/>
                  <w:vAlign w:val="center"/>
                </w:tcPr>
                <w:p w14:paraId="139392F0">
                  <w:pPr>
                    <w:widowControl/>
                    <w:jc w:val="center"/>
                    <w:rPr>
                      <w:kern w:val="0"/>
                      <w:szCs w:val="21"/>
                    </w:rPr>
                  </w:pPr>
                  <w:r>
                    <w:rPr>
                      <w:kern w:val="0"/>
                      <w:szCs w:val="21"/>
                    </w:rPr>
                    <w:t>合理</w:t>
                  </w:r>
                </w:p>
              </w:tc>
            </w:tr>
            <w:tr w14:paraId="56D4C6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01" w:type="pct"/>
                  <w:shd w:val="clear" w:color="auto" w:fill="auto"/>
                  <w:vAlign w:val="center"/>
                </w:tcPr>
                <w:p w14:paraId="73DD3941">
                  <w:pPr>
                    <w:widowControl/>
                    <w:jc w:val="center"/>
                    <w:rPr>
                      <w:kern w:val="0"/>
                      <w:szCs w:val="21"/>
                    </w:rPr>
                  </w:pPr>
                  <w:r>
                    <w:rPr>
                      <w:kern w:val="0"/>
                      <w:szCs w:val="21"/>
                    </w:rPr>
                    <w:t>3</w:t>
                  </w:r>
                </w:p>
              </w:tc>
              <w:tc>
                <w:tcPr>
                  <w:tcW w:w="508" w:type="pct"/>
                  <w:shd w:val="clear" w:color="auto" w:fill="auto"/>
                  <w:vAlign w:val="center"/>
                </w:tcPr>
                <w:p w14:paraId="08EA78AA">
                  <w:pPr>
                    <w:widowControl/>
                    <w:jc w:val="center"/>
                    <w:rPr>
                      <w:kern w:val="0"/>
                      <w:szCs w:val="21"/>
                    </w:rPr>
                  </w:pPr>
                  <w:r>
                    <w:rPr>
                      <w:kern w:val="0"/>
                      <w:szCs w:val="21"/>
                    </w:rPr>
                    <w:t>杂质废料S8</w:t>
                  </w:r>
                </w:p>
              </w:tc>
              <w:tc>
                <w:tcPr>
                  <w:tcW w:w="523" w:type="pct"/>
                  <w:shd w:val="clear" w:color="auto" w:fill="auto"/>
                  <w:vAlign w:val="center"/>
                </w:tcPr>
                <w:p w14:paraId="2623C396">
                  <w:pPr>
                    <w:widowControl/>
                    <w:jc w:val="center"/>
                    <w:rPr>
                      <w:kern w:val="0"/>
                      <w:szCs w:val="21"/>
                    </w:rPr>
                  </w:pPr>
                  <w:r>
                    <w:rPr>
                      <w:kern w:val="0"/>
                      <w:szCs w:val="21"/>
                    </w:rPr>
                    <w:t>80</w:t>
                  </w:r>
                </w:p>
              </w:tc>
              <w:tc>
                <w:tcPr>
                  <w:tcW w:w="714" w:type="pct"/>
                  <w:shd w:val="clear" w:color="auto" w:fill="auto"/>
                  <w:vAlign w:val="center"/>
                </w:tcPr>
                <w:p w14:paraId="45132350">
                  <w:pPr>
                    <w:widowControl/>
                    <w:jc w:val="center"/>
                    <w:rPr>
                      <w:kern w:val="0"/>
                      <w:szCs w:val="21"/>
                    </w:rPr>
                  </w:pPr>
                  <w:r>
                    <w:rPr>
                      <w:kern w:val="0"/>
                      <w:szCs w:val="21"/>
                    </w:rPr>
                    <w:t>10</w:t>
                  </w:r>
                </w:p>
              </w:tc>
              <w:tc>
                <w:tcPr>
                  <w:tcW w:w="527" w:type="pct"/>
                  <w:shd w:val="clear" w:color="auto" w:fill="auto"/>
                  <w:vAlign w:val="center"/>
                </w:tcPr>
                <w:p w14:paraId="0A3E9B64">
                  <w:pPr>
                    <w:widowControl/>
                    <w:jc w:val="center"/>
                    <w:rPr>
                      <w:kern w:val="0"/>
                      <w:szCs w:val="21"/>
                    </w:rPr>
                  </w:pPr>
                  <w:r>
                    <w:rPr>
                      <w:kern w:val="0"/>
                      <w:szCs w:val="21"/>
                    </w:rPr>
                    <w:t>1个月</w:t>
                  </w:r>
                </w:p>
              </w:tc>
              <w:tc>
                <w:tcPr>
                  <w:tcW w:w="596" w:type="pct"/>
                  <w:shd w:val="clear" w:color="auto" w:fill="auto"/>
                  <w:vAlign w:val="center"/>
                </w:tcPr>
                <w:p w14:paraId="1EDC1150">
                  <w:pPr>
                    <w:widowControl/>
                    <w:jc w:val="center"/>
                    <w:rPr>
                      <w:kern w:val="0"/>
                      <w:szCs w:val="21"/>
                    </w:rPr>
                  </w:pPr>
                  <w:r>
                    <w:rPr>
                      <w:kern w:val="0"/>
                      <w:szCs w:val="21"/>
                    </w:rPr>
                    <w:t>10</w:t>
                  </w:r>
                </w:p>
              </w:tc>
              <w:tc>
                <w:tcPr>
                  <w:tcW w:w="470" w:type="pct"/>
                  <w:shd w:val="clear" w:color="auto" w:fill="auto"/>
                  <w:vAlign w:val="center"/>
                </w:tcPr>
                <w:p w14:paraId="7B90F690">
                  <w:pPr>
                    <w:widowControl/>
                    <w:jc w:val="center"/>
                    <w:rPr>
                      <w:kern w:val="0"/>
                      <w:szCs w:val="21"/>
                    </w:rPr>
                  </w:pPr>
                  <w:r>
                    <w:rPr>
                      <w:kern w:val="0"/>
                      <w:szCs w:val="21"/>
                    </w:rPr>
                    <w:t>一般固废库</w:t>
                  </w:r>
                </w:p>
              </w:tc>
              <w:tc>
                <w:tcPr>
                  <w:tcW w:w="467" w:type="pct"/>
                  <w:vMerge w:val="continue"/>
                  <w:vAlign w:val="center"/>
                </w:tcPr>
                <w:p w14:paraId="034FDD9D">
                  <w:pPr>
                    <w:widowControl/>
                    <w:jc w:val="left"/>
                    <w:rPr>
                      <w:kern w:val="0"/>
                      <w:szCs w:val="21"/>
                    </w:rPr>
                  </w:pPr>
                </w:p>
              </w:tc>
              <w:tc>
                <w:tcPr>
                  <w:tcW w:w="425" w:type="pct"/>
                  <w:vMerge w:val="continue"/>
                  <w:vAlign w:val="center"/>
                </w:tcPr>
                <w:p w14:paraId="29F587B5">
                  <w:pPr>
                    <w:widowControl/>
                    <w:jc w:val="left"/>
                    <w:rPr>
                      <w:kern w:val="0"/>
                      <w:szCs w:val="21"/>
                    </w:rPr>
                  </w:pPr>
                </w:p>
              </w:tc>
              <w:tc>
                <w:tcPr>
                  <w:tcW w:w="470" w:type="pct"/>
                  <w:shd w:val="clear" w:color="auto" w:fill="auto"/>
                  <w:vAlign w:val="center"/>
                </w:tcPr>
                <w:p w14:paraId="4B640305">
                  <w:pPr>
                    <w:widowControl/>
                    <w:jc w:val="center"/>
                    <w:rPr>
                      <w:kern w:val="0"/>
                      <w:szCs w:val="21"/>
                    </w:rPr>
                  </w:pPr>
                  <w:r>
                    <w:rPr>
                      <w:kern w:val="0"/>
                      <w:szCs w:val="21"/>
                    </w:rPr>
                    <w:t>合理</w:t>
                  </w:r>
                </w:p>
              </w:tc>
            </w:tr>
            <w:tr w14:paraId="1BFDF5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01" w:type="pct"/>
                  <w:shd w:val="clear" w:color="auto" w:fill="auto"/>
                  <w:vAlign w:val="center"/>
                </w:tcPr>
                <w:p w14:paraId="3BD428D0">
                  <w:pPr>
                    <w:widowControl/>
                    <w:jc w:val="center"/>
                    <w:rPr>
                      <w:kern w:val="0"/>
                      <w:szCs w:val="21"/>
                    </w:rPr>
                  </w:pPr>
                  <w:r>
                    <w:rPr>
                      <w:kern w:val="0"/>
                      <w:szCs w:val="21"/>
                    </w:rPr>
                    <w:t>4</w:t>
                  </w:r>
                </w:p>
              </w:tc>
              <w:tc>
                <w:tcPr>
                  <w:tcW w:w="508" w:type="pct"/>
                  <w:shd w:val="clear" w:color="auto" w:fill="auto"/>
                  <w:vAlign w:val="center"/>
                </w:tcPr>
                <w:p w14:paraId="552E7ABE">
                  <w:pPr>
                    <w:widowControl/>
                    <w:jc w:val="center"/>
                    <w:rPr>
                      <w:kern w:val="0"/>
                      <w:szCs w:val="21"/>
                    </w:rPr>
                  </w:pPr>
                  <w:r>
                    <w:rPr>
                      <w:kern w:val="0"/>
                      <w:szCs w:val="21"/>
                    </w:rPr>
                    <w:t>摩擦料S10</w:t>
                  </w:r>
                </w:p>
              </w:tc>
              <w:tc>
                <w:tcPr>
                  <w:tcW w:w="523" w:type="pct"/>
                  <w:shd w:val="clear" w:color="auto" w:fill="auto"/>
                  <w:vAlign w:val="center"/>
                </w:tcPr>
                <w:p w14:paraId="7327BA4A">
                  <w:pPr>
                    <w:widowControl/>
                    <w:jc w:val="center"/>
                    <w:rPr>
                      <w:kern w:val="0"/>
                      <w:szCs w:val="21"/>
                    </w:rPr>
                  </w:pPr>
                  <w:r>
                    <w:rPr>
                      <w:kern w:val="0"/>
                      <w:szCs w:val="21"/>
                    </w:rPr>
                    <w:t>24000</w:t>
                  </w:r>
                </w:p>
              </w:tc>
              <w:tc>
                <w:tcPr>
                  <w:tcW w:w="714" w:type="pct"/>
                  <w:shd w:val="clear" w:color="auto" w:fill="auto"/>
                  <w:vAlign w:val="center"/>
                </w:tcPr>
                <w:p w14:paraId="56229EF8">
                  <w:pPr>
                    <w:widowControl/>
                    <w:jc w:val="center"/>
                    <w:rPr>
                      <w:kern w:val="0"/>
                      <w:szCs w:val="21"/>
                    </w:rPr>
                  </w:pPr>
                  <w:r>
                    <w:rPr>
                      <w:kern w:val="0"/>
                      <w:szCs w:val="21"/>
                    </w:rPr>
                    <w:t>450</w:t>
                  </w:r>
                </w:p>
              </w:tc>
              <w:tc>
                <w:tcPr>
                  <w:tcW w:w="527" w:type="pct"/>
                  <w:shd w:val="clear" w:color="auto" w:fill="auto"/>
                  <w:vAlign w:val="center"/>
                </w:tcPr>
                <w:p w14:paraId="09397420">
                  <w:pPr>
                    <w:widowControl/>
                    <w:jc w:val="center"/>
                    <w:rPr>
                      <w:kern w:val="0"/>
                      <w:szCs w:val="21"/>
                    </w:rPr>
                  </w:pPr>
                  <w:r>
                    <w:rPr>
                      <w:kern w:val="0"/>
                      <w:szCs w:val="21"/>
                    </w:rPr>
                    <w:t>7天</w:t>
                  </w:r>
                </w:p>
              </w:tc>
              <w:tc>
                <w:tcPr>
                  <w:tcW w:w="596" w:type="pct"/>
                  <w:shd w:val="clear" w:color="auto" w:fill="auto"/>
                  <w:vAlign w:val="center"/>
                </w:tcPr>
                <w:p w14:paraId="7C28B5E8">
                  <w:pPr>
                    <w:widowControl/>
                    <w:jc w:val="center"/>
                    <w:rPr>
                      <w:kern w:val="0"/>
                      <w:szCs w:val="21"/>
                    </w:rPr>
                  </w:pPr>
                  <w:r>
                    <w:rPr>
                      <w:kern w:val="0"/>
                      <w:szCs w:val="21"/>
                    </w:rPr>
                    <w:t>150</w:t>
                  </w:r>
                </w:p>
              </w:tc>
              <w:tc>
                <w:tcPr>
                  <w:tcW w:w="470" w:type="pct"/>
                  <w:shd w:val="clear" w:color="auto" w:fill="auto"/>
                  <w:vAlign w:val="center"/>
                </w:tcPr>
                <w:p w14:paraId="40D76DA8">
                  <w:pPr>
                    <w:widowControl/>
                    <w:jc w:val="center"/>
                    <w:rPr>
                      <w:kern w:val="0"/>
                      <w:szCs w:val="21"/>
                    </w:rPr>
                  </w:pPr>
                  <w:r>
                    <w:rPr>
                      <w:kern w:val="0"/>
                      <w:szCs w:val="21"/>
                    </w:rPr>
                    <w:t>一般固废库</w:t>
                  </w:r>
                </w:p>
              </w:tc>
              <w:tc>
                <w:tcPr>
                  <w:tcW w:w="467" w:type="pct"/>
                  <w:vMerge w:val="continue"/>
                  <w:vAlign w:val="center"/>
                </w:tcPr>
                <w:p w14:paraId="2396A0EC">
                  <w:pPr>
                    <w:widowControl/>
                    <w:jc w:val="left"/>
                    <w:rPr>
                      <w:kern w:val="0"/>
                      <w:szCs w:val="21"/>
                    </w:rPr>
                  </w:pPr>
                </w:p>
              </w:tc>
              <w:tc>
                <w:tcPr>
                  <w:tcW w:w="425" w:type="pct"/>
                  <w:vMerge w:val="continue"/>
                  <w:vAlign w:val="center"/>
                </w:tcPr>
                <w:p w14:paraId="64A83DDF">
                  <w:pPr>
                    <w:widowControl/>
                    <w:jc w:val="left"/>
                    <w:rPr>
                      <w:kern w:val="0"/>
                      <w:szCs w:val="21"/>
                    </w:rPr>
                  </w:pPr>
                </w:p>
              </w:tc>
              <w:tc>
                <w:tcPr>
                  <w:tcW w:w="470" w:type="pct"/>
                  <w:shd w:val="clear" w:color="auto" w:fill="auto"/>
                  <w:vAlign w:val="center"/>
                </w:tcPr>
                <w:p w14:paraId="255A806F">
                  <w:pPr>
                    <w:widowControl/>
                    <w:jc w:val="center"/>
                    <w:rPr>
                      <w:kern w:val="0"/>
                      <w:szCs w:val="21"/>
                    </w:rPr>
                  </w:pPr>
                  <w:r>
                    <w:rPr>
                      <w:kern w:val="0"/>
                      <w:szCs w:val="21"/>
                    </w:rPr>
                    <w:t>合理</w:t>
                  </w:r>
                </w:p>
              </w:tc>
            </w:tr>
            <w:tr w14:paraId="33A9E0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01" w:type="pct"/>
                  <w:shd w:val="clear" w:color="auto" w:fill="auto"/>
                  <w:vAlign w:val="center"/>
                </w:tcPr>
                <w:p w14:paraId="78CB53EB">
                  <w:pPr>
                    <w:widowControl/>
                    <w:jc w:val="center"/>
                    <w:rPr>
                      <w:kern w:val="0"/>
                      <w:szCs w:val="21"/>
                    </w:rPr>
                  </w:pPr>
                  <w:r>
                    <w:rPr>
                      <w:kern w:val="0"/>
                      <w:szCs w:val="21"/>
                    </w:rPr>
                    <w:t>5</w:t>
                  </w:r>
                </w:p>
              </w:tc>
              <w:tc>
                <w:tcPr>
                  <w:tcW w:w="508" w:type="pct"/>
                  <w:shd w:val="clear" w:color="auto" w:fill="auto"/>
                  <w:vAlign w:val="center"/>
                </w:tcPr>
                <w:p w14:paraId="2B5F6325">
                  <w:pPr>
                    <w:widowControl/>
                    <w:jc w:val="center"/>
                    <w:rPr>
                      <w:kern w:val="0"/>
                      <w:szCs w:val="21"/>
                    </w:rPr>
                  </w:pPr>
                  <w:r>
                    <w:rPr>
                      <w:kern w:val="0"/>
                      <w:szCs w:val="21"/>
                    </w:rPr>
                    <w:t>废布袋S12</w:t>
                  </w:r>
                </w:p>
              </w:tc>
              <w:tc>
                <w:tcPr>
                  <w:tcW w:w="523" w:type="pct"/>
                  <w:shd w:val="clear" w:color="auto" w:fill="auto"/>
                  <w:vAlign w:val="center"/>
                </w:tcPr>
                <w:p w14:paraId="056B5730">
                  <w:pPr>
                    <w:widowControl/>
                    <w:jc w:val="center"/>
                    <w:rPr>
                      <w:kern w:val="0"/>
                      <w:szCs w:val="21"/>
                    </w:rPr>
                  </w:pPr>
                  <w:r>
                    <w:rPr>
                      <w:kern w:val="0"/>
                      <w:szCs w:val="21"/>
                    </w:rPr>
                    <w:t>0.1</w:t>
                  </w:r>
                </w:p>
              </w:tc>
              <w:tc>
                <w:tcPr>
                  <w:tcW w:w="714" w:type="pct"/>
                  <w:shd w:val="clear" w:color="auto" w:fill="auto"/>
                  <w:vAlign w:val="center"/>
                </w:tcPr>
                <w:p w14:paraId="01FC90A0">
                  <w:pPr>
                    <w:widowControl/>
                    <w:jc w:val="center"/>
                    <w:rPr>
                      <w:kern w:val="0"/>
                      <w:szCs w:val="21"/>
                    </w:rPr>
                  </w:pPr>
                  <w:r>
                    <w:rPr>
                      <w:kern w:val="0"/>
                      <w:szCs w:val="21"/>
                    </w:rPr>
                    <w:t>0.1</w:t>
                  </w:r>
                </w:p>
              </w:tc>
              <w:tc>
                <w:tcPr>
                  <w:tcW w:w="527" w:type="pct"/>
                  <w:shd w:val="clear" w:color="auto" w:fill="auto"/>
                  <w:vAlign w:val="center"/>
                </w:tcPr>
                <w:p w14:paraId="514508D7">
                  <w:pPr>
                    <w:widowControl/>
                    <w:jc w:val="center"/>
                    <w:rPr>
                      <w:kern w:val="0"/>
                      <w:szCs w:val="21"/>
                    </w:rPr>
                  </w:pPr>
                  <w:r>
                    <w:rPr>
                      <w:kern w:val="0"/>
                      <w:szCs w:val="21"/>
                    </w:rPr>
                    <w:t>1个月</w:t>
                  </w:r>
                </w:p>
              </w:tc>
              <w:tc>
                <w:tcPr>
                  <w:tcW w:w="596" w:type="pct"/>
                  <w:shd w:val="clear" w:color="auto" w:fill="auto"/>
                  <w:vAlign w:val="center"/>
                </w:tcPr>
                <w:p w14:paraId="6070FB38">
                  <w:pPr>
                    <w:widowControl/>
                    <w:jc w:val="center"/>
                    <w:rPr>
                      <w:kern w:val="0"/>
                      <w:szCs w:val="21"/>
                    </w:rPr>
                  </w:pPr>
                  <w:r>
                    <w:rPr>
                      <w:kern w:val="0"/>
                      <w:szCs w:val="21"/>
                    </w:rPr>
                    <w:t>1</w:t>
                  </w:r>
                </w:p>
              </w:tc>
              <w:tc>
                <w:tcPr>
                  <w:tcW w:w="470" w:type="pct"/>
                  <w:shd w:val="clear" w:color="auto" w:fill="auto"/>
                  <w:vAlign w:val="center"/>
                </w:tcPr>
                <w:p w14:paraId="69627F63">
                  <w:pPr>
                    <w:widowControl/>
                    <w:jc w:val="center"/>
                    <w:rPr>
                      <w:kern w:val="0"/>
                      <w:szCs w:val="21"/>
                    </w:rPr>
                  </w:pPr>
                  <w:r>
                    <w:rPr>
                      <w:kern w:val="0"/>
                      <w:szCs w:val="21"/>
                    </w:rPr>
                    <w:t>一般固废库</w:t>
                  </w:r>
                </w:p>
              </w:tc>
              <w:tc>
                <w:tcPr>
                  <w:tcW w:w="467" w:type="pct"/>
                  <w:vMerge w:val="continue"/>
                  <w:vAlign w:val="center"/>
                </w:tcPr>
                <w:p w14:paraId="02BDF653">
                  <w:pPr>
                    <w:widowControl/>
                    <w:jc w:val="left"/>
                    <w:rPr>
                      <w:kern w:val="0"/>
                      <w:szCs w:val="21"/>
                    </w:rPr>
                  </w:pPr>
                </w:p>
              </w:tc>
              <w:tc>
                <w:tcPr>
                  <w:tcW w:w="425" w:type="pct"/>
                  <w:vMerge w:val="continue"/>
                  <w:vAlign w:val="center"/>
                </w:tcPr>
                <w:p w14:paraId="4C9F7D35">
                  <w:pPr>
                    <w:widowControl/>
                    <w:jc w:val="left"/>
                    <w:rPr>
                      <w:kern w:val="0"/>
                      <w:szCs w:val="21"/>
                    </w:rPr>
                  </w:pPr>
                </w:p>
              </w:tc>
              <w:tc>
                <w:tcPr>
                  <w:tcW w:w="470" w:type="pct"/>
                  <w:shd w:val="clear" w:color="auto" w:fill="auto"/>
                  <w:vAlign w:val="center"/>
                </w:tcPr>
                <w:p w14:paraId="1D9336CC">
                  <w:pPr>
                    <w:widowControl/>
                    <w:jc w:val="center"/>
                    <w:rPr>
                      <w:kern w:val="0"/>
                      <w:szCs w:val="21"/>
                    </w:rPr>
                  </w:pPr>
                  <w:r>
                    <w:rPr>
                      <w:kern w:val="0"/>
                      <w:szCs w:val="21"/>
                    </w:rPr>
                    <w:t>合理</w:t>
                  </w:r>
                </w:p>
              </w:tc>
            </w:tr>
            <w:tr w14:paraId="34BF9F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01" w:type="pct"/>
                  <w:shd w:val="clear" w:color="auto" w:fill="auto"/>
                  <w:vAlign w:val="center"/>
                </w:tcPr>
                <w:p w14:paraId="171F8815">
                  <w:pPr>
                    <w:widowControl/>
                    <w:jc w:val="center"/>
                    <w:rPr>
                      <w:kern w:val="0"/>
                      <w:szCs w:val="21"/>
                    </w:rPr>
                  </w:pPr>
                  <w:r>
                    <w:rPr>
                      <w:kern w:val="0"/>
                      <w:szCs w:val="21"/>
                    </w:rPr>
                    <w:t>6</w:t>
                  </w:r>
                </w:p>
              </w:tc>
              <w:tc>
                <w:tcPr>
                  <w:tcW w:w="508" w:type="pct"/>
                  <w:shd w:val="clear" w:color="auto" w:fill="auto"/>
                  <w:vAlign w:val="center"/>
                </w:tcPr>
                <w:p w14:paraId="2FB443CE">
                  <w:pPr>
                    <w:widowControl/>
                    <w:jc w:val="center"/>
                    <w:rPr>
                      <w:kern w:val="0"/>
                      <w:szCs w:val="21"/>
                    </w:rPr>
                  </w:pPr>
                  <w:r>
                    <w:rPr>
                      <w:kern w:val="0"/>
                      <w:szCs w:val="21"/>
                    </w:rPr>
                    <w:t>废纺丝油剂S3</w:t>
                  </w:r>
                </w:p>
              </w:tc>
              <w:tc>
                <w:tcPr>
                  <w:tcW w:w="523" w:type="pct"/>
                  <w:shd w:val="clear" w:color="auto" w:fill="auto"/>
                  <w:vAlign w:val="center"/>
                </w:tcPr>
                <w:p w14:paraId="3199F5D3">
                  <w:pPr>
                    <w:widowControl/>
                    <w:jc w:val="center"/>
                    <w:rPr>
                      <w:kern w:val="0"/>
                      <w:szCs w:val="21"/>
                    </w:rPr>
                  </w:pPr>
                  <w:r>
                    <w:rPr>
                      <w:kern w:val="0"/>
                      <w:szCs w:val="21"/>
                    </w:rPr>
                    <w:t>70</w:t>
                  </w:r>
                </w:p>
              </w:tc>
              <w:tc>
                <w:tcPr>
                  <w:tcW w:w="714" w:type="pct"/>
                  <w:shd w:val="clear" w:color="auto" w:fill="auto"/>
                  <w:vAlign w:val="center"/>
                </w:tcPr>
                <w:p w14:paraId="7A787E22">
                  <w:pPr>
                    <w:widowControl/>
                    <w:jc w:val="center"/>
                    <w:rPr>
                      <w:kern w:val="0"/>
                      <w:szCs w:val="21"/>
                    </w:rPr>
                  </w:pPr>
                  <w:r>
                    <w:rPr>
                      <w:kern w:val="0"/>
                      <w:szCs w:val="21"/>
                    </w:rPr>
                    <w:t>30</w:t>
                  </w:r>
                </w:p>
              </w:tc>
              <w:tc>
                <w:tcPr>
                  <w:tcW w:w="527" w:type="pct"/>
                  <w:shd w:val="clear" w:color="auto" w:fill="auto"/>
                  <w:vAlign w:val="center"/>
                </w:tcPr>
                <w:p w14:paraId="7B8BE06C">
                  <w:pPr>
                    <w:widowControl/>
                    <w:jc w:val="center"/>
                    <w:rPr>
                      <w:kern w:val="0"/>
                      <w:szCs w:val="21"/>
                    </w:rPr>
                  </w:pPr>
                  <w:r>
                    <w:rPr>
                      <w:kern w:val="0"/>
                      <w:szCs w:val="21"/>
                    </w:rPr>
                    <w:t>3个月</w:t>
                  </w:r>
                </w:p>
              </w:tc>
              <w:tc>
                <w:tcPr>
                  <w:tcW w:w="596" w:type="pct"/>
                  <w:shd w:val="clear" w:color="auto" w:fill="auto"/>
                  <w:vAlign w:val="center"/>
                </w:tcPr>
                <w:p w14:paraId="402D9C06">
                  <w:pPr>
                    <w:widowControl/>
                    <w:jc w:val="center"/>
                    <w:rPr>
                      <w:kern w:val="0"/>
                      <w:szCs w:val="21"/>
                    </w:rPr>
                  </w:pPr>
                  <w:r>
                    <w:rPr>
                      <w:kern w:val="0"/>
                      <w:szCs w:val="21"/>
                    </w:rPr>
                    <w:t>30</w:t>
                  </w:r>
                </w:p>
              </w:tc>
              <w:tc>
                <w:tcPr>
                  <w:tcW w:w="470" w:type="pct"/>
                  <w:shd w:val="clear" w:color="auto" w:fill="auto"/>
                  <w:vAlign w:val="center"/>
                </w:tcPr>
                <w:p w14:paraId="30C777B5">
                  <w:pPr>
                    <w:widowControl/>
                    <w:jc w:val="center"/>
                    <w:rPr>
                      <w:kern w:val="0"/>
                      <w:szCs w:val="21"/>
                    </w:rPr>
                  </w:pPr>
                  <w:r>
                    <w:rPr>
                      <w:kern w:val="0"/>
                      <w:szCs w:val="21"/>
                    </w:rPr>
                    <w:t>危废库</w:t>
                  </w:r>
                </w:p>
              </w:tc>
              <w:tc>
                <w:tcPr>
                  <w:tcW w:w="467" w:type="pct"/>
                  <w:vMerge w:val="restart"/>
                  <w:shd w:val="clear" w:color="auto" w:fill="auto"/>
                  <w:vAlign w:val="center"/>
                </w:tcPr>
                <w:p w14:paraId="6F483950">
                  <w:pPr>
                    <w:widowControl/>
                    <w:jc w:val="center"/>
                    <w:rPr>
                      <w:kern w:val="0"/>
                      <w:szCs w:val="21"/>
                    </w:rPr>
                  </w:pPr>
                  <w:r>
                    <w:rPr>
                      <w:kern w:val="0"/>
                      <w:szCs w:val="21"/>
                    </w:rPr>
                    <w:t>200</w:t>
                  </w:r>
                </w:p>
              </w:tc>
              <w:tc>
                <w:tcPr>
                  <w:tcW w:w="425" w:type="pct"/>
                  <w:vMerge w:val="restart"/>
                  <w:shd w:val="clear" w:color="auto" w:fill="auto"/>
                  <w:vAlign w:val="center"/>
                </w:tcPr>
                <w:p w14:paraId="40CB94BE">
                  <w:pPr>
                    <w:widowControl/>
                    <w:jc w:val="center"/>
                    <w:rPr>
                      <w:kern w:val="0"/>
                      <w:szCs w:val="21"/>
                    </w:rPr>
                  </w:pPr>
                  <w:r>
                    <w:rPr>
                      <w:kern w:val="0"/>
                      <w:szCs w:val="21"/>
                    </w:rPr>
                    <w:t>600</w:t>
                  </w:r>
                </w:p>
              </w:tc>
              <w:tc>
                <w:tcPr>
                  <w:tcW w:w="470" w:type="pct"/>
                  <w:shd w:val="clear" w:color="auto" w:fill="auto"/>
                  <w:vAlign w:val="center"/>
                </w:tcPr>
                <w:p w14:paraId="5D161F67">
                  <w:pPr>
                    <w:widowControl/>
                    <w:jc w:val="center"/>
                    <w:rPr>
                      <w:kern w:val="0"/>
                      <w:szCs w:val="21"/>
                    </w:rPr>
                  </w:pPr>
                  <w:r>
                    <w:rPr>
                      <w:kern w:val="0"/>
                      <w:szCs w:val="21"/>
                    </w:rPr>
                    <w:t>合理</w:t>
                  </w:r>
                </w:p>
              </w:tc>
            </w:tr>
            <w:tr w14:paraId="30ED93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01" w:type="pct"/>
                  <w:shd w:val="clear" w:color="auto" w:fill="auto"/>
                  <w:vAlign w:val="center"/>
                </w:tcPr>
                <w:p w14:paraId="364BD0EE">
                  <w:pPr>
                    <w:widowControl/>
                    <w:jc w:val="center"/>
                    <w:rPr>
                      <w:kern w:val="0"/>
                      <w:szCs w:val="21"/>
                    </w:rPr>
                  </w:pPr>
                  <w:r>
                    <w:rPr>
                      <w:kern w:val="0"/>
                      <w:szCs w:val="21"/>
                    </w:rPr>
                    <w:t>7</w:t>
                  </w:r>
                </w:p>
              </w:tc>
              <w:tc>
                <w:tcPr>
                  <w:tcW w:w="508" w:type="pct"/>
                  <w:shd w:val="clear" w:color="auto" w:fill="auto"/>
                  <w:vAlign w:val="center"/>
                </w:tcPr>
                <w:p w14:paraId="159B0D09">
                  <w:pPr>
                    <w:widowControl/>
                    <w:jc w:val="center"/>
                    <w:rPr>
                      <w:kern w:val="0"/>
                      <w:szCs w:val="21"/>
                    </w:rPr>
                  </w:pPr>
                  <w:r>
                    <w:rPr>
                      <w:kern w:val="0"/>
                      <w:szCs w:val="21"/>
                    </w:rPr>
                    <w:t>废油S4</w:t>
                  </w:r>
                </w:p>
              </w:tc>
              <w:tc>
                <w:tcPr>
                  <w:tcW w:w="523" w:type="pct"/>
                  <w:shd w:val="clear" w:color="auto" w:fill="auto"/>
                  <w:vAlign w:val="center"/>
                </w:tcPr>
                <w:p w14:paraId="784FCC30">
                  <w:pPr>
                    <w:widowControl/>
                    <w:jc w:val="center"/>
                    <w:rPr>
                      <w:kern w:val="0"/>
                      <w:szCs w:val="21"/>
                    </w:rPr>
                  </w:pPr>
                  <w:r>
                    <w:rPr>
                      <w:kern w:val="0"/>
                      <w:szCs w:val="21"/>
                    </w:rPr>
                    <w:t>20</w:t>
                  </w:r>
                </w:p>
              </w:tc>
              <w:tc>
                <w:tcPr>
                  <w:tcW w:w="714" w:type="pct"/>
                  <w:shd w:val="clear" w:color="auto" w:fill="auto"/>
                  <w:vAlign w:val="center"/>
                </w:tcPr>
                <w:p w14:paraId="285936F0">
                  <w:pPr>
                    <w:widowControl/>
                    <w:jc w:val="center"/>
                    <w:rPr>
                      <w:kern w:val="0"/>
                      <w:szCs w:val="21"/>
                    </w:rPr>
                  </w:pPr>
                  <w:r>
                    <w:rPr>
                      <w:kern w:val="0"/>
                      <w:szCs w:val="21"/>
                    </w:rPr>
                    <w:t>10</w:t>
                  </w:r>
                </w:p>
              </w:tc>
              <w:tc>
                <w:tcPr>
                  <w:tcW w:w="527" w:type="pct"/>
                  <w:shd w:val="clear" w:color="auto" w:fill="auto"/>
                  <w:vAlign w:val="center"/>
                </w:tcPr>
                <w:p w14:paraId="019D6571">
                  <w:pPr>
                    <w:widowControl/>
                    <w:jc w:val="center"/>
                    <w:rPr>
                      <w:kern w:val="0"/>
                      <w:szCs w:val="21"/>
                    </w:rPr>
                  </w:pPr>
                  <w:r>
                    <w:rPr>
                      <w:kern w:val="0"/>
                      <w:szCs w:val="21"/>
                    </w:rPr>
                    <w:t>3个月</w:t>
                  </w:r>
                </w:p>
              </w:tc>
              <w:tc>
                <w:tcPr>
                  <w:tcW w:w="596" w:type="pct"/>
                  <w:shd w:val="clear" w:color="auto" w:fill="auto"/>
                  <w:vAlign w:val="center"/>
                </w:tcPr>
                <w:p w14:paraId="0E4941C6">
                  <w:pPr>
                    <w:widowControl/>
                    <w:jc w:val="center"/>
                    <w:rPr>
                      <w:kern w:val="0"/>
                      <w:szCs w:val="21"/>
                    </w:rPr>
                  </w:pPr>
                  <w:r>
                    <w:rPr>
                      <w:kern w:val="0"/>
                      <w:szCs w:val="21"/>
                    </w:rPr>
                    <w:t>10</w:t>
                  </w:r>
                </w:p>
              </w:tc>
              <w:tc>
                <w:tcPr>
                  <w:tcW w:w="470" w:type="pct"/>
                  <w:shd w:val="clear" w:color="auto" w:fill="auto"/>
                  <w:vAlign w:val="center"/>
                </w:tcPr>
                <w:p w14:paraId="2B6CF25E">
                  <w:pPr>
                    <w:widowControl/>
                    <w:jc w:val="center"/>
                    <w:rPr>
                      <w:kern w:val="0"/>
                      <w:szCs w:val="21"/>
                    </w:rPr>
                  </w:pPr>
                  <w:r>
                    <w:rPr>
                      <w:kern w:val="0"/>
                      <w:szCs w:val="21"/>
                    </w:rPr>
                    <w:t>危废库</w:t>
                  </w:r>
                </w:p>
              </w:tc>
              <w:tc>
                <w:tcPr>
                  <w:tcW w:w="467" w:type="pct"/>
                  <w:vMerge w:val="continue"/>
                  <w:vAlign w:val="center"/>
                </w:tcPr>
                <w:p w14:paraId="0D9AD04A">
                  <w:pPr>
                    <w:widowControl/>
                    <w:jc w:val="left"/>
                    <w:rPr>
                      <w:kern w:val="0"/>
                      <w:szCs w:val="21"/>
                    </w:rPr>
                  </w:pPr>
                </w:p>
              </w:tc>
              <w:tc>
                <w:tcPr>
                  <w:tcW w:w="425" w:type="pct"/>
                  <w:vMerge w:val="continue"/>
                  <w:vAlign w:val="center"/>
                </w:tcPr>
                <w:p w14:paraId="07355155">
                  <w:pPr>
                    <w:widowControl/>
                    <w:jc w:val="left"/>
                    <w:rPr>
                      <w:kern w:val="0"/>
                      <w:szCs w:val="21"/>
                    </w:rPr>
                  </w:pPr>
                </w:p>
              </w:tc>
              <w:tc>
                <w:tcPr>
                  <w:tcW w:w="470" w:type="pct"/>
                  <w:shd w:val="clear" w:color="auto" w:fill="auto"/>
                  <w:vAlign w:val="center"/>
                </w:tcPr>
                <w:p w14:paraId="237DECAE">
                  <w:pPr>
                    <w:widowControl/>
                    <w:jc w:val="center"/>
                    <w:rPr>
                      <w:kern w:val="0"/>
                      <w:szCs w:val="21"/>
                    </w:rPr>
                  </w:pPr>
                  <w:r>
                    <w:rPr>
                      <w:kern w:val="0"/>
                      <w:szCs w:val="21"/>
                    </w:rPr>
                    <w:t>合理</w:t>
                  </w:r>
                </w:p>
              </w:tc>
            </w:tr>
            <w:tr w14:paraId="57F3D9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01" w:type="pct"/>
                  <w:shd w:val="clear" w:color="auto" w:fill="auto"/>
                  <w:vAlign w:val="center"/>
                </w:tcPr>
                <w:p w14:paraId="25381EF7">
                  <w:pPr>
                    <w:widowControl/>
                    <w:jc w:val="center"/>
                    <w:rPr>
                      <w:kern w:val="0"/>
                      <w:szCs w:val="21"/>
                    </w:rPr>
                  </w:pPr>
                  <w:r>
                    <w:rPr>
                      <w:kern w:val="0"/>
                      <w:szCs w:val="21"/>
                    </w:rPr>
                    <w:t>8</w:t>
                  </w:r>
                </w:p>
              </w:tc>
              <w:tc>
                <w:tcPr>
                  <w:tcW w:w="508" w:type="pct"/>
                  <w:shd w:val="clear" w:color="auto" w:fill="auto"/>
                  <w:vAlign w:val="center"/>
                </w:tcPr>
                <w:p w14:paraId="7508B7D7">
                  <w:pPr>
                    <w:widowControl/>
                    <w:jc w:val="center"/>
                    <w:rPr>
                      <w:kern w:val="0"/>
                      <w:szCs w:val="21"/>
                    </w:rPr>
                  </w:pPr>
                  <w:r>
                    <w:rPr>
                      <w:kern w:val="0"/>
                      <w:szCs w:val="21"/>
                    </w:rPr>
                    <w:t>废润滑油脂S5</w:t>
                  </w:r>
                </w:p>
              </w:tc>
              <w:tc>
                <w:tcPr>
                  <w:tcW w:w="523" w:type="pct"/>
                  <w:shd w:val="clear" w:color="auto" w:fill="auto"/>
                  <w:vAlign w:val="center"/>
                </w:tcPr>
                <w:p w14:paraId="6A81ADF3">
                  <w:pPr>
                    <w:widowControl/>
                    <w:jc w:val="center"/>
                    <w:rPr>
                      <w:kern w:val="0"/>
                      <w:szCs w:val="21"/>
                    </w:rPr>
                  </w:pPr>
                  <w:r>
                    <w:rPr>
                      <w:kern w:val="0"/>
                      <w:szCs w:val="21"/>
                    </w:rPr>
                    <w:t>0.2</w:t>
                  </w:r>
                </w:p>
              </w:tc>
              <w:tc>
                <w:tcPr>
                  <w:tcW w:w="714" w:type="pct"/>
                  <w:shd w:val="clear" w:color="auto" w:fill="auto"/>
                  <w:vAlign w:val="center"/>
                </w:tcPr>
                <w:p w14:paraId="0BFB28A9">
                  <w:pPr>
                    <w:widowControl/>
                    <w:jc w:val="center"/>
                    <w:rPr>
                      <w:kern w:val="0"/>
                      <w:szCs w:val="21"/>
                    </w:rPr>
                  </w:pPr>
                  <w:r>
                    <w:rPr>
                      <w:kern w:val="0"/>
                      <w:szCs w:val="21"/>
                    </w:rPr>
                    <w:t>1</w:t>
                  </w:r>
                </w:p>
              </w:tc>
              <w:tc>
                <w:tcPr>
                  <w:tcW w:w="527" w:type="pct"/>
                  <w:shd w:val="clear" w:color="auto" w:fill="auto"/>
                  <w:vAlign w:val="center"/>
                </w:tcPr>
                <w:p w14:paraId="3D5385A8">
                  <w:pPr>
                    <w:widowControl/>
                    <w:jc w:val="center"/>
                    <w:rPr>
                      <w:kern w:val="0"/>
                      <w:szCs w:val="21"/>
                    </w:rPr>
                  </w:pPr>
                  <w:r>
                    <w:rPr>
                      <w:kern w:val="0"/>
                      <w:szCs w:val="21"/>
                    </w:rPr>
                    <w:t>3个月</w:t>
                  </w:r>
                </w:p>
              </w:tc>
              <w:tc>
                <w:tcPr>
                  <w:tcW w:w="596" w:type="pct"/>
                  <w:shd w:val="clear" w:color="auto" w:fill="auto"/>
                  <w:vAlign w:val="center"/>
                </w:tcPr>
                <w:p w14:paraId="483B4297">
                  <w:pPr>
                    <w:widowControl/>
                    <w:jc w:val="center"/>
                    <w:rPr>
                      <w:kern w:val="0"/>
                      <w:szCs w:val="21"/>
                    </w:rPr>
                  </w:pPr>
                  <w:r>
                    <w:rPr>
                      <w:kern w:val="0"/>
                      <w:szCs w:val="21"/>
                    </w:rPr>
                    <w:t>1</w:t>
                  </w:r>
                </w:p>
              </w:tc>
              <w:tc>
                <w:tcPr>
                  <w:tcW w:w="470" w:type="pct"/>
                  <w:shd w:val="clear" w:color="auto" w:fill="auto"/>
                  <w:vAlign w:val="center"/>
                </w:tcPr>
                <w:p w14:paraId="24767C6A">
                  <w:pPr>
                    <w:widowControl/>
                    <w:jc w:val="center"/>
                    <w:rPr>
                      <w:kern w:val="0"/>
                      <w:szCs w:val="21"/>
                    </w:rPr>
                  </w:pPr>
                  <w:r>
                    <w:rPr>
                      <w:kern w:val="0"/>
                      <w:szCs w:val="21"/>
                    </w:rPr>
                    <w:t>危废库</w:t>
                  </w:r>
                </w:p>
              </w:tc>
              <w:tc>
                <w:tcPr>
                  <w:tcW w:w="467" w:type="pct"/>
                  <w:vMerge w:val="continue"/>
                  <w:vAlign w:val="center"/>
                </w:tcPr>
                <w:p w14:paraId="708FB503">
                  <w:pPr>
                    <w:widowControl/>
                    <w:jc w:val="left"/>
                    <w:rPr>
                      <w:kern w:val="0"/>
                      <w:szCs w:val="21"/>
                    </w:rPr>
                  </w:pPr>
                </w:p>
              </w:tc>
              <w:tc>
                <w:tcPr>
                  <w:tcW w:w="425" w:type="pct"/>
                  <w:vMerge w:val="continue"/>
                  <w:vAlign w:val="center"/>
                </w:tcPr>
                <w:p w14:paraId="5420315E">
                  <w:pPr>
                    <w:widowControl/>
                    <w:jc w:val="left"/>
                    <w:rPr>
                      <w:kern w:val="0"/>
                      <w:szCs w:val="21"/>
                    </w:rPr>
                  </w:pPr>
                </w:p>
              </w:tc>
              <w:tc>
                <w:tcPr>
                  <w:tcW w:w="470" w:type="pct"/>
                  <w:shd w:val="clear" w:color="auto" w:fill="auto"/>
                  <w:vAlign w:val="center"/>
                </w:tcPr>
                <w:p w14:paraId="7212D7F5">
                  <w:pPr>
                    <w:widowControl/>
                    <w:jc w:val="center"/>
                    <w:rPr>
                      <w:kern w:val="0"/>
                      <w:szCs w:val="21"/>
                    </w:rPr>
                  </w:pPr>
                  <w:r>
                    <w:rPr>
                      <w:kern w:val="0"/>
                      <w:szCs w:val="21"/>
                    </w:rPr>
                    <w:t>合理</w:t>
                  </w:r>
                </w:p>
              </w:tc>
            </w:tr>
            <w:tr w14:paraId="7AE2B2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01" w:type="pct"/>
                  <w:shd w:val="clear" w:color="auto" w:fill="auto"/>
                  <w:vAlign w:val="center"/>
                </w:tcPr>
                <w:p w14:paraId="40D9A14F">
                  <w:pPr>
                    <w:widowControl/>
                    <w:jc w:val="center"/>
                    <w:rPr>
                      <w:kern w:val="0"/>
                      <w:szCs w:val="21"/>
                    </w:rPr>
                  </w:pPr>
                  <w:r>
                    <w:rPr>
                      <w:kern w:val="0"/>
                      <w:szCs w:val="21"/>
                    </w:rPr>
                    <w:t>9</w:t>
                  </w:r>
                </w:p>
              </w:tc>
              <w:tc>
                <w:tcPr>
                  <w:tcW w:w="508" w:type="pct"/>
                  <w:shd w:val="clear" w:color="auto" w:fill="auto"/>
                  <w:vAlign w:val="center"/>
                </w:tcPr>
                <w:p w14:paraId="780E1D47">
                  <w:pPr>
                    <w:widowControl/>
                    <w:jc w:val="center"/>
                    <w:rPr>
                      <w:kern w:val="0"/>
                      <w:szCs w:val="21"/>
                    </w:rPr>
                  </w:pPr>
                  <w:r>
                    <w:rPr>
                      <w:kern w:val="0"/>
                      <w:szCs w:val="21"/>
                    </w:rPr>
                    <w:t>废有机溶剂S6</w:t>
                  </w:r>
                </w:p>
              </w:tc>
              <w:tc>
                <w:tcPr>
                  <w:tcW w:w="523" w:type="pct"/>
                  <w:shd w:val="clear" w:color="auto" w:fill="auto"/>
                  <w:vAlign w:val="center"/>
                </w:tcPr>
                <w:p w14:paraId="508614DE">
                  <w:pPr>
                    <w:widowControl/>
                    <w:jc w:val="center"/>
                    <w:rPr>
                      <w:kern w:val="0"/>
                      <w:szCs w:val="21"/>
                    </w:rPr>
                  </w:pPr>
                  <w:r>
                    <w:rPr>
                      <w:kern w:val="0"/>
                      <w:szCs w:val="21"/>
                    </w:rPr>
                    <w:t>1.5</w:t>
                  </w:r>
                </w:p>
              </w:tc>
              <w:tc>
                <w:tcPr>
                  <w:tcW w:w="714" w:type="pct"/>
                  <w:shd w:val="clear" w:color="auto" w:fill="auto"/>
                  <w:vAlign w:val="center"/>
                </w:tcPr>
                <w:p w14:paraId="42DB6E07">
                  <w:pPr>
                    <w:widowControl/>
                    <w:jc w:val="center"/>
                    <w:rPr>
                      <w:kern w:val="0"/>
                      <w:szCs w:val="21"/>
                    </w:rPr>
                  </w:pPr>
                  <w:r>
                    <w:rPr>
                      <w:kern w:val="0"/>
                      <w:szCs w:val="21"/>
                    </w:rPr>
                    <w:t>1</w:t>
                  </w:r>
                </w:p>
              </w:tc>
              <w:tc>
                <w:tcPr>
                  <w:tcW w:w="527" w:type="pct"/>
                  <w:shd w:val="clear" w:color="auto" w:fill="auto"/>
                  <w:vAlign w:val="center"/>
                </w:tcPr>
                <w:p w14:paraId="7718D32A">
                  <w:pPr>
                    <w:widowControl/>
                    <w:jc w:val="center"/>
                    <w:rPr>
                      <w:kern w:val="0"/>
                      <w:szCs w:val="21"/>
                    </w:rPr>
                  </w:pPr>
                  <w:r>
                    <w:rPr>
                      <w:kern w:val="0"/>
                      <w:szCs w:val="21"/>
                    </w:rPr>
                    <w:t>3个月</w:t>
                  </w:r>
                </w:p>
              </w:tc>
              <w:tc>
                <w:tcPr>
                  <w:tcW w:w="596" w:type="pct"/>
                  <w:shd w:val="clear" w:color="auto" w:fill="auto"/>
                  <w:vAlign w:val="center"/>
                </w:tcPr>
                <w:p w14:paraId="0E69DD2F">
                  <w:pPr>
                    <w:widowControl/>
                    <w:jc w:val="center"/>
                    <w:rPr>
                      <w:kern w:val="0"/>
                      <w:szCs w:val="21"/>
                    </w:rPr>
                  </w:pPr>
                  <w:r>
                    <w:rPr>
                      <w:kern w:val="0"/>
                      <w:szCs w:val="21"/>
                    </w:rPr>
                    <w:t>1</w:t>
                  </w:r>
                </w:p>
              </w:tc>
              <w:tc>
                <w:tcPr>
                  <w:tcW w:w="470" w:type="pct"/>
                  <w:shd w:val="clear" w:color="auto" w:fill="auto"/>
                  <w:vAlign w:val="center"/>
                </w:tcPr>
                <w:p w14:paraId="0E570F59">
                  <w:pPr>
                    <w:widowControl/>
                    <w:jc w:val="center"/>
                    <w:rPr>
                      <w:kern w:val="0"/>
                      <w:szCs w:val="21"/>
                    </w:rPr>
                  </w:pPr>
                  <w:r>
                    <w:rPr>
                      <w:kern w:val="0"/>
                      <w:szCs w:val="21"/>
                    </w:rPr>
                    <w:t>危废库</w:t>
                  </w:r>
                </w:p>
              </w:tc>
              <w:tc>
                <w:tcPr>
                  <w:tcW w:w="467" w:type="pct"/>
                  <w:vMerge w:val="continue"/>
                  <w:vAlign w:val="center"/>
                </w:tcPr>
                <w:p w14:paraId="3CF47072">
                  <w:pPr>
                    <w:widowControl/>
                    <w:jc w:val="left"/>
                    <w:rPr>
                      <w:kern w:val="0"/>
                      <w:szCs w:val="21"/>
                    </w:rPr>
                  </w:pPr>
                </w:p>
              </w:tc>
              <w:tc>
                <w:tcPr>
                  <w:tcW w:w="425" w:type="pct"/>
                  <w:vMerge w:val="continue"/>
                  <w:vAlign w:val="center"/>
                </w:tcPr>
                <w:p w14:paraId="088A9837">
                  <w:pPr>
                    <w:widowControl/>
                    <w:jc w:val="left"/>
                    <w:rPr>
                      <w:kern w:val="0"/>
                      <w:szCs w:val="21"/>
                    </w:rPr>
                  </w:pPr>
                </w:p>
              </w:tc>
              <w:tc>
                <w:tcPr>
                  <w:tcW w:w="470" w:type="pct"/>
                  <w:shd w:val="clear" w:color="auto" w:fill="auto"/>
                  <w:vAlign w:val="center"/>
                </w:tcPr>
                <w:p w14:paraId="47FE1E71">
                  <w:pPr>
                    <w:widowControl/>
                    <w:jc w:val="center"/>
                    <w:rPr>
                      <w:kern w:val="0"/>
                      <w:szCs w:val="21"/>
                    </w:rPr>
                  </w:pPr>
                  <w:r>
                    <w:rPr>
                      <w:kern w:val="0"/>
                      <w:szCs w:val="21"/>
                    </w:rPr>
                    <w:t>合理</w:t>
                  </w:r>
                </w:p>
              </w:tc>
            </w:tr>
            <w:tr w14:paraId="1A9F59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01" w:type="pct"/>
                  <w:shd w:val="clear" w:color="auto" w:fill="auto"/>
                  <w:vAlign w:val="center"/>
                </w:tcPr>
                <w:p w14:paraId="65DAACCF">
                  <w:pPr>
                    <w:widowControl/>
                    <w:jc w:val="center"/>
                    <w:rPr>
                      <w:kern w:val="0"/>
                      <w:szCs w:val="21"/>
                    </w:rPr>
                  </w:pPr>
                  <w:r>
                    <w:rPr>
                      <w:kern w:val="0"/>
                      <w:szCs w:val="21"/>
                    </w:rPr>
                    <w:t>10</w:t>
                  </w:r>
                </w:p>
              </w:tc>
              <w:tc>
                <w:tcPr>
                  <w:tcW w:w="508" w:type="pct"/>
                  <w:shd w:val="clear" w:color="auto" w:fill="auto"/>
                  <w:vAlign w:val="center"/>
                </w:tcPr>
                <w:p w14:paraId="1124653B">
                  <w:pPr>
                    <w:widowControl/>
                    <w:jc w:val="center"/>
                    <w:rPr>
                      <w:kern w:val="0"/>
                      <w:szCs w:val="21"/>
                    </w:rPr>
                  </w:pPr>
                  <w:r>
                    <w:rPr>
                      <w:kern w:val="0"/>
                      <w:szCs w:val="21"/>
                    </w:rPr>
                    <w:t>废碱液S7</w:t>
                  </w:r>
                </w:p>
              </w:tc>
              <w:tc>
                <w:tcPr>
                  <w:tcW w:w="523" w:type="pct"/>
                  <w:shd w:val="clear" w:color="auto" w:fill="auto"/>
                  <w:vAlign w:val="center"/>
                </w:tcPr>
                <w:p w14:paraId="3C4C4EB8">
                  <w:pPr>
                    <w:widowControl/>
                    <w:jc w:val="center"/>
                    <w:rPr>
                      <w:kern w:val="0"/>
                      <w:szCs w:val="21"/>
                    </w:rPr>
                  </w:pPr>
                  <w:r>
                    <w:rPr>
                      <w:kern w:val="0"/>
                      <w:szCs w:val="21"/>
                    </w:rPr>
                    <w:t>10</w:t>
                  </w:r>
                </w:p>
              </w:tc>
              <w:tc>
                <w:tcPr>
                  <w:tcW w:w="714" w:type="pct"/>
                  <w:shd w:val="clear" w:color="auto" w:fill="auto"/>
                  <w:vAlign w:val="center"/>
                </w:tcPr>
                <w:p w14:paraId="5674AADB">
                  <w:pPr>
                    <w:widowControl/>
                    <w:jc w:val="center"/>
                    <w:rPr>
                      <w:kern w:val="0"/>
                      <w:szCs w:val="21"/>
                    </w:rPr>
                  </w:pPr>
                  <w:r>
                    <w:rPr>
                      <w:kern w:val="0"/>
                      <w:szCs w:val="21"/>
                    </w:rPr>
                    <w:t>1</w:t>
                  </w:r>
                </w:p>
              </w:tc>
              <w:tc>
                <w:tcPr>
                  <w:tcW w:w="527" w:type="pct"/>
                  <w:shd w:val="clear" w:color="auto" w:fill="auto"/>
                  <w:vAlign w:val="center"/>
                </w:tcPr>
                <w:p w14:paraId="54CB6E5F">
                  <w:pPr>
                    <w:widowControl/>
                    <w:jc w:val="center"/>
                    <w:rPr>
                      <w:kern w:val="0"/>
                      <w:szCs w:val="21"/>
                    </w:rPr>
                  </w:pPr>
                  <w:r>
                    <w:rPr>
                      <w:kern w:val="0"/>
                      <w:szCs w:val="21"/>
                    </w:rPr>
                    <w:t>3个月</w:t>
                  </w:r>
                </w:p>
              </w:tc>
              <w:tc>
                <w:tcPr>
                  <w:tcW w:w="596" w:type="pct"/>
                  <w:shd w:val="clear" w:color="auto" w:fill="auto"/>
                  <w:vAlign w:val="center"/>
                </w:tcPr>
                <w:p w14:paraId="1B56120C">
                  <w:pPr>
                    <w:widowControl/>
                    <w:jc w:val="center"/>
                    <w:rPr>
                      <w:kern w:val="0"/>
                      <w:szCs w:val="21"/>
                    </w:rPr>
                  </w:pPr>
                  <w:r>
                    <w:rPr>
                      <w:kern w:val="0"/>
                      <w:szCs w:val="21"/>
                    </w:rPr>
                    <w:t>1</w:t>
                  </w:r>
                </w:p>
              </w:tc>
              <w:tc>
                <w:tcPr>
                  <w:tcW w:w="470" w:type="pct"/>
                  <w:shd w:val="clear" w:color="auto" w:fill="auto"/>
                  <w:vAlign w:val="center"/>
                </w:tcPr>
                <w:p w14:paraId="4FFF208A">
                  <w:pPr>
                    <w:widowControl/>
                    <w:jc w:val="center"/>
                    <w:rPr>
                      <w:kern w:val="0"/>
                      <w:szCs w:val="21"/>
                    </w:rPr>
                  </w:pPr>
                  <w:r>
                    <w:rPr>
                      <w:kern w:val="0"/>
                      <w:szCs w:val="21"/>
                    </w:rPr>
                    <w:t>危废库</w:t>
                  </w:r>
                </w:p>
              </w:tc>
              <w:tc>
                <w:tcPr>
                  <w:tcW w:w="467" w:type="pct"/>
                  <w:vMerge w:val="continue"/>
                  <w:vAlign w:val="center"/>
                </w:tcPr>
                <w:p w14:paraId="0990213B">
                  <w:pPr>
                    <w:widowControl/>
                    <w:jc w:val="left"/>
                    <w:rPr>
                      <w:kern w:val="0"/>
                      <w:szCs w:val="21"/>
                    </w:rPr>
                  </w:pPr>
                </w:p>
              </w:tc>
              <w:tc>
                <w:tcPr>
                  <w:tcW w:w="425" w:type="pct"/>
                  <w:vMerge w:val="continue"/>
                  <w:vAlign w:val="center"/>
                </w:tcPr>
                <w:p w14:paraId="795798C4">
                  <w:pPr>
                    <w:widowControl/>
                    <w:jc w:val="left"/>
                    <w:rPr>
                      <w:kern w:val="0"/>
                      <w:szCs w:val="21"/>
                    </w:rPr>
                  </w:pPr>
                </w:p>
              </w:tc>
              <w:tc>
                <w:tcPr>
                  <w:tcW w:w="470" w:type="pct"/>
                  <w:shd w:val="clear" w:color="auto" w:fill="auto"/>
                  <w:vAlign w:val="center"/>
                </w:tcPr>
                <w:p w14:paraId="308C8A38">
                  <w:pPr>
                    <w:widowControl/>
                    <w:jc w:val="center"/>
                    <w:rPr>
                      <w:kern w:val="0"/>
                      <w:szCs w:val="21"/>
                    </w:rPr>
                  </w:pPr>
                  <w:r>
                    <w:rPr>
                      <w:kern w:val="0"/>
                      <w:szCs w:val="21"/>
                    </w:rPr>
                    <w:t>合理</w:t>
                  </w:r>
                </w:p>
              </w:tc>
            </w:tr>
            <w:tr w14:paraId="551EA0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301" w:type="pct"/>
                  <w:shd w:val="clear" w:color="auto" w:fill="auto"/>
                  <w:vAlign w:val="center"/>
                </w:tcPr>
                <w:p w14:paraId="6E3148A4">
                  <w:pPr>
                    <w:widowControl/>
                    <w:jc w:val="center"/>
                    <w:rPr>
                      <w:kern w:val="0"/>
                      <w:szCs w:val="21"/>
                    </w:rPr>
                  </w:pPr>
                  <w:r>
                    <w:rPr>
                      <w:kern w:val="0"/>
                      <w:szCs w:val="21"/>
                    </w:rPr>
                    <w:t>11</w:t>
                  </w:r>
                </w:p>
              </w:tc>
              <w:tc>
                <w:tcPr>
                  <w:tcW w:w="508" w:type="pct"/>
                  <w:shd w:val="clear" w:color="auto" w:fill="auto"/>
                  <w:vAlign w:val="center"/>
                </w:tcPr>
                <w:p w14:paraId="73BCB6D5">
                  <w:pPr>
                    <w:widowControl/>
                    <w:jc w:val="center"/>
                    <w:rPr>
                      <w:kern w:val="0"/>
                      <w:szCs w:val="21"/>
                    </w:rPr>
                  </w:pPr>
                  <w:r>
                    <w:rPr>
                      <w:kern w:val="0"/>
                      <w:szCs w:val="21"/>
                    </w:rPr>
                    <w:t>废包装桶（瓶）S9</w:t>
                  </w:r>
                </w:p>
              </w:tc>
              <w:tc>
                <w:tcPr>
                  <w:tcW w:w="523" w:type="pct"/>
                  <w:shd w:val="clear" w:color="auto" w:fill="auto"/>
                  <w:vAlign w:val="center"/>
                </w:tcPr>
                <w:p w14:paraId="29BF01F1">
                  <w:pPr>
                    <w:widowControl/>
                    <w:jc w:val="center"/>
                    <w:rPr>
                      <w:kern w:val="0"/>
                      <w:szCs w:val="21"/>
                    </w:rPr>
                  </w:pPr>
                  <w:r>
                    <w:rPr>
                      <w:kern w:val="0"/>
                      <w:szCs w:val="21"/>
                    </w:rPr>
                    <w:t>8</w:t>
                  </w:r>
                </w:p>
              </w:tc>
              <w:tc>
                <w:tcPr>
                  <w:tcW w:w="714" w:type="pct"/>
                  <w:shd w:val="clear" w:color="auto" w:fill="auto"/>
                  <w:noWrap/>
                  <w:vAlign w:val="center"/>
                </w:tcPr>
                <w:p w14:paraId="1FBA3812">
                  <w:pPr>
                    <w:widowControl/>
                    <w:jc w:val="center"/>
                    <w:rPr>
                      <w:kern w:val="0"/>
                      <w:sz w:val="22"/>
                      <w:szCs w:val="22"/>
                    </w:rPr>
                  </w:pPr>
                  <w:r>
                    <w:rPr>
                      <w:kern w:val="0"/>
                      <w:sz w:val="22"/>
                      <w:szCs w:val="22"/>
                    </w:rPr>
                    <w:t>5</w:t>
                  </w:r>
                </w:p>
              </w:tc>
              <w:tc>
                <w:tcPr>
                  <w:tcW w:w="527" w:type="pct"/>
                  <w:shd w:val="clear" w:color="auto" w:fill="auto"/>
                  <w:vAlign w:val="center"/>
                </w:tcPr>
                <w:p w14:paraId="4605C2E3">
                  <w:pPr>
                    <w:widowControl/>
                    <w:jc w:val="center"/>
                    <w:rPr>
                      <w:kern w:val="0"/>
                      <w:szCs w:val="21"/>
                    </w:rPr>
                  </w:pPr>
                  <w:r>
                    <w:rPr>
                      <w:kern w:val="0"/>
                      <w:szCs w:val="21"/>
                    </w:rPr>
                    <w:t>3个月</w:t>
                  </w:r>
                </w:p>
              </w:tc>
              <w:tc>
                <w:tcPr>
                  <w:tcW w:w="596" w:type="pct"/>
                  <w:shd w:val="clear" w:color="auto" w:fill="auto"/>
                  <w:noWrap/>
                  <w:vAlign w:val="center"/>
                </w:tcPr>
                <w:p w14:paraId="661248B7">
                  <w:pPr>
                    <w:widowControl/>
                    <w:jc w:val="center"/>
                    <w:rPr>
                      <w:kern w:val="0"/>
                      <w:sz w:val="22"/>
                      <w:szCs w:val="22"/>
                    </w:rPr>
                  </w:pPr>
                  <w:r>
                    <w:rPr>
                      <w:kern w:val="0"/>
                      <w:sz w:val="22"/>
                      <w:szCs w:val="22"/>
                    </w:rPr>
                    <w:t>5</w:t>
                  </w:r>
                </w:p>
              </w:tc>
              <w:tc>
                <w:tcPr>
                  <w:tcW w:w="470" w:type="pct"/>
                  <w:shd w:val="clear" w:color="auto" w:fill="auto"/>
                  <w:vAlign w:val="center"/>
                </w:tcPr>
                <w:p w14:paraId="667C94E8">
                  <w:pPr>
                    <w:widowControl/>
                    <w:jc w:val="center"/>
                    <w:rPr>
                      <w:kern w:val="0"/>
                      <w:szCs w:val="21"/>
                    </w:rPr>
                  </w:pPr>
                  <w:r>
                    <w:rPr>
                      <w:kern w:val="0"/>
                      <w:szCs w:val="21"/>
                    </w:rPr>
                    <w:t>危废库</w:t>
                  </w:r>
                </w:p>
              </w:tc>
              <w:tc>
                <w:tcPr>
                  <w:tcW w:w="467" w:type="pct"/>
                  <w:vMerge w:val="continue"/>
                  <w:vAlign w:val="center"/>
                </w:tcPr>
                <w:p w14:paraId="54696EDB">
                  <w:pPr>
                    <w:widowControl/>
                    <w:jc w:val="left"/>
                    <w:rPr>
                      <w:kern w:val="0"/>
                      <w:szCs w:val="21"/>
                    </w:rPr>
                  </w:pPr>
                </w:p>
              </w:tc>
              <w:tc>
                <w:tcPr>
                  <w:tcW w:w="425" w:type="pct"/>
                  <w:vMerge w:val="continue"/>
                  <w:vAlign w:val="center"/>
                </w:tcPr>
                <w:p w14:paraId="6BCEBAF2">
                  <w:pPr>
                    <w:widowControl/>
                    <w:jc w:val="left"/>
                    <w:rPr>
                      <w:kern w:val="0"/>
                      <w:szCs w:val="21"/>
                    </w:rPr>
                  </w:pPr>
                </w:p>
              </w:tc>
              <w:tc>
                <w:tcPr>
                  <w:tcW w:w="470" w:type="pct"/>
                  <w:shd w:val="clear" w:color="auto" w:fill="auto"/>
                  <w:vAlign w:val="center"/>
                </w:tcPr>
                <w:p w14:paraId="74E6CBA0">
                  <w:pPr>
                    <w:widowControl/>
                    <w:jc w:val="center"/>
                    <w:rPr>
                      <w:kern w:val="0"/>
                      <w:szCs w:val="21"/>
                    </w:rPr>
                  </w:pPr>
                  <w:r>
                    <w:rPr>
                      <w:kern w:val="0"/>
                      <w:szCs w:val="21"/>
                    </w:rPr>
                    <w:t>合理</w:t>
                  </w:r>
                </w:p>
              </w:tc>
            </w:tr>
            <w:tr w14:paraId="73E06E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01" w:type="pct"/>
                  <w:shd w:val="clear" w:color="auto" w:fill="auto"/>
                  <w:vAlign w:val="center"/>
                </w:tcPr>
                <w:p w14:paraId="1309C7AF">
                  <w:pPr>
                    <w:widowControl/>
                    <w:jc w:val="center"/>
                    <w:rPr>
                      <w:kern w:val="0"/>
                      <w:szCs w:val="21"/>
                    </w:rPr>
                  </w:pPr>
                  <w:r>
                    <w:rPr>
                      <w:kern w:val="0"/>
                      <w:szCs w:val="21"/>
                    </w:rPr>
                    <w:t>12</w:t>
                  </w:r>
                </w:p>
              </w:tc>
              <w:tc>
                <w:tcPr>
                  <w:tcW w:w="508" w:type="pct"/>
                  <w:shd w:val="clear" w:color="auto" w:fill="auto"/>
                  <w:vAlign w:val="center"/>
                </w:tcPr>
                <w:p w14:paraId="793E478F">
                  <w:pPr>
                    <w:widowControl/>
                    <w:jc w:val="center"/>
                    <w:rPr>
                      <w:kern w:val="0"/>
                      <w:szCs w:val="21"/>
                    </w:rPr>
                  </w:pPr>
                  <w:r>
                    <w:rPr>
                      <w:kern w:val="0"/>
                      <w:szCs w:val="21"/>
                    </w:rPr>
                    <w:t>油泥S11</w:t>
                  </w:r>
                </w:p>
              </w:tc>
              <w:tc>
                <w:tcPr>
                  <w:tcW w:w="523" w:type="pct"/>
                  <w:shd w:val="clear" w:color="auto" w:fill="auto"/>
                  <w:noWrap/>
                  <w:vAlign w:val="center"/>
                </w:tcPr>
                <w:p w14:paraId="654C219F">
                  <w:pPr>
                    <w:widowControl/>
                    <w:jc w:val="center"/>
                    <w:rPr>
                      <w:kern w:val="0"/>
                      <w:sz w:val="22"/>
                      <w:szCs w:val="22"/>
                    </w:rPr>
                  </w:pPr>
                  <w:r>
                    <w:rPr>
                      <w:kern w:val="0"/>
                      <w:sz w:val="22"/>
                      <w:szCs w:val="22"/>
                    </w:rPr>
                    <w:t>0.1</w:t>
                  </w:r>
                </w:p>
              </w:tc>
              <w:tc>
                <w:tcPr>
                  <w:tcW w:w="714" w:type="pct"/>
                  <w:shd w:val="clear" w:color="auto" w:fill="auto"/>
                  <w:noWrap/>
                  <w:vAlign w:val="center"/>
                </w:tcPr>
                <w:p w14:paraId="34B2C786">
                  <w:pPr>
                    <w:widowControl/>
                    <w:jc w:val="center"/>
                    <w:rPr>
                      <w:kern w:val="0"/>
                      <w:sz w:val="22"/>
                      <w:szCs w:val="22"/>
                    </w:rPr>
                  </w:pPr>
                  <w:r>
                    <w:rPr>
                      <w:kern w:val="0"/>
                      <w:sz w:val="22"/>
                      <w:szCs w:val="22"/>
                    </w:rPr>
                    <w:t>0.1</w:t>
                  </w:r>
                </w:p>
              </w:tc>
              <w:tc>
                <w:tcPr>
                  <w:tcW w:w="527" w:type="pct"/>
                  <w:shd w:val="clear" w:color="auto" w:fill="auto"/>
                  <w:vAlign w:val="center"/>
                </w:tcPr>
                <w:p w14:paraId="499D35B2">
                  <w:pPr>
                    <w:widowControl/>
                    <w:jc w:val="center"/>
                    <w:rPr>
                      <w:kern w:val="0"/>
                      <w:szCs w:val="21"/>
                    </w:rPr>
                  </w:pPr>
                  <w:r>
                    <w:rPr>
                      <w:kern w:val="0"/>
                      <w:szCs w:val="21"/>
                    </w:rPr>
                    <w:t>3个月</w:t>
                  </w:r>
                </w:p>
              </w:tc>
              <w:tc>
                <w:tcPr>
                  <w:tcW w:w="596" w:type="pct"/>
                  <w:shd w:val="clear" w:color="auto" w:fill="auto"/>
                  <w:noWrap/>
                  <w:vAlign w:val="center"/>
                </w:tcPr>
                <w:p w14:paraId="2F21DB96">
                  <w:pPr>
                    <w:widowControl/>
                    <w:jc w:val="center"/>
                    <w:rPr>
                      <w:kern w:val="0"/>
                      <w:sz w:val="22"/>
                      <w:szCs w:val="22"/>
                    </w:rPr>
                  </w:pPr>
                  <w:r>
                    <w:rPr>
                      <w:kern w:val="0"/>
                      <w:sz w:val="22"/>
                      <w:szCs w:val="22"/>
                    </w:rPr>
                    <w:t>1</w:t>
                  </w:r>
                </w:p>
              </w:tc>
              <w:tc>
                <w:tcPr>
                  <w:tcW w:w="470" w:type="pct"/>
                  <w:shd w:val="clear" w:color="auto" w:fill="auto"/>
                  <w:vAlign w:val="center"/>
                </w:tcPr>
                <w:p w14:paraId="40F1CEE0">
                  <w:pPr>
                    <w:widowControl/>
                    <w:jc w:val="center"/>
                    <w:rPr>
                      <w:kern w:val="0"/>
                      <w:szCs w:val="21"/>
                    </w:rPr>
                  </w:pPr>
                  <w:r>
                    <w:rPr>
                      <w:kern w:val="0"/>
                      <w:szCs w:val="21"/>
                    </w:rPr>
                    <w:t>危废库</w:t>
                  </w:r>
                </w:p>
              </w:tc>
              <w:tc>
                <w:tcPr>
                  <w:tcW w:w="467" w:type="pct"/>
                  <w:vMerge w:val="continue"/>
                  <w:vAlign w:val="center"/>
                </w:tcPr>
                <w:p w14:paraId="179A48DC">
                  <w:pPr>
                    <w:widowControl/>
                    <w:jc w:val="left"/>
                    <w:rPr>
                      <w:kern w:val="0"/>
                      <w:szCs w:val="21"/>
                    </w:rPr>
                  </w:pPr>
                </w:p>
              </w:tc>
              <w:tc>
                <w:tcPr>
                  <w:tcW w:w="425" w:type="pct"/>
                  <w:vMerge w:val="continue"/>
                  <w:vAlign w:val="center"/>
                </w:tcPr>
                <w:p w14:paraId="14E9DF77">
                  <w:pPr>
                    <w:widowControl/>
                    <w:jc w:val="left"/>
                    <w:rPr>
                      <w:kern w:val="0"/>
                      <w:szCs w:val="21"/>
                    </w:rPr>
                  </w:pPr>
                </w:p>
              </w:tc>
              <w:tc>
                <w:tcPr>
                  <w:tcW w:w="470" w:type="pct"/>
                  <w:shd w:val="clear" w:color="auto" w:fill="auto"/>
                  <w:vAlign w:val="center"/>
                </w:tcPr>
                <w:p w14:paraId="6B2E8CE7">
                  <w:pPr>
                    <w:widowControl/>
                    <w:jc w:val="center"/>
                    <w:rPr>
                      <w:kern w:val="0"/>
                      <w:szCs w:val="21"/>
                    </w:rPr>
                  </w:pPr>
                  <w:r>
                    <w:rPr>
                      <w:kern w:val="0"/>
                      <w:szCs w:val="21"/>
                    </w:rPr>
                    <w:t>合理</w:t>
                  </w:r>
                </w:p>
              </w:tc>
            </w:tr>
          </w:tbl>
          <w:p w14:paraId="03F67D64">
            <w:pPr>
              <w:spacing w:line="500" w:lineRule="exact"/>
              <w:contextualSpacing/>
              <w:rPr>
                <w:b/>
                <w:bCs/>
                <w:sz w:val="24"/>
              </w:rPr>
            </w:pPr>
            <w:r>
              <w:rPr>
                <w:b/>
                <w:bCs/>
                <w:sz w:val="24"/>
              </w:rPr>
              <w:t>（4）环境管理要求</w:t>
            </w:r>
          </w:p>
          <w:p w14:paraId="22352133">
            <w:pPr>
              <w:spacing w:line="500" w:lineRule="exact"/>
              <w:ind w:firstLine="482" w:firstLineChars="200"/>
              <w:contextualSpacing/>
              <w:rPr>
                <w:b/>
                <w:bCs/>
                <w:sz w:val="24"/>
              </w:rPr>
            </w:pPr>
            <w:r>
              <w:rPr>
                <w:rFonts w:ascii="Cambria Math" w:hAnsi="Cambria Math" w:cs="Cambria Math"/>
                <w:b/>
                <w:bCs/>
                <w:sz w:val="24"/>
              </w:rPr>
              <w:t>①</w:t>
            </w:r>
            <w:r>
              <w:rPr>
                <w:b/>
                <w:bCs/>
                <w:sz w:val="24"/>
              </w:rPr>
              <w:t>一般固体废物管理要求</w:t>
            </w:r>
          </w:p>
          <w:p w14:paraId="6B475A05">
            <w:pPr>
              <w:adjustRightInd w:val="0"/>
              <w:snapToGrid w:val="0"/>
              <w:spacing w:line="500" w:lineRule="exact"/>
              <w:ind w:firstLine="491" w:firstLineChars="205"/>
              <w:rPr>
                <w:sz w:val="24"/>
              </w:rPr>
            </w:pPr>
            <w:r>
              <w:rPr>
                <w:sz w:val="24"/>
              </w:rPr>
              <w:t>1）一般固废仓库按照《一般工业固体废物贮存和填埋污染控制标准》（GB18599-2020）中标准要求进行管理</w:t>
            </w:r>
            <w:r>
              <w:rPr>
                <w:kern w:val="24"/>
                <w:sz w:val="24"/>
              </w:rPr>
              <w:t>；</w:t>
            </w:r>
          </w:p>
          <w:p w14:paraId="2B55705F">
            <w:pPr>
              <w:adjustRightInd w:val="0"/>
              <w:snapToGrid w:val="0"/>
              <w:spacing w:line="500" w:lineRule="exact"/>
              <w:ind w:firstLine="491" w:firstLineChars="205"/>
              <w:rPr>
                <w:sz w:val="24"/>
              </w:rPr>
            </w:pPr>
            <w:r>
              <w:rPr>
                <w:sz w:val="24"/>
              </w:rPr>
              <w:t>2）一般固体废物按照《一般工业固体废物管理台账制定指南（试行）》（生态环境部2021年第82号公告）要求，建立一般工业固废台账。</w:t>
            </w:r>
          </w:p>
          <w:p w14:paraId="07C4BE69">
            <w:pPr>
              <w:adjustRightInd w:val="0"/>
              <w:snapToGrid w:val="0"/>
              <w:spacing w:line="500" w:lineRule="exact"/>
              <w:ind w:firstLine="491" w:firstLineChars="205"/>
              <w:rPr>
                <w:sz w:val="24"/>
              </w:rPr>
            </w:pPr>
            <w:r>
              <w:rPr>
                <w:sz w:val="24"/>
              </w:rPr>
              <w:t>3）加强固体废物规范化管理，固体废物分类定点堆放，堆放场所远离办公区和周围环境敏感点，为了减少雨水侵蚀造成的二次污染，临时堆放场地要有防渗漏设施，并加盖顶棚。</w:t>
            </w:r>
          </w:p>
          <w:p w14:paraId="21C98A14">
            <w:pPr>
              <w:spacing w:line="500" w:lineRule="exact"/>
              <w:ind w:firstLine="480" w:firstLineChars="200"/>
              <w:contextualSpacing/>
              <w:rPr>
                <w:b/>
                <w:bCs/>
                <w:sz w:val="24"/>
              </w:rPr>
            </w:pPr>
            <w:r>
              <w:rPr>
                <w:sz w:val="24"/>
              </w:rPr>
              <w:t>4）固体废物要及时清运，避免产生二次污染。</w:t>
            </w:r>
          </w:p>
          <w:p w14:paraId="4BC2E321">
            <w:pPr>
              <w:spacing w:line="500" w:lineRule="exact"/>
              <w:ind w:firstLine="482" w:firstLineChars="200"/>
              <w:contextualSpacing/>
              <w:rPr>
                <w:b/>
                <w:bCs/>
                <w:sz w:val="24"/>
              </w:rPr>
            </w:pPr>
            <w:r>
              <w:rPr>
                <w:rFonts w:ascii="Cambria Math" w:hAnsi="Cambria Math" w:cs="Cambria Math"/>
                <w:b/>
                <w:bCs/>
                <w:sz w:val="24"/>
              </w:rPr>
              <w:t>②</w:t>
            </w:r>
            <w:r>
              <w:rPr>
                <w:b/>
                <w:bCs/>
                <w:sz w:val="24"/>
              </w:rPr>
              <w:t>危险废物管理要求</w:t>
            </w:r>
          </w:p>
          <w:p w14:paraId="0E9035DE">
            <w:pPr>
              <w:spacing w:line="500" w:lineRule="exact"/>
              <w:ind w:firstLine="480" w:firstLineChars="200"/>
              <w:rPr>
                <w:sz w:val="24"/>
              </w:rPr>
            </w:pPr>
            <w:r>
              <w:rPr>
                <w:kern w:val="24"/>
                <w:sz w:val="24"/>
              </w:rPr>
              <w:t>1）本项目依托的</w:t>
            </w:r>
            <w:r>
              <w:rPr>
                <w:sz w:val="24"/>
              </w:rPr>
              <w:t>危废仓库已按照《中华人民共和国固体废物污染环境防治法》、《危险废物贮存污染控制标准》（GB18597-2023）、</w:t>
            </w:r>
            <w:r>
              <w:rPr>
                <w:bCs/>
                <w:sz w:val="24"/>
              </w:rPr>
              <w:t>《江苏省固体废物全过程环境监管工作意见》（苏环办</w:t>
            </w:r>
            <w:r>
              <w:rPr>
                <w:sz w:val="24"/>
              </w:rPr>
              <w:t>〔2024〕</w:t>
            </w:r>
            <w:r>
              <w:rPr>
                <w:bCs/>
                <w:sz w:val="24"/>
              </w:rPr>
              <w:t>16号）、《江苏省危险废物集中收集体系建设工作方案（试行）》（苏环办</w:t>
            </w:r>
            <w:r>
              <w:rPr>
                <w:sz w:val="24"/>
              </w:rPr>
              <w:t>〔2021〕</w:t>
            </w:r>
            <w:r>
              <w:rPr>
                <w:bCs/>
                <w:sz w:val="24"/>
              </w:rPr>
              <w:t>290号）</w:t>
            </w:r>
            <w:r>
              <w:rPr>
                <w:sz w:val="24"/>
              </w:rPr>
              <w:t>等要求进行管理，并注意加强日常的“防风、防雨、防晒，防渗漏”等措施</w:t>
            </w:r>
            <w:r>
              <w:rPr>
                <w:rFonts w:hint="eastAsia"/>
                <w:kern w:val="24"/>
                <w:sz w:val="24"/>
              </w:rPr>
              <w:t>。</w:t>
            </w:r>
          </w:p>
          <w:p w14:paraId="4D6F470F">
            <w:pPr>
              <w:adjustRightInd w:val="0"/>
              <w:snapToGrid w:val="0"/>
              <w:spacing w:line="500" w:lineRule="exact"/>
              <w:ind w:firstLine="480" w:firstLineChars="200"/>
              <w:rPr>
                <w:kern w:val="24"/>
                <w:sz w:val="24"/>
              </w:rPr>
            </w:pPr>
            <w:r>
              <w:rPr>
                <w:kern w:val="24"/>
                <w:sz w:val="24"/>
              </w:rPr>
              <w:t>2）固废暂存场所已隔离设施、报警装置</w:t>
            </w:r>
            <w:r>
              <w:rPr>
                <w:rFonts w:hint="eastAsia"/>
                <w:kern w:val="24"/>
                <w:sz w:val="24"/>
              </w:rPr>
              <w:t>。</w:t>
            </w:r>
          </w:p>
          <w:p w14:paraId="4105FA3E">
            <w:pPr>
              <w:spacing w:line="500" w:lineRule="exact"/>
              <w:ind w:firstLine="480" w:firstLineChars="200"/>
              <w:rPr>
                <w:kern w:val="24"/>
                <w:sz w:val="24"/>
              </w:rPr>
            </w:pPr>
            <w:r>
              <w:rPr>
                <w:kern w:val="24"/>
                <w:sz w:val="24"/>
              </w:rPr>
              <w:t>3）堆放场所已树立明显的标志牌</w:t>
            </w:r>
            <w:r>
              <w:rPr>
                <w:sz w:val="24"/>
              </w:rPr>
              <w:t>（警告标识+《危险废物信息公开栏》）</w:t>
            </w:r>
            <w:r>
              <w:rPr>
                <w:kern w:val="24"/>
                <w:sz w:val="24"/>
              </w:rPr>
              <w:t>。</w:t>
            </w:r>
          </w:p>
          <w:p w14:paraId="1D5DF6AA">
            <w:pPr>
              <w:spacing w:line="500" w:lineRule="exact"/>
              <w:ind w:firstLine="480" w:firstLineChars="200"/>
              <w:rPr>
                <w:sz w:val="24"/>
              </w:rPr>
            </w:pPr>
            <w:r>
              <w:rPr>
                <w:kern w:val="24"/>
                <w:sz w:val="24"/>
              </w:rPr>
              <w:t>4）</w:t>
            </w:r>
            <w:r>
              <w:rPr>
                <w:sz w:val="24"/>
              </w:rPr>
              <w:t>地面已设置泄漏液体和地面冲洗废水的收集渠，然后自流至在最低处设置的地下收集池，收集池废水已设置废水导排管或泵或人工方式，将废液废水引入企业的废水处理设施或作为危废处理。仓库门口须有围堰（缓坡）或截留沟，防止仓库废物向外泄漏。仓库地面日常保持干净整洁。</w:t>
            </w:r>
          </w:p>
          <w:p w14:paraId="38CC9EF1">
            <w:pPr>
              <w:spacing w:line="500" w:lineRule="exact"/>
              <w:ind w:firstLine="480" w:firstLineChars="200"/>
              <w:rPr>
                <w:sz w:val="24"/>
              </w:rPr>
            </w:pPr>
            <w:r>
              <w:rPr>
                <w:sz w:val="24"/>
              </w:rPr>
              <w:t>5）不同类的危险废物已分区贮存，不同分区应设置矮围墙或在地面画线并预留明显间隔（如过道等）。</w:t>
            </w:r>
          </w:p>
          <w:p w14:paraId="1CFA4C75">
            <w:pPr>
              <w:spacing w:line="500" w:lineRule="exact"/>
              <w:ind w:firstLine="480" w:firstLineChars="200"/>
              <w:rPr>
                <w:sz w:val="24"/>
              </w:rPr>
            </w:pPr>
            <w:r>
              <w:rPr>
                <w:sz w:val="24"/>
              </w:rPr>
              <w:t>6）危险废物已进行包装（袋装、桶装），不得散装。容器应完好无损。产生气味或VOC的废物应实行密闭包装。每一个包装桶（袋）均须悬挂或张贴危险废物标签（20cm×20cm或10cm×10cm）。</w:t>
            </w:r>
          </w:p>
          <w:p w14:paraId="4953F43A">
            <w:pPr>
              <w:spacing w:line="500" w:lineRule="exact"/>
              <w:ind w:firstLine="480" w:firstLineChars="200"/>
              <w:rPr>
                <w:kern w:val="24"/>
                <w:sz w:val="24"/>
              </w:rPr>
            </w:pPr>
            <w:r>
              <w:rPr>
                <w:sz w:val="24"/>
              </w:rPr>
              <w:t>7）危废仓库已建立贮存设施环境管理制度、管理人员岗位职责制度、设施运行操作制度、人员岗位培训制度等。危险废物装卸、运输应委托有资质单位进行，编制《危险废物运输车辆事故应急预案》，杜绝包装、运输过程中危险废物散落、泄漏的环境影响。项目厂区内危险废物由专业人员操作，单独收集和贮运，严格执行转移联单管理制度及国家和省有关转移管理的相关规定、处置过程安全操作规程、人员培训考核制度、档案管理制度、处置全过程管理制度等，并制定好危险废物转移运输途中的污染防范及事故应急措施，严格按照要求办理有关手续。</w:t>
            </w:r>
          </w:p>
          <w:p w14:paraId="34CD391A">
            <w:pPr>
              <w:spacing w:line="500" w:lineRule="exact"/>
              <w:ind w:firstLine="480" w:firstLineChars="200"/>
              <w:contextualSpacing/>
              <w:rPr>
                <w:sz w:val="24"/>
              </w:rPr>
            </w:pPr>
            <w:r>
              <w:rPr>
                <w:sz w:val="24"/>
              </w:rPr>
              <w:t>8）企业严格执行《危险废物收集贮存运输技术规范》（HJ2025-2012）和《危险废物转移联单管理办法》。现有危险废物转移已在江苏省固体废物管理信息系统进行全流程跟踪。</w:t>
            </w:r>
          </w:p>
          <w:p w14:paraId="401460BA">
            <w:pPr>
              <w:spacing w:line="500" w:lineRule="exact"/>
              <w:ind w:firstLine="480" w:firstLineChars="200"/>
              <w:contextualSpacing/>
              <w:rPr>
                <w:bCs/>
                <w:sz w:val="24"/>
              </w:rPr>
            </w:pPr>
            <w:r>
              <w:rPr>
                <w:sz w:val="24"/>
              </w:rPr>
              <w:t>9）</w:t>
            </w:r>
            <w:r>
              <w:rPr>
                <w:bCs/>
                <w:sz w:val="24"/>
              </w:rPr>
              <w:t>对照《危险废物识别标志设置技术规范》（HJ 1276-2022），企业已规范设置危险废物标签。标签以醒目的字样标注“危险废物”，包含废物名称、废物代码、废物形态、危险特性、主要成分、有害成分、注意事项、产生/收集单位名称、联系人、联系方式、产生日期、废物重量和备注，标签设置危险废物数字识别码和二维码</w:t>
            </w:r>
            <w:r>
              <w:rPr>
                <w:rFonts w:hint="eastAsia"/>
                <w:bCs/>
                <w:sz w:val="24"/>
              </w:rPr>
              <w:t>。</w:t>
            </w:r>
          </w:p>
          <w:p w14:paraId="68CFA7F1">
            <w:pPr>
              <w:spacing w:line="500" w:lineRule="exact"/>
              <w:ind w:firstLine="480" w:firstLineChars="200"/>
              <w:contextualSpacing/>
              <w:rPr>
                <w:bCs/>
                <w:sz w:val="24"/>
              </w:rPr>
            </w:pPr>
            <w:r>
              <w:rPr>
                <w:bCs/>
                <w:sz w:val="24"/>
              </w:rPr>
              <w:t>根据规范设置危险废物分区标志。危险废物贮存分区标志已以醒目的方式标注“危险废物贮存分区标志”字样，危险废物贮存分区标志已包含但不限于设施内部所有贮存分区的平面分布、各分区存放的危险废物信息、本贮存分区的具体位置、环境应急物资所在位置以及进出口位置和方向，危险废物贮存单位已根据自身贮存设施建设情况，在危险废物贮存分区标志中添加收集池、导流沟和通道等信息，危险废物贮存分区标志的信息应随着设施内废物贮存情况的变化及时调整。</w:t>
            </w:r>
          </w:p>
          <w:p w14:paraId="016AC9BB">
            <w:pPr>
              <w:spacing w:line="500" w:lineRule="exact"/>
              <w:ind w:firstLine="480" w:firstLineChars="200"/>
              <w:contextualSpacing/>
              <w:rPr>
                <w:bCs/>
                <w:sz w:val="24"/>
              </w:rPr>
            </w:pPr>
            <w:r>
              <w:rPr>
                <w:bCs/>
                <w:sz w:val="24"/>
              </w:rPr>
              <w:t>根据规范设置危险废物贮存、利用、处置设施标志。危险废物贮存、利用、处置设施标志已包含三角形警告性图形标志和文字性辅助标志，其中三角形警告性图形标志应符合GB15562.2的要求，危险废物贮存、利用、处置设施标志以醒目的文字标注危险废物设施的类型，危险废物贮存、利用、处置设施标志还包含危险废物设施所属的单位名称、设施编码、负责人及联系方式，危险废物贮存、利用、处置设施标志宜设置二维码，对设施使用情况进行信息化管理。</w:t>
            </w:r>
          </w:p>
          <w:p w14:paraId="78C9C41A">
            <w:pPr>
              <w:spacing w:line="500" w:lineRule="exact"/>
              <w:contextualSpacing/>
              <w:rPr>
                <w:b/>
                <w:bCs/>
                <w:sz w:val="24"/>
              </w:rPr>
            </w:pPr>
            <w:r>
              <w:rPr>
                <w:b/>
                <w:bCs/>
                <w:sz w:val="24"/>
              </w:rPr>
              <w:t>5、地下水、土壤环境影响分析</w:t>
            </w:r>
          </w:p>
          <w:p w14:paraId="6F7509FC">
            <w:pPr>
              <w:pStyle w:val="13"/>
              <w:spacing w:line="500" w:lineRule="exact"/>
              <w:ind w:firstLine="482"/>
              <w:rPr>
                <w:b/>
                <w:bCs/>
                <w:sz w:val="24"/>
              </w:rPr>
            </w:pPr>
            <w:r>
              <w:rPr>
                <w:b/>
                <w:bCs/>
                <w:sz w:val="24"/>
              </w:rPr>
              <w:t>（1）影响分析</w:t>
            </w:r>
          </w:p>
          <w:p w14:paraId="780D0D8B">
            <w:pPr>
              <w:pStyle w:val="13"/>
              <w:spacing w:line="500" w:lineRule="exact"/>
              <w:ind w:firstLine="480"/>
              <w:rPr>
                <w:sz w:val="24"/>
              </w:rPr>
            </w:pPr>
            <w:r>
              <w:rPr>
                <w:sz w:val="24"/>
              </w:rPr>
              <w:t>根据本项目生产工艺、原辅材料使用等情况分析，且本项目危废库、依托的污水处理站等可能涉及影响地下水和土壤的场所均进行了防腐、防渗处理，不会造成地下水和土壤环境影响。本项目运营后对场地内的地下水和土壤环境影响很小。</w:t>
            </w:r>
          </w:p>
          <w:p w14:paraId="27CD7739">
            <w:pPr>
              <w:pStyle w:val="13"/>
              <w:spacing w:line="500" w:lineRule="exact"/>
              <w:ind w:firstLine="482"/>
              <w:rPr>
                <w:b/>
                <w:bCs/>
                <w:sz w:val="24"/>
              </w:rPr>
            </w:pPr>
            <w:r>
              <w:rPr>
                <w:b/>
                <w:bCs/>
                <w:sz w:val="24"/>
              </w:rPr>
              <w:t>（2）防控措施</w:t>
            </w:r>
          </w:p>
          <w:p w14:paraId="10638493">
            <w:pPr>
              <w:spacing w:line="500" w:lineRule="exact"/>
              <w:ind w:firstLine="480" w:firstLineChars="200"/>
              <w:rPr>
                <w:sz w:val="24"/>
              </w:rPr>
            </w:pPr>
            <w:r>
              <w:rPr>
                <w:rFonts w:ascii="Cambria Math" w:hAnsi="Cambria Math" w:cs="Cambria Math"/>
                <w:sz w:val="24"/>
              </w:rPr>
              <w:t>①</w:t>
            </w:r>
            <w:r>
              <w:rPr>
                <w:sz w:val="24"/>
              </w:rPr>
              <w:t>源头控制</w:t>
            </w:r>
          </w:p>
          <w:p w14:paraId="54E1BE16">
            <w:pPr>
              <w:spacing w:line="500" w:lineRule="exact"/>
              <w:ind w:firstLine="480" w:firstLineChars="200"/>
              <w:rPr>
                <w:bCs/>
                <w:sz w:val="24"/>
              </w:rPr>
            </w:pPr>
            <w:r>
              <w:rPr>
                <w:bCs/>
                <w:sz w:val="24"/>
              </w:rPr>
              <w:t>主要包括提出各类废物循环利用的具体方案，减少污染物的排放量；提出工艺、管道、设备、污水储存及处理构筑物应采取的污染控制措施，将污染物跑冒滴漏降到最低限度。</w:t>
            </w:r>
          </w:p>
          <w:p w14:paraId="73464527">
            <w:pPr>
              <w:spacing w:line="500" w:lineRule="exact"/>
              <w:ind w:firstLine="480" w:firstLineChars="200"/>
              <w:rPr>
                <w:sz w:val="24"/>
              </w:rPr>
            </w:pPr>
            <w:r>
              <w:rPr>
                <w:rFonts w:ascii="Cambria Math" w:hAnsi="Cambria Math" w:cs="Cambria Math"/>
                <w:sz w:val="24"/>
              </w:rPr>
              <w:t>②</w:t>
            </w:r>
            <w:r>
              <w:rPr>
                <w:sz w:val="24"/>
              </w:rPr>
              <w:t>分区防控措施</w:t>
            </w:r>
          </w:p>
          <w:p w14:paraId="69D7F056">
            <w:pPr>
              <w:spacing w:line="500" w:lineRule="exact"/>
              <w:ind w:firstLine="480" w:firstLineChars="200"/>
              <w:rPr>
                <w:sz w:val="24"/>
              </w:rPr>
            </w:pPr>
            <w:r>
              <w:rPr>
                <w:sz w:val="24"/>
              </w:rPr>
              <w:t>本项目分区防渗图见附图6。</w:t>
            </w:r>
          </w:p>
          <w:p w14:paraId="1C2C0729">
            <w:pPr>
              <w:ind w:firstLine="522"/>
              <w:jc w:val="center"/>
              <w:rPr>
                <w:b/>
                <w:bCs/>
                <w:sz w:val="24"/>
              </w:rPr>
            </w:pPr>
            <w:r>
              <w:rPr>
                <w:b/>
                <w:bCs/>
                <w:sz w:val="24"/>
              </w:rPr>
              <w:t>表4-17项目分区防渗一览表</w:t>
            </w:r>
          </w:p>
          <w:tbl>
            <w:tblPr>
              <w:tblStyle w:val="4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76"/>
              <w:gridCol w:w="1146"/>
              <w:gridCol w:w="922"/>
              <w:gridCol w:w="859"/>
              <w:gridCol w:w="920"/>
              <w:gridCol w:w="694"/>
              <w:gridCol w:w="2389"/>
              <w:gridCol w:w="929"/>
            </w:tblGrid>
            <w:tr w14:paraId="765F25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03" w:hRule="atLeast"/>
                <w:tblHeader/>
                <w:jc w:val="center"/>
              </w:trPr>
              <w:tc>
                <w:tcPr>
                  <w:tcW w:w="286" w:type="pct"/>
                  <w:vAlign w:val="center"/>
                </w:tcPr>
                <w:p w14:paraId="601B634B">
                  <w:pPr>
                    <w:pStyle w:val="27"/>
                    <w:adjustRightInd/>
                    <w:spacing w:before="0" w:line="240" w:lineRule="auto"/>
                    <w:jc w:val="center"/>
                    <w:rPr>
                      <w:rFonts w:ascii="Times New Roman" w:hAnsi="Times New Roman" w:eastAsiaTheme="minorEastAsia"/>
                      <w:b/>
                      <w:szCs w:val="21"/>
                    </w:rPr>
                  </w:pPr>
                  <w:r>
                    <w:rPr>
                      <w:rFonts w:ascii="Times New Roman" w:hAnsi="Times New Roman" w:eastAsiaTheme="minorEastAsia"/>
                      <w:b/>
                      <w:szCs w:val="21"/>
                    </w:rPr>
                    <w:t>序号</w:t>
                  </w:r>
                </w:p>
              </w:tc>
              <w:tc>
                <w:tcPr>
                  <w:tcW w:w="687" w:type="pct"/>
                  <w:vAlign w:val="center"/>
                </w:tcPr>
                <w:p w14:paraId="15BD2551">
                  <w:pPr>
                    <w:pStyle w:val="27"/>
                    <w:adjustRightInd/>
                    <w:spacing w:before="0" w:line="240" w:lineRule="auto"/>
                    <w:jc w:val="center"/>
                    <w:rPr>
                      <w:rFonts w:ascii="Times New Roman" w:hAnsi="Times New Roman" w:eastAsiaTheme="minorEastAsia"/>
                      <w:b/>
                      <w:szCs w:val="21"/>
                    </w:rPr>
                  </w:pPr>
                  <w:r>
                    <w:rPr>
                      <w:rFonts w:ascii="Times New Roman" w:hAnsi="Times New Roman" w:eastAsiaTheme="minorEastAsia"/>
                      <w:b/>
                      <w:szCs w:val="21"/>
                    </w:rPr>
                    <w:t>建（构）筑物名称</w:t>
                  </w:r>
                </w:p>
              </w:tc>
              <w:tc>
                <w:tcPr>
                  <w:tcW w:w="553" w:type="pct"/>
                  <w:vAlign w:val="center"/>
                </w:tcPr>
                <w:p w14:paraId="144D4B93">
                  <w:pPr>
                    <w:jc w:val="center"/>
                    <w:rPr>
                      <w:rFonts w:eastAsiaTheme="minorEastAsia"/>
                      <w:b/>
                      <w:szCs w:val="21"/>
                    </w:rPr>
                  </w:pPr>
                  <w:r>
                    <w:rPr>
                      <w:rFonts w:eastAsiaTheme="minorEastAsia"/>
                      <w:b/>
                      <w:szCs w:val="21"/>
                    </w:rPr>
                    <w:t>天然包气带防污性能</w:t>
                  </w:r>
                </w:p>
              </w:tc>
              <w:tc>
                <w:tcPr>
                  <w:tcW w:w="515" w:type="pct"/>
                  <w:vAlign w:val="center"/>
                </w:tcPr>
                <w:p w14:paraId="74591440">
                  <w:pPr>
                    <w:jc w:val="center"/>
                    <w:rPr>
                      <w:rFonts w:eastAsiaTheme="minorEastAsia"/>
                      <w:b/>
                      <w:szCs w:val="21"/>
                    </w:rPr>
                  </w:pPr>
                  <w:r>
                    <w:rPr>
                      <w:rFonts w:eastAsiaTheme="minorEastAsia"/>
                      <w:b/>
                      <w:szCs w:val="21"/>
                    </w:rPr>
                    <w:t>污染控制难易程度</w:t>
                  </w:r>
                </w:p>
              </w:tc>
              <w:tc>
                <w:tcPr>
                  <w:tcW w:w="552" w:type="pct"/>
                  <w:vAlign w:val="center"/>
                </w:tcPr>
                <w:p w14:paraId="186AD0E4">
                  <w:pPr>
                    <w:jc w:val="center"/>
                    <w:rPr>
                      <w:rFonts w:eastAsiaTheme="minorEastAsia"/>
                      <w:b/>
                      <w:szCs w:val="21"/>
                    </w:rPr>
                  </w:pPr>
                  <w:r>
                    <w:rPr>
                      <w:rFonts w:eastAsiaTheme="minorEastAsia"/>
                      <w:b/>
                      <w:szCs w:val="21"/>
                    </w:rPr>
                    <w:t>污染物类型</w:t>
                  </w:r>
                </w:p>
              </w:tc>
              <w:tc>
                <w:tcPr>
                  <w:tcW w:w="416" w:type="pct"/>
                  <w:vAlign w:val="center"/>
                </w:tcPr>
                <w:p w14:paraId="54DC7532">
                  <w:pPr>
                    <w:jc w:val="center"/>
                    <w:rPr>
                      <w:rFonts w:eastAsiaTheme="minorEastAsia"/>
                      <w:b/>
                      <w:szCs w:val="21"/>
                    </w:rPr>
                  </w:pPr>
                  <w:r>
                    <w:rPr>
                      <w:rFonts w:eastAsiaTheme="minorEastAsia"/>
                      <w:b/>
                      <w:szCs w:val="21"/>
                    </w:rPr>
                    <w:t>防治分区要求</w:t>
                  </w:r>
                </w:p>
              </w:tc>
              <w:tc>
                <w:tcPr>
                  <w:tcW w:w="1433" w:type="pct"/>
                  <w:vAlign w:val="center"/>
                </w:tcPr>
                <w:p w14:paraId="2888EC1D">
                  <w:pPr>
                    <w:jc w:val="center"/>
                    <w:rPr>
                      <w:rFonts w:eastAsiaTheme="minorEastAsia"/>
                      <w:b/>
                      <w:szCs w:val="21"/>
                    </w:rPr>
                  </w:pPr>
                  <w:r>
                    <w:rPr>
                      <w:rFonts w:eastAsiaTheme="minorEastAsia"/>
                      <w:b/>
                      <w:szCs w:val="21"/>
                    </w:rPr>
                    <w:t>防渗技术要求</w:t>
                  </w:r>
                </w:p>
              </w:tc>
              <w:tc>
                <w:tcPr>
                  <w:tcW w:w="557" w:type="pct"/>
                  <w:vAlign w:val="center"/>
                </w:tcPr>
                <w:p w14:paraId="27D6CC0F">
                  <w:pPr>
                    <w:jc w:val="center"/>
                    <w:rPr>
                      <w:rFonts w:eastAsiaTheme="minorEastAsia"/>
                      <w:b/>
                      <w:szCs w:val="21"/>
                    </w:rPr>
                  </w:pPr>
                  <w:r>
                    <w:rPr>
                      <w:rFonts w:eastAsiaTheme="minorEastAsia"/>
                      <w:b/>
                      <w:szCs w:val="21"/>
                    </w:rPr>
                    <w:t>备注</w:t>
                  </w:r>
                </w:p>
              </w:tc>
            </w:tr>
            <w:tr w14:paraId="0A42A0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86" w:type="pct"/>
                  <w:vAlign w:val="center"/>
                </w:tcPr>
                <w:p w14:paraId="3B392453">
                  <w:pPr>
                    <w:pStyle w:val="27"/>
                    <w:adjustRightInd/>
                    <w:spacing w:before="0" w:line="240" w:lineRule="auto"/>
                    <w:jc w:val="center"/>
                    <w:rPr>
                      <w:rFonts w:ascii="Times New Roman" w:hAnsi="Times New Roman" w:eastAsiaTheme="minorEastAsia"/>
                      <w:szCs w:val="21"/>
                    </w:rPr>
                  </w:pPr>
                  <w:r>
                    <w:rPr>
                      <w:rFonts w:ascii="Times New Roman" w:hAnsi="Times New Roman" w:eastAsiaTheme="minorEastAsia"/>
                      <w:szCs w:val="21"/>
                    </w:rPr>
                    <w:t>1</w:t>
                  </w:r>
                </w:p>
              </w:tc>
              <w:tc>
                <w:tcPr>
                  <w:tcW w:w="687" w:type="pct"/>
                  <w:vAlign w:val="center"/>
                </w:tcPr>
                <w:p w14:paraId="1A3366B0">
                  <w:pPr>
                    <w:pStyle w:val="27"/>
                    <w:adjustRightInd/>
                    <w:spacing w:before="0" w:line="240" w:lineRule="auto"/>
                    <w:jc w:val="center"/>
                    <w:rPr>
                      <w:rFonts w:ascii="Times New Roman" w:hAnsi="Times New Roman" w:eastAsiaTheme="minorEastAsia"/>
                      <w:szCs w:val="21"/>
                    </w:rPr>
                  </w:pPr>
                  <w:r>
                    <w:rPr>
                      <w:rFonts w:ascii="Times New Roman" w:hAnsi="Times New Roman" w:eastAsiaTheme="minorEastAsia"/>
                      <w:szCs w:val="21"/>
                    </w:rPr>
                    <w:t>依托的纺丝车间2</w:t>
                  </w:r>
                  <w:r>
                    <w:rPr>
                      <w:rFonts w:hint="eastAsia" w:ascii="Times New Roman" w:hAnsi="Times New Roman" w:eastAsiaTheme="minorEastAsia"/>
                      <w:szCs w:val="21"/>
                    </w:rPr>
                    <w:t>（含危化品库）</w:t>
                  </w:r>
                  <w:r>
                    <w:rPr>
                      <w:rFonts w:ascii="Times New Roman" w:hAnsi="Times New Roman" w:eastAsiaTheme="minorEastAsia"/>
                      <w:szCs w:val="21"/>
                    </w:rPr>
                    <w:t>、</w:t>
                  </w:r>
                  <w:r>
                    <w:rPr>
                      <w:rFonts w:hint="eastAsia" w:ascii="Times New Roman" w:hAnsi="Times New Roman" w:eastAsiaTheme="minorEastAsia"/>
                      <w:szCs w:val="21"/>
                    </w:rPr>
                    <w:t>依托的化验中心、</w:t>
                  </w:r>
                  <w:r>
                    <w:rPr>
                      <w:rFonts w:ascii="Times New Roman" w:hAnsi="Times New Roman" w:eastAsiaTheme="minorEastAsia"/>
                      <w:szCs w:val="21"/>
                    </w:rPr>
                    <w:t>危废库、芮邦科技污水处理站、初期雨水池、储罐基础</w:t>
                  </w:r>
                </w:p>
              </w:tc>
              <w:tc>
                <w:tcPr>
                  <w:tcW w:w="553" w:type="pct"/>
                  <w:vAlign w:val="center"/>
                </w:tcPr>
                <w:p w14:paraId="40F71BF2">
                  <w:pPr>
                    <w:pStyle w:val="27"/>
                    <w:adjustRightInd/>
                    <w:spacing w:before="0" w:line="240" w:lineRule="auto"/>
                    <w:jc w:val="center"/>
                    <w:rPr>
                      <w:rFonts w:ascii="Times New Roman" w:hAnsi="Times New Roman" w:eastAsiaTheme="minorEastAsia"/>
                      <w:szCs w:val="21"/>
                    </w:rPr>
                  </w:pPr>
                  <w:r>
                    <w:rPr>
                      <w:rFonts w:ascii="Times New Roman" w:hAnsi="Times New Roman" w:eastAsiaTheme="minorEastAsia"/>
                      <w:szCs w:val="21"/>
                    </w:rPr>
                    <w:t>强</w:t>
                  </w:r>
                </w:p>
              </w:tc>
              <w:tc>
                <w:tcPr>
                  <w:tcW w:w="515" w:type="pct"/>
                  <w:vAlign w:val="center"/>
                </w:tcPr>
                <w:p w14:paraId="62F7DA9E">
                  <w:pPr>
                    <w:jc w:val="center"/>
                    <w:rPr>
                      <w:rFonts w:eastAsiaTheme="minorEastAsia"/>
                      <w:spacing w:val="-2"/>
                      <w:szCs w:val="21"/>
                    </w:rPr>
                  </w:pPr>
                  <w:r>
                    <w:rPr>
                      <w:rFonts w:eastAsiaTheme="minorEastAsia"/>
                      <w:spacing w:val="-2"/>
                      <w:szCs w:val="21"/>
                    </w:rPr>
                    <w:t>难</w:t>
                  </w:r>
                </w:p>
              </w:tc>
              <w:tc>
                <w:tcPr>
                  <w:tcW w:w="552" w:type="pct"/>
                  <w:vAlign w:val="center"/>
                </w:tcPr>
                <w:p w14:paraId="598AD915">
                  <w:pPr>
                    <w:jc w:val="center"/>
                    <w:rPr>
                      <w:rFonts w:eastAsiaTheme="minorEastAsia"/>
                      <w:szCs w:val="21"/>
                    </w:rPr>
                  </w:pPr>
                  <w:r>
                    <w:rPr>
                      <w:rFonts w:eastAsiaTheme="minorEastAsia"/>
                      <w:szCs w:val="21"/>
                    </w:rPr>
                    <w:t>持久性有机物污染物</w:t>
                  </w:r>
                </w:p>
              </w:tc>
              <w:tc>
                <w:tcPr>
                  <w:tcW w:w="416" w:type="pct"/>
                  <w:vAlign w:val="center"/>
                </w:tcPr>
                <w:p w14:paraId="3EB6D3DE">
                  <w:pPr>
                    <w:pStyle w:val="27"/>
                    <w:adjustRightInd/>
                    <w:spacing w:before="0" w:line="240" w:lineRule="auto"/>
                    <w:jc w:val="center"/>
                    <w:rPr>
                      <w:rFonts w:ascii="Times New Roman" w:hAnsi="Times New Roman" w:eastAsiaTheme="minorEastAsia"/>
                      <w:szCs w:val="21"/>
                    </w:rPr>
                  </w:pPr>
                  <w:r>
                    <w:rPr>
                      <w:rFonts w:ascii="Times New Roman" w:hAnsi="Times New Roman" w:eastAsiaTheme="minorEastAsia"/>
                      <w:szCs w:val="21"/>
                    </w:rPr>
                    <w:t>重点防渗区</w:t>
                  </w:r>
                </w:p>
              </w:tc>
              <w:tc>
                <w:tcPr>
                  <w:tcW w:w="1433" w:type="pct"/>
                  <w:vAlign w:val="center"/>
                </w:tcPr>
                <w:p w14:paraId="06EAD24E">
                  <w:pPr>
                    <w:pStyle w:val="27"/>
                    <w:adjustRightInd/>
                    <w:spacing w:before="0" w:line="240" w:lineRule="auto"/>
                    <w:jc w:val="center"/>
                    <w:rPr>
                      <w:rFonts w:ascii="Times New Roman" w:hAnsi="Times New Roman" w:eastAsiaTheme="minorEastAsia"/>
                      <w:szCs w:val="21"/>
                    </w:rPr>
                  </w:pPr>
                  <w:r>
                    <w:rPr>
                      <w:rFonts w:ascii="Times New Roman" w:hAnsi="Times New Roman" w:eastAsiaTheme="minorEastAsia"/>
                      <w:szCs w:val="21"/>
                    </w:rPr>
                    <w:t>等效黏土防渗层Mb≥6.0m，K≤1×10</w:t>
                  </w:r>
                  <w:r>
                    <w:rPr>
                      <w:rFonts w:ascii="Times New Roman" w:hAnsi="Times New Roman" w:eastAsiaTheme="minorEastAsia"/>
                      <w:szCs w:val="21"/>
                      <w:vertAlign w:val="superscript"/>
                    </w:rPr>
                    <w:t>-7</w:t>
                  </w:r>
                  <w:r>
                    <w:rPr>
                      <w:rFonts w:ascii="Times New Roman" w:hAnsi="Times New Roman" w:eastAsiaTheme="minorEastAsia"/>
                      <w:szCs w:val="21"/>
                    </w:rPr>
                    <w:t>cm/s；或参照GB18598执行</w:t>
                  </w:r>
                </w:p>
              </w:tc>
              <w:tc>
                <w:tcPr>
                  <w:tcW w:w="557" w:type="pct"/>
                  <w:vAlign w:val="center"/>
                </w:tcPr>
                <w:p w14:paraId="7992A7F7">
                  <w:pPr>
                    <w:pStyle w:val="27"/>
                    <w:adjustRightInd/>
                    <w:spacing w:before="0" w:line="240" w:lineRule="auto"/>
                    <w:jc w:val="center"/>
                    <w:rPr>
                      <w:rFonts w:ascii="Times New Roman" w:hAnsi="Times New Roman" w:eastAsiaTheme="minorEastAsia"/>
                      <w:szCs w:val="21"/>
                    </w:rPr>
                  </w:pPr>
                  <w:r>
                    <w:rPr>
                      <w:rFonts w:ascii="Times New Roman" w:hAnsi="Times New Roman" w:eastAsiaTheme="minorEastAsia"/>
                      <w:szCs w:val="21"/>
                    </w:rPr>
                    <w:t>部分依托、部分新增</w:t>
                  </w:r>
                </w:p>
              </w:tc>
            </w:tr>
            <w:tr w14:paraId="616423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6" w:hRule="atLeast"/>
                <w:jc w:val="center"/>
              </w:trPr>
              <w:tc>
                <w:tcPr>
                  <w:tcW w:w="286" w:type="pct"/>
                  <w:vAlign w:val="center"/>
                </w:tcPr>
                <w:p w14:paraId="390D51B7">
                  <w:pPr>
                    <w:pStyle w:val="27"/>
                    <w:adjustRightInd/>
                    <w:spacing w:before="0" w:line="240" w:lineRule="auto"/>
                    <w:jc w:val="center"/>
                    <w:rPr>
                      <w:rFonts w:ascii="Times New Roman" w:hAnsi="Times New Roman" w:eastAsiaTheme="minorEastAsia"/>
                      <w:szCs w:val="21"/>
                    </w:rPr>
                  </w:pPr>
                  <w:r>
                    <w:rPr>
                      <w:rFonts w:ascii="Times New Roman" w:hAnsi="Times New Roman" w:eastAsiaTheme="minorEastAsia"/>
                      <w:szCs w:val="21"/>
                    </w:rPr>
                    <w:t>2</w:t>
                  </w:r>
                </w:p>
              </w:tc>
              <w:tc>
                <w:tcPr>
                  <w:tcW w:w="687" w:type="pct"/>
                  <w:vAlign w:val="center"/>
                </w:tcPr>
                <w:p w14:paraId="4F04B0D9">
                  <w:pPr>
                    <w:pStyle w:val="27"/>
                    <w:adjustRightInd/>
                    <w:spacing w:before="0" w:line="240" w:lineRule="auto"/>
                    <w:jc w:val="center"/>
                    <w:rPr>
                      <w:rFonts w:ascii="Times New Roman" w:hAnsi="Times New Roman" w:eastAsiaTheme="minorEastAsia"/>
                      <w:szCs w:val="21"/>
                    </w:rPr>
                  </w:pPr>
                  <w:r>
                    <w:rPr>
                      <w:rFonts w:ascii="Times New Roman" w:hAnsi="Times New Roman" w:eastAsiaTheme="minorEastAsia"/>
                      <w:szCs w:val="21"/>
                    </w:rPr>
                    <w:t>依托的原料仓库、成品仓库、新增罐区地面</w:t>
                  </w:r>
                </w:p>
              </w:tc>
              <w:tc>
                <w:tcPr>
                  <w:tcW w:w="553" w:type="pct"/>
                  <w:vAlign w:val="center"/>
                </w:tcPr>
                <w:p w14:paraId="020146BC">
                  <w:pPr>
                    <w:pStyle w:val="27"/>
                    <w:adjustRightInd/>
                    <w:spacing w:before="0" w:line="240" w:lineRule="auto"/>
                    <w:jc w:val="center"/>
                    <w:rPr>
                      <w:rFonts w:ascii="Times New Roman" w:hAnsi="Times New Roman" w:eastAsiaTheme="minorEastAsia"/>
                      <w:szCs w:val="21"/>
                    </w:rPr>
                  </w:pPr>
                  <w:r>
                    <w:rPr>
                      <w:rFonts w:ascii="Times New Roman" w:hAnsi="Times New Roman" w:eastAsiaTheme="minorEastAsia"/>
                      <w:szCs w:val="21"/>
                    </w:rPr>
                    <w:t>强</w:t>
                  </w:r>
                </w:p>
              </w:tc>
              <w:tc>
                <w:tcPr>
                  <w:tcW w:w="515" w:type="pct"/>
                  <w:vAlign w:val="center"/>
                </w:tcPr>
                <w:p w14:paraId="06033BDE">
                  <w:pPr>
                    <w:jc w:val="center"/>
                    <w:rPr>
                      <w:rFonts w:eastAsiaTheme="minorEastAsia"/>
                      <w:spacing w:val="-2"/>
                      <w:szCs w:val="21"/>
                    </w:rPr>
                  </w:pPr>
                  <w:r>
                    <w:rPr>
                      <w:rFonts w:eastAsiaTheme="minorEastAsia"/>
                      <w:spacing w:val="-2"/>
                      <w:szCs w:val="21"/>
                    </w:rPr>
                    <w:t>易</w:t>
                  </w:r>
                </w:p>
              </w:tc>
              <w:tc>
                <w:tcPr>
                  <w:tcW w:w="552" w:type="pct"/>
                  <w:vAlign w:val="center"/>
                </w:tcPr>
                <w:p w14:paraId="451C7583">
                  <w:pPr>
                    <w:jc w:val="center"/>
                    <w:rPr>
                      <w:rFonts w:eastAsiaTheme="minorEastAsia"/>
                      <w:szCs w:val="21"/>
                    </w:rPr>
                  </w:pPr>
                  <w:r>
                    <w:rPr>
                      <w:rFonts w:eastAsiaTheme="minorEastAsia"/>
                      <w:szCs w:val="21"/>
                    </w:rPr>
                    <w:t>其他类型</w:t>
                  </w:r>
                </w:p>
              </w:tc>
              <w:tc>
                <w:tcPr>
                  <w:tcW w:w="416" w:type="pct"/>
                  <w:vAlign w:val="center"/>
                </w:tcPr>
                <w:p w14:paraId="6FD50675">
                  <w:pPr>
                    <w:pStyle w:val="27"/>
                    <w:adjustRightInd/>
                    <w:spacing w:before="0" w:line="240" w:lineRule="auto"/>
                    <w:jc w:val="center"/>
                    <w:rPr>
                      <w:rFonts w:ascii="Times New Roman" w:hAnsi="Times New Roman" w:eastAsiaTheme="minorEastAsia"/>
                      <w:szCs w:val="21"/>
                    </w:rPr>
                  </w:pPr>
                  <w:r>
                    <w:rPr>
                      <w:rFonts w:ascii="Times New Roman" w:hAnsi="Times New Roman" w:eastAsiaTheme="minorEastAsia"/>
                      <w:szCs w:val="21"/>
                    </w:rPr>
                    <w:t>一般防渗区*</w:t>
                  </w:r>
                </w:p>
              </w:tc>
              <w:tc>
                <w:tcPr>
                  <w:tcW w:w="1433" w:type="pct"/>
                  <w:vAlign w:val="center"/>
                </w:tcPr>
                <w:p w14:paraId="5A65AC4A">
                  <w:pPr>
                    <w:pStyle w:val="27"/>
                    <w:adjustRightInd/>
                    <w:spacing w:before="0" w:line="240" w:lineRule="auto"/>
                    <w:jc w:val="center"/>
                    <w:rPr>
                      <w:rFonts w:ascii="Times New Roman" w:hAnsi="Times New Roman" w:eastAsiaTheme="minorEastAsia"/>
                      <w:szCs w:val="21"/>
                    </w:rPr>
                  </w:pPr>
                  <w:r>
                    <w:rPr>
                      <w:rFonts w:ascii="Times New Roman" w:hAnsi="Times New Roman" w:eastAsiaTheme="minorEastAsia"/>
                      <w:szCs w:val="21"/>
                    </w:rPr>
                    <w:t>等效黏土防渗层Mb≥1.5m，K≤1×10</w:t>
                  </w:r>
                  <w:r>
                    <w:rPr>
                      <w:rFonts w:ascii="Times New Roman" w:hAnsi="Times New Roman" w:eastAsiaTheme="minorEastAsia"/>
                      <w:szCs w:val="21"/>
                      <w:vertAlign w:val="superscript"/>
                    </w:rPr>
                    <w:t>-7</w:t>
                  </w:r>
                  <w:r>
                    <w:rPr>
                      <w:rFonts w:ascii="Times New Roman" w:hAnsi="Times New Roman" w:eastAsiaTheme="minorEastAsia"/>
                      <w:szCs w:val="21"/>
                    </w:rPr>
                    <w:t>cm/s；或参照GB16889执行</w:t>
                  </w:r>
                </w:p>
              </w:tc>
              <w:tc>
                <w:tcPr>
                  <w:tcW w:w="557" w:type="pct"/>
                  <w:vAlign w:val="center"/>
                </w:tcPr>
                <w:p w14:paraId="098F8168">
                  <w:pPr>
                    <w:pStyle w:val="27"/>
                    <w:adjustRightInd/>
                    <w:spacing w:before="0" w:line="240" w:lineRule="auto"/>
                    <w:jc w:val="center"/>
                    <w:rPr>
                      <w:rFonts w:ascii="Times New Roman" w:hAnsi="Times New Roman" w:eastAsiaTheme="minorEastAsia"/>
                      <w:szCs w:val="21"/>
                    </w:rPr>
                  </w:pPr>
                  <w:r>
                    <w:rPr>
                      <w:rFonts w:ascii="Times New Roman" w:hAnsi="Times New Roman" w:eastAsiaTheme="minorEastAsia"/>
                      <w:szCs w:val="21"/>
                    </w:rPr>
                    <w:t>部分依托、部分新增</w:t>
                  </w:r>
                </w:p>
              </w:tc>
            </w:tr>
          </w:tbl>
          <w:p w14:paraId="59A6A8F3">
            <w:pPr>
              <w:spacing w:line="360" w:lineRule="auto"/>
              <w:ind w:firstLine="482" w:firstLineChars="200"/>
              <w:contextualSpacing/>
              <w:rPr>
                <w:b/>
                <w:bCs/>
                <w:sz w:val="24"/>
              </w:rPr>
            </w:pPr>
            <w:r>
              <w:rPr>
                <w:b/>
                <w:bCs/>
                <w:sz w:val="24"/>
              </w:rPr>
              <w:t>6、生态环境</w:t>
            </w:r>
          </w:p>
          <w:p w14:paraId="69AC5B2D">
            <w:pPr>
              <w:spacing w:line="360" w:lineRule="auto"/>
              <w:ind w:firstLine="480" w:firstLineChars="200"/>
              <w:contextualSpacing/>
              <w:rPr>
                <w:sz w:val="24"/>
              </w:rPr>
            </w:pPr>
            <w:r>
              <w:rPr>
                <w:sz w:val="24"/>
              </w:rPr>
              <w:t>本项目位于产业园内，不新增用地且用地范围内无生态环境保护目标。与厂界最近的为相距20米的废黄河（泗阳县）重要湿地，主导功能为湿地生态系统保护。</w:t>
            </w:r>
          </w:p>
          <w:p w14:paraId="1432B294">
            <w:pPr>
              <w:spacing w:line="360" w:lineRule="auto"/>
              <w:ind w:firstLine="482" w:firstLineChars="200"/>
              <w:contextualSpacing/>
              <w:rPr>
                <w:b/>
                <w:bCs/>
                <w:sz w:val="24"/>
              </w:rPr>
            </w:pPr>
            <w:r>
              <w:rPr>
                <w:b/>
                <w:bCs/>
                <w:sz w:val="24"/>
              </w:rPr>
              <w:t>7、环境风险</w:t>
            </w:r>
          </w:p>
          <w:p w14:paraId="77F99A73">
            <w:pPr>
              <w:spacing w:line="360" w:lineRule="auto"/>
              <w:ind w:firstLine="482" w:firstLineChars="200"/>
              <w:contextualSpacing/>
              <w:rPr>
                <w:b/>
                <w:bCs/>
                <w:sz w:val="24"/>
              </w:rPr>
            </w:pPr>
            <w:r>
              <w:rPr>
                <w:b/>
                <w:bCs/>
                <w:sz w:val="24"/>
              </w:rPr>
              <w:t>（1）Q值计算</w:t>
            </w:r>
          </w:p>
          <w:p w14:paraId="3DA720F1">
            <w:pPr>
              <w:spacing w:line="360" w:lineRule="auto"/>
              <w:ind w:firstLine="480" w:firstLineChars="200"/>
              <w:contextualSpacing/>
              <w:rPr>
                <w:sz w:val="24"/>
              </w:rPr>
            </w:pPr>
            <w:r>
              <w:rPr>
                <w:sz w:val="24"/>
              </w:rPr>
              <w:t>根据《建设项目环境风险评价技术导则》（HJ169-2018）附录B，对本项目所涉及的主要化学物质进行危险性识别。本项目风险物质包括设备维修产生的废机油、废机油桶、含油废物及柴油、纺丝油剂等。其中纺丝油剂于生产车间，废机油依托现有危废库贮存，与现有危险废物属同一危险单元。根据企业2024危废产生台账及危废最大存在量核算同一危险单位的Q值，各危险物质存在量见下表，Q值总计0.14809，小于1，风险潜势为Ⅰ，仅需简单分析。</w:t>
            </w:r>
          </w:p>
          <w:p w14:paraId="4FA79E6F">
            <w:pPr>
              <w:ind w:left="482"/>
              <w:jc w:val="center"/>
              <w:rPr>
                <w:b/>
                <w:sz w:val="24"/>
              </w:rPr>
            </w:pPr>
            <w:r>
              <w:rPr>
                <w:b/>
                <w:sz w:val="24"/>
              </w:rPr>
              <w:t xml:space="preserve">表4-18项目危险物质在线量与临界量比较表 </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5"/>
              <w:gridCol w:w="1760"/>
              <w:gridCol w:w="1634"/>
              <w:gridCol w:w="1145"/>
              <w:gridCol w:w="2651"/>
            </w:tblGrid>
            <w:tr w14:paraId="2BCA17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25" w:hRule="atLeast"/>
              </w:trPr>
              <w:tc>
                <w:tcPr>
                  <w:tcW w:w="687" w:type="pct"/>
                  <w:shd w:val="clear" w:color="auto" w:fill="auto"/>
                  <w:vAlign w:val="center"/>
                </w:tcPr>
                <w:p w14:paraId="6C75DCD7">
                  <w:pPr>
                    <w:widowControl/>
                    <w:jc w:val="center"/>
                    <w:rPr>
                      <w:rFonts w:eastAsiaTheme="majorEastAsia"/>
                      <w:b/>
                      <w:bCs/>
                      <w:kern w:val="0"/>
                      <w:szCs w:val="21"/>
                    </w:rPr>
                  </w:pPr>
                  <w:r>
                    <w:rPr>
                      <w:rFonts w:eastAsiaTheme="majorEastAsia"/>
                      <w:b/>
                      <w:bCs/>
                      <w:kern w:val="0"/>
                      <w:szCs w:val="21"/>
                    </w:rPr>
                    <w:t>序号</w:t>
                  </w:r>
                </w:p>
              </w:tc>
              <w:tc>
                <w:tcPr>
                  <w:tcW w:w="1056" w:type="pct"/>
                  <w:shd w:val="clear" w:color="auto" w:fill="auto"/>
                  <w:vAlign w:val="center"/>
                </w:tcPr>
                <w:p w14:paraId="00A6201E">
                  <w:pPr>
                    <w:widowControl/>
                    <w:jc w:val="center"/>
                    <w:rPr>
                      <w:rFonts w:eastAsiaTheme="majorEastAsia"/>
                      <w:b/>
                      <w:bCs/>
                      <w:kern w:val="0"/>
                      <w:szCs w:val="21"/>
                    </w:rPr>
                  </w:pPr>
                  <w:r>
                    <w:rPr>
                      <w:rFonts w:eastAsiaTheme="majorEastAsia"/>
                      <w:b/>
                      <w:bCs/>
                      <w:kern w:val="0"/>
                      <w:szCs w:val="21"/>
                    </w:rPr>
                    <w:t>危险物质名称</w:t>
                  </w:r>
                </w:p>
              </w:tc>
              <w:tc>
                <w:tcPr>
                  <w:tcW w:w="980" w:type="pct"/>
                  <w:shd w:val="clear" w:color="auto" w:fill="auto"/>
                  <w:vAlign w:val="center"/>
                </w:tcPr>
                <w:p w14:paraId="002AC3B1">
                  <w:pPr>
                    <w:widowControl/>
                    <w:jc w:val="center"/>
                    <w:rPr>
                      <w:rFonts w:eastAsiaTheme="majorEastAsia"/>
                      <w:b/>
                      <w:bCs/>
                      <w:kern w:val="0"/>
                      <w:szCs w:val="21"/>
                    </w:rPr>
                  </w:pPr>
                  <w:r>
                    <w:rPr>
                      <w:rFonts w:eastAsiaTheme="majorEastAsia"/>
                      <w:b/>
                      <w:bCs/>
                      <w:kern w:val="0"/>
                      <w:szCs w:val="21"/>
                    </w:rPr>
                    <w:t>最大存在总量（t）</w:t>
                  </w:r>
                </w:p>
              </w:tc>
              <w:tc>
                <w:tcPr>
                  <w:tcW w:w="687" w:type="pct"/>
                  <w:shd w:val="clear" w:color="auto" w:fill="auto"/>
                  <w:vAlign w:val="center"/>
                </w:tcPr>
                <w:p w14:paraId="03A217E6">
                  <w:pPr>
                    <w:widowControl/>
                    <w:jc w:val="center"/>
                    <w:rPr>
                      <w:rFonts w:eastAsiaTheme="majorEastAsia"/>
                      <w:b/>
                      <w:bCs/>
                      <w:kern w:val="0"/>
                      <w:szCs w:val="21"/>
                    </w:rPr>
                  </w:pPr>
                  <w:r>
                    <w:rPr>
                      <w:rFonts w:eastAsiaTheme="majorEastAsia"/>
                      <w:b/>
                      <w:bCs/>
                      <w:kern w:val="0"/>
                      <w:szCs w:val="21"/>
                    </w:rPr>
                    <w:t>临界量（t）</w:t>
                  </w:r>
                </w:p>
              </w:tc>
              <w:tc>
                <w:tcPr>
                  <w:tcW w:w="1590" w:type="pct"/>
                  <w:shd w:val="clear" w:color="auto" w:fill="auto"/>
                  <w:vAlign w:val="center"/>
                </w:tcPr>
                <w:p w14:paraId="7C7B932D">
                  <w:pPr>
                    <w:widowControl/>
                    <w:jc w:val="center"/>
                    <w:rPr>
                      <w:rFonts w:eastAsiaTheme="majorEastAsia"/>
                      <w:b/>
                      <w:bCs/>
                      <w:kern w:val="0"/>
                      <w:szCs w:val="21"/>
                    </w:rPr>
                  </w:pPr>
                  <w:r>
                    <w:rPr>
                      <w:rFonts w:eastAsiaTheme="majorEastAsia"/>
                      <w:b/>
                      <w:bCs/>
                      <w:kern w:val="0"/>
                      <w:szCs w:val="21"/>
                    </w:rPr>
                    <w:t>该种危险物质Q值</w:t>
                  </w:r>
                </w:p>
              </w:tc>
            </w:tr>
            <w:tr w14:paraId="70F9F4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000" w:type="pct"/>
                  <w:gridSpan w:val="5"/>
                  <w:shd w:val="clear" w:color="auto" w:fill="auto"/>
                  <w:vAlign w:val="center"/>
                </w:tcPr>
                <w:p w14:paraId="02FE4DC3">
                  <w:pPr>
                    <w:widowControl/>
                    <w:jc w:val="center"/>
                    <w:rPr>
                      <w:rFonts w:eastAsiaTheme="majorEastAsia"/>
                      <w:kern w:val="0"/>
                      <w:szCs w:val="21"/>
                    </w:rPr>
                  </w:pPr>
                  <w:r>
                    <w:rPr>
                      <w:rFonts w:eastAsiaTheme="majorEastAsia"/>
                      <w:kern w:val="0"/>
                      <w:szCs w:val="21"/>
                    </w:rPr>
                    <w:t>危废库、</w:t>
                  </w:r>
                  <w:r>
                    <w:rPr>
                      <w:rFonts w:hint="eastAsia" w:eastAsiaTheme="majorEastAsia"/>
                      <w:kern w:val="0"/>
                      <w:szCs w:val="21"/>
                    </w:rPr>
                    <w:t>纺丝</w:t>
                  </w:r>
                  <w:r>
                    <w:rPr>
                      <w:rFonts w:eastAsiaTheme="majorEastAsia"/>
                      <w:kern w:val="0"/>
                      <w:szCs w:val="21"/>
                    </w:rPr>
                    <w:t>车间</w:t>
                  </w:r>
                  <w:r>
                    <w:rPr>
                      <w:rFonts w:hint="eastAsia" w:eastAsiaTheme="majorEastAsia"/>
                      <w:kern w:val="0"/>
                      <w:szCs w:val="21"/>
                    </w:rPr>
                    <w:t>2</w:t>
                  </w:r>
                  <w:r>
                    <w:rPr>
                      <w:rFonts w:eastAsiaTheme="majorEastAsia"/>
                      <w:kern w:val="0"/>
                      <w:szCs w:val="21"/>
                    </w:rPr>
                    <w:t>、撬装加油一体化设备</w:t>
                  </w:r>
                </w:p>
              </w:tc>
            </w:tr>
            <w:tr w14:paraId="5C7463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7" w:type="pct"/>
                  <w:shd w:val="clear" w:color="auto" w:fill="auto"/>
                  <w:vAlign w:val="center"/>
                </w:tcPr>
                <w:p w14:paraId="4037EB12">
                  <w:pPr>
                    <w:widowControl/>
                    <w:jc w:val="center"/>
                    <w:rPr>
                      <w:rFonts w:eastAsiaTheme="majorEastAsia"/>
                      <w:kern w:val="0"/>
                      <w:szCs w:val="21"/>
                    </w:rPr>
                  </w:pPr>
                  <w:r>
                    <w:rPr>
                      <w:rFonts w:eastAsiaTheme="majorEastAsia"/>
                      <w:kern w:val="0"/>
                      <w:szCs w:val="21"/>
                    </w:rPr>
                    <w:t>1</w:t>
                  </w:r>
                </w:p>
              </w:tc>
              <w:tc>
                <w:tcPr>
                  <w:tcW w:w="1056" w:type="pct"/>
                  <w:shd w:val="clear" w:color="auto" w:fill="auto"/>
                  <w:vAlign w:val="center"/>
                </w:tcPr>
                <w:p w14:paraId="3C41F0A0">
                  <w:pPr>
                    <w:widowControl/>
                    <w:jc w:val="center"/>
                    <w:rPr>
                      <w:rFonts w:eastAsiaTheme="majorEastAsia"/>
                      <w:kern w:val="0"/>
                      <w:szCs w:val="21"/>
                    </w:rPr>
                  </w:pPr>
                  <w:r>
                    <w:rPr>
                      <w:rFonts w:eastAsiaTheme="majorEastAsia"/>
                      <w:kern w:val="0"/>
                      <w:szCs w:val="21"/>
                    </w:rPr>
                    <w:t>纺丝油剂</w:t>
                  </w:r>
                </w:p>
              </w:tc>
              <w:tc>
                <w:tcPr>
                  <w:tcW w:w="980" w:type="pct"/>
                  <w:shd w:val="clear" w:color="auto" w:fill="auto"/>
                  <w:vAlign w:val="center"/>
                </w:tcPr>
                <w:p w14:paraId="48B8F0DB">
                  <w:pPr>
                    <w:widowControl/>
                    <w:jc w:val="center"/>
                    <w:rPr>
                      <w:rFonts w:eastAsiaTheme="majorEastAsia"/>
                      <w:kern w:val="0"/>
                      <w:szCs w:val="21"/>
                    </w:rPr>
                  </w:pPr>
                  <w:r>
                    <w:rPr>
                      <w:rFonts w:eastAsiaTheme="majorEastAsia"/>
                      <w:kern w:val="0"/>
                      <w:szCs w:val="21"/>
                    </w:rPr>
                    <w:t>177.2</w:t>
                  </w:r>
                </w:p>
              </w:tc>
              <w:tc>
                <w:tcPr>
                  <w:tcW w:w="687" w:type="pct"/>
                  <w:shd w:val="clear" w:color="auto" w:fill="auto"/>
                  <w:vAlign w:val="center"/>
                </w:tcPr>
                <w:p w14:paraId="79FCED61">
                  <w:pPr>
                    <w:widowControl/>
                    <w:jc w:val="center"/>
                    <w:rPr>
                      <w:rFonts w:eastAsiaTheme="majorEastAsia"/>
                      <w:kern w:val="0"/>
                      <w:szCs w:val="21"/>
                    </w:rPr>
                  </w:pPr>
                  <w:r>
                    <w:rPr>
                      <w:rFonts w:eastAsiaTheme="majorEastAsia"/>
                      <w:kern w:val="0"/>
                      <w:szCs w:val="21"/>
                    </w:rPr>
                    <w:t>2500</w:t>
                  </w:r>
                </w:p>
              </w:tc>
              <w:tc>
                <w:tcPr>
                  <w:tcW w:w="1590" w:type="pct"/>
                  <w:shd w:val="clear" w:color="auto" w:fill="auto"/>
                  <w:vAlign w:val="center"/>
                </w:tcPr>
                <w:p w14:paraId="772B8AAF">
                  <w:pPr>
                    <w:widowControl/>
                    <w:jc w:val="center"/>
                    <w:rPr>
                      <w:rFonts w:eastAsiaTheme="majorEastAsia"/>
                      <w:kern w:val="0"/>
                      <w:szCs w:val="21"/>
                    </w:rPr>
                  </w:pPr>
                  <w:r>
                    <w:rPr>
                      <w:rFonts w:eastAsiaTheme="majorEastAsia"/>
                      <w:kern w:val="0"/>
                      <w:szCs w:val="21"/>
                    </w:rPr>
                    <w:t>0.07088</w:t>
                  </w:r>
                </w:p>
              </w:tc>
            </w:tr>
            <w:tr w14:paraId="3BE4A2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7" w:type="pct"/>
                  <w:shd w:val="clear" w:color="auto" w:fill="auto"/>
                  <w:vAlign w:val="center"/>
                </w:tcPr>
                <w:p w14:paraId="78282512">
                  <w:pPr>
                    <w:widowControl/>
                    <w:jc w:val="center"/>
                    <w:rPr>
                      <w:rFonts w:eastAsiaTheme="majorEastAsia"/>
                      <w:kern w:val="0"/>
                      <w:szCs w:val="21"/>
                    </w:rPr>
                  </w:pPr>
                  <w:r>
                    <w:rPr>
                      <w:rFonts w:eastAsiaTheme="majorEastAsia"/>
                      <w:kern w:val="0"/>
                      <w:szCs w:val="21"/>
                    </w:rPr>
                    <w:t>2</w:t>
                  </w:r>
                </w:p>
              </w:tc>
              <w:tc>
                <w:tcPr>
                  <w:tcW w:w="1056" w:type="pct"/>
                  <w:shd w:val="clear" w:color="auto" w:fill="auto"/>
                  <w:vAlign w:val="center"/>
                </w:tcPr>
                <w:p w14:paraId="3723132F">
                  <w:pPr>
                    <w:widowControl/>
                    <w:jc w:val="center"/>
                    <w:rPr>
                      <w:rFonts w:eastAsiaTheme="majorEastAsia"/>
                      <w:kern w:val="0"/>
                      <w:szCs w:val="21"/>
                    </w:rPr>
                  </w:pPr>
                  <w:r>
                    <w:rPr>
                      <w:rFonts w:eastAsiaTheme="majorEastAsia"/>
                      <w:kern w:val="0"/>
                      <w:szCs w:val="21"/>
                    </w:rPr>
                    <w:t>废纺丝油剂S3</w:t>
                  </w:r>
                </w:p>
              </w:tc>
              <w:tc>
                <w:tcPr>
                  <w:tcW w:w="980" w:type="pct"/>
                  <w:shd w:val="clear" w:color="auto" w:fill="auto"/>
                  <w:vAlign w:val="center"/>
                </w:tcPr>
                <w:p w14:paraId="57A3BE6D">
                  <w:pPr>
                    <w:widowControl/>
                    <w:jc w:val="center"/>
                    <w:rPr>
                      <w:rFonts w:eastAsiaTheme="majorEastAsia"/>
                      <w:kern w:val="0"/>
                      <w:szCs w:val="21"/>
                    </w:rPr>
                  </w:pPr>
                  <w:r>
                    <w:rPr>
                      <w:rFonts w:eastAsiaTheme="majorEastAsia"/>
                      <w:kern w:val="0"/>
                      <w:szCs w:val="21"/>
                    </w:rPr>
                    <w:t>5.833</w:t>
                  </w:r>
                </w:p>
              </w:tc>
              <w:tc>
                <w:tcPr>
                  <w:tcW w:w="687" w:type="pct"/>
                  <w:shd w:val="clear" w:color="auto" w:fill="auto"/>
                  <w:vAlign w:val="center"/>
                </w:tcPr>
                <w:p w14:paraId="3FCD38F5">
                  <w:pPr>
                    <w:widowControl/>
                    <w:jc w:val="center"/>
                    <w:rPr>
                      <w:rFonts w:eastAsiaTheme="majorEastAsia"/>
                      <w:kern w:val="0"/>
                      <w:szCs w:val="21"/>
                    </w:rPr>
                  </w:pPr>
                  <w:r>
                    <w:rPr>
                      <w:rFonts w:eastAsiaTheme="majorEastAsia"/>
                      <w:kern w:val="0"/>
                      <w:szCs w:val="21"/>
                    </w:rPr>
                    <w:t>2500</w:t>
                  </w:r>
                </w:p>
              </w:tc>
              <w:tc>
                <w:tcPr>
                  <w:tcW w:w="1590" w:type="pct"/>
                  <w:shd w:val="clear" w:color="auto" w:fill="auto"/>
                  <w:vAlign w:val="center"/>
                </w:tcPr>
                <w:p w14:paraId="3F0EF548">
                  <w:pPr>
                    <w:widowControl/>
                    <w:jc w:val="center"/>
                    <w:rPr>
                      <w:rFonts w:eastAsiaTheme="majorEastAsia"/>
                      <w:kern w:val="0"/>
                      <w:szCs w:val="21"/>
                    </w:rPr>
                  </w:pPr>
                  <w:r>
                    <w:rPr>
                      <w:rFonts w:eastAsiaTheme="majorEastAsia"/>
                      <w:kern w:val="0"/>
                      <w:szCs w:val="21"/>
                    </w:rPr>
                    <w:t>0.00233</w:t>
                  </w:r>
                </w:p>
              </w:tc>
            </w:tr>
            <w:tr w14:paraId="502E10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7" w:type="pct"/>
                  <w:shd w:val="clear" w:color="auto" w:fill="auto"/>
                  <w:vAlign w:val="center"/>
                </w:tcPr>
                <w:p w14:paraId="4D418051">
                  <w:pPr>
                    <w:widowControl/>
                    <w:jc w:val="center"/>
                    <w:rPr>
                      <w:rFonts w:eastAsiaTheme="majorEastAsia"/>
                      <w:kern w:val="0"/>
                      <w:szCs w:val="21"/>
                    </w:rPr>
                  </w:pPr>
                  <w:r>
                    <w:rPr>
                      <w:rFonts w:eastAsiaTheme="majorEastAsia"/>
                      <w:kern w:val="0"/>
                      <w:szCs w:val="21"/>
                    </w:rPr>
                    <w:t>3</w:t>
                  </w:r>
                </w:p>
              </w:tc>
              <w:tc>
                <w:tcPr>
                  <w:tcW w:w="1056" w:type="pct"/>
                  <w:shd w:val="clear" w:color="auto" w:fill="auto"/>
                  <w:vAlign w:val="center"/>
                </w:tcPr>
                <w:p w14:paraId="64E4897A">
                  <w:pPr>
                    <w:widowControl/>
                    <w:jc w:val="center"/>
                    <w:rPr>
                      <w:rFonts w:eastAsiaTheme="majorEastAsia"/>
                      <w:kern w:val="0"/>
                      <w:szCs w:val="21"/>
                    </w:rPr>
                  </w:pPr>
                  <w:r>
                    <w:rPr>
                      <w:rFonts w:eastAsiaTheme="majorEastAsia"/>
                      <w:kern w:val="0"/>
                      <w:szCs w:val="21"/>
                    </w:rPr>
                    <w:t>废油S4</w:t>
                  </w:r>
                </w:p>
              </w:tc>
              <w:tc>
                <w:tcPr>
                  <w:tcW w:w="980" w:type="pct"/>
                  <w:shd w:val="clear" w:color="auto" w:fill="auto"/>
                  <w:vAlign w:val="center"/>
                </w:tcPr>
                <w:p w14:paraId="2E7AF64C">
                  <w:pPr>
                    <w:widowControl/>
                    <w:jc w:val="center"/>
                    <w:rPr>
                      <w:rFonts w:eastAsiaTheme="majorEastAsia"/>
                      <w:kern w:val="0"/>
                      <w:szCs w:val="21"/>
                    </w:rPr>
                  </w:pPr>
                  <w:r>
                    <w:rPr>
                      <w:rFonts w:eastAsiaTheme="majorEastAsia"/>
                      <w:kern w:val="0"/>
                      <w:szCs w:val="21"/>
                    </w:rPr>
                    <w:t>1.667</w:t>
                  </w:r>
                </w:p>
              </w:tc>
              <w:tc>
                <w:tcPr>
                  <w:tcW w:w="687" w:type="pct"/>
                  <w:shd w:val="clear" w:color="auto" w:fill="auto"/>
                  <w:vAlign w:val="center"/>
                </w:tcPr>
                <w:p w14:paraId="3E478771">
                  <w:pPr>
                    <w:widowControl/>
                    <w:jc w:val="center"/>
                    <w:rPr>
                      <w:rFonts w:eastAsiaTheme="majorEastAsia"/>
                      <w:kern w:val="0"/>
                      <w:szCs w:val="21"/>
                    </w:rPr>
                  </w:pPr>
                  <w:r>
                    <w:rPr>
                      <w:rFonts w:eastAsiaTheme="majorEastAsia"/>
                      <w:kern w:val="0"/>
                      <w:szCs w:val="21"/>
                    </w:rPr>
                    <w:t>2500</w:t>
                  </w:r>
                </w:p>
              </w:tc>
              <w:tc>
                <w:tcPr>
                  <w:tcW w:w="1590" w:type="pct"/>
                  <w:shd w:val="clear" w:color="auto" w:fill="auto"/>
                  <w:vAlign w:val="center"/>
                </w:tcPr>
                <w:p w14:paraId="5923DEFA">
                  <w:pPr>
                    <w:widowControl/>
                    <w:jc w:val="center"/>
                    <w:rPr>
                      <w:rFonts w:eastAsiaTheme="majorEastAsia"/>
                      <w:kern w:val="0"/>
                      <w:szCs w:val="21"/>
                    </w:rPr>
                  </w:pPr>
                  <w:r>
                    <w:rPr>
                      <w:rFonts w:eastAsiaTheme="majorEastAsia"/>
                      <w:kern w:val="0"/>
                      <w:szCs w:val="21"/>
                    </w:rPr>
                    <w:t>0.00067</w:t>
                  </w:r>
                </w:p>
              </w:tc>
            </w:tr>
            <w:tr w14:paraId="1359A3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7" w:type="pct"/>
                  <w:shd w:val="clear" w:color="auto" w:fill="auto"/>
                  <w:vAlign w:val="center"/>
                </w:tcPr>
                <w:p w14:paraId="123676B6">
                  <w:pPr>
                    <w:widowControl/>
                    <w:jc w:val="center"/>
                    <w:rPr>
                      <w:rFonts w:eastAsiaTheme="majorEastAsia"/>
                      <w:kern w:val="0"/>
                      <w:szCs w:val="21"/>
                    </w:rPr>
                  </w:pPr>
                  <w:r>
                    <w:rPr>
                      <w:rFonts w:eastAsiaTheme="majorEastAsia"/>
                      <w:kern w:val="0"/>
                      <w:szCs w:val="21"/>
                    </w:rPr>
                    <w:t>4</w:t>
                  </w:r>
                </w:p>
              </w:tc>
              <w:tc>
                <w:tcPr>
                  <w:tcW w:w="1056" w:type="pct"/>
                  <w:shd w:val="clear" w:color="auto" w:fill="auto"/>
                  <w:vAlign w:val="center"/>
                </w:tcPr>
                <w:p w14:paraId="4E74DD10">
                  <w:pPr>
                    <w:widowControl/>
                    <w:jc w:val="center"/>
                    <w:rPr>
                      <w:rFonts w:eastAsiaTheme="majorEastAsia"/>
                      <w:kern w:val="0"/>
                      <w:szCs w:val="21"/>
                    </w:rPr>
                  </w:pPr>
                  <w:r>
                    <w:rPr>
                      <w:rFonts w:eastAsiaTheme="majorEastAsia"/>
                      <w:kern w:val="0"/>
                      <w:szCs w:val="21"/>
                    </w:rPr>
                    <w:t>废润滑油脂S5</w:t>
                  </w:r>
                </w:p>
              </w:tc>
              <w:tc>
                <w:tcPr>
                  <w:tcW w:w="980" w:type="pct"/>
                  <w:shd w:val="clear" w:color="auto" w:fill="auto"/>
                  <w:vAlign w:val="center"/>
                </w:tcPr>
                <w:p w14:paraId="74518A72">
                  <w:pPr>
                    <w:widowControl/>
                    <w:jc w:val="center"/>
                    <w:rPr>
                      <w:rFonts w:eastAsiaTheme="majorEastAsia"/>
                      <w:kern w:val="0"/>
                      <w:szCs w:val="21"/>
                    </w:rPr>
                  </w:pPr>
                  <w:r>
                    <w:rPr>
                      <w:rFonts w:eastAsiaTheme="majorEastAsia"/>
                      <w:kern w:val="0"/>
                      <w:szCs w:val="21"/>
                    </w:rPr>
                    <w:t>0.017</w:t>
                  </w:r>
                </w:p>
              </w:tc>
              <w:tc>
                <w:tcPr>
                  <w:tcW w:w="687" w:type="pct"/>
                  <w:shd w:val="clear" w:color="auto" w:fill="auto"/>
                  <w:vAlign w:val="center"/>
                </w:tcPr>
                <w:p w14:paraId="77393D3C">
                  <w:pPr>
                    <w:widowControl/>
                    <w:jc w:val="center"/>
                    <w:rPr>
                      <w:rFonts w:eastAsiaTheme="majorEastAsia"/>
                      <w:kern w:val="0"/>
                      <w:szCs w:val="21"/>
                    </w:rPr>
                  </w:pPr>
                  <w:r>
                    <w:rPr>
                      <w:rFonts w:eastAsiaTheme="majorEastAsia"/>
                      <w:kern w:val="0"/>
                      <w:szCs w:val="21"/>
                    </w:rPr>
                    <w:t>2500</w:t>
                  </w:r>
                </w:p>
              </w:tc>
              <w:tc>
                <w:tcPr>
                  <w:tcW w:w="1590" w:type="pct"/>
                  <w:shd w:val="clear" w:color="auto" w:fill="auto"/>
                  <w:vAlign w:val="center"/>
                </w:tcPr>
                <w:p w14:paraId="69EF1085">
                  <w:pPr>
                    <w:widowControl/>
                    <w:jc w:val="center"/>
                    <w:rPr>
                      <w:rFonts w:eastAsiaTheme="majorEastAsia"/>
                      <w:kern w:val="0"/>
                      <w:szCs w:val="21"/>
                    </w:rPr>
                  </w:pPr>
                  <w:r>
                    <w:rPr>
                      <w:rFonts w:eastAsiaTheme="majorEastAsia"/>
                      <w:kern w:val="0"/>
                      <w:szCs w:val="21"/>
                    </w:rPr>
                    <w:t>0.00001</w:t>
                  </w:r>
                </w:p>
              </w:tc>
            </w:tr>
            <w:tr w14:paraId="4DE315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7" w:type="pct"/>
                  <w:shd w:val="clear" w:color="auto" w:fill="auto"/>
                  <w:vAlign w:val="center"/>
                </w:tcPr>
                <w:p w14:paraId="70E3F48B">
                  <w:pPr>
                    <w:widowControl/>
                    <w:jc w:val="center"/>
                    <w:rPr>
                      <w:rFonts w:eastAsiaTheme="majorEastAsia"/>
                      <w:kern w:val="0"/>
                      <w:szCs w:val="21"/>
                    </w:rPr>
                  </w:pPr>
                  <w:r>
                    <w:rPr>
                      <w:rFonts w:eastAsiaTheme="majorEastAsia"/>
                      <w:kern w:val="0"/>
                      <w:szCs w:val="21"/>
                    </w:rPr>
                    <w:t>5</w:t>
                  </w:r>
                </w:p>
              </w:tc>
              <w:tc>
                <w:tcPr>
                  <w:tcW w:w="1056" w:type="pct"/>
                  <w:shd w:val="clear" w:color="auto" w:fill="auto"/>
                  <w:vAlign w:val="center"/>
                </w:tcPr>
                <w:p w14:paraId="74296BA8">
                  <w:pPr>
                    <w:widowControl/>
                    <w:jc w:val="center"/>
                    <w:rPr>
                      <w:rFonts w:eastAsiaTheme="majorEastAsia"/>
                      <w:kern w:val="0"/>
                      <w:szCs w:val="21"/>
                    </w:rPr>
                  </w:pPr>
                  <w:r>
                    <w:rPr>
                      <w:rFonts w:eastAsiaTheme="majorEastAsia"/>
                      <w:kern w:val="0"/>
                      <w:szCs w:val="21"/>
                    </w:rPr>
                    <w:t>废有机溶剂S6</w:t>
                  </w:r>
                </w:p>
              </w:tc>
              <w:tc>
                <w:tcPr>
                  <w:tcW w:w="980" w:type="pct"/>
                  <w:shd w:val="clear" w:color="auto" w:fill="auto"/>
                  <w:vAlign w:val="center"/>
                </w:tcPr>
                <w:p w14:paraId="74141346">
                  <w:pPr>
                    <w:widowControl/>
                    <w:jc w:val="center"/>
                    <w:rPr>
                      <w:rFonts w:eastAsiaTheme="majorEastAsia"/>
                      <w:kern w:val="0"/>
                      <w:szCs w:val="21"/>
                    </w:rPr>
                  </w:pPr>
                  <w:r>
                    <w:rPr>
                      <w:rFonts w:eastAsiaTheme="majorEastAsia"/>
                      <w:kern w:val="0"/>
                      <w:szCs w:val="21"/>
                    </w:rPr>
                    <w:t>0.125</w:t>
                  </w:r>
                </w:p>
              </w:tc>
              <w:tc>
                <w:tcPr>
                  <w:tcW w:w="687" w:type="pct"/>
                  <w:shd w:val="clear" w:color="auto" w:fill="auto"/>
                  <w:vAlign w:val="center"/>
                </w:tcPr>
                <w:p w14:paraId="41345F63">
                  <w:pPr>
                    <w:widowControl/>
                    <w:jc w:val="center"/>
                    <w:rPr>
                      <w:rFonts w:eastAsiaTheme="majorEastAsia"/>
                      <w:kern w:val="0"/>
                      <w:szCs w:val="21"/>
                    </w:rPr>
                  </w:pPr>
                  <w:r>
                    <w:rPr>
                      <w:rFonts w:eastAsiaTheme="majorEastAsia"/>
                      <w:kern w:val="0"/>
                      <w:szCs w:val="21"/>
                    </w:rPr>
                    <w:t>50</w:t>
                  </w:r>
                </w:p>
              </w:tc>
              <w:tc>
                <w:tcPr>
                  <w:tcW w:w="1590" w:type="pct"/>
                  <w:shd w:val="clear" w:color="auto" w:fill="auto"/>
                  <w:vAlign w:val="center"/>
                </w:tcPr>
                <w:p w14:paraId="113C35A8">
                  <w:pPr>
                    <w:widowControl/>
                    <w:jc w:val="center"/>
                    <w:rPr>
                      <w:rFonts w:eastAsiaTheme="majorEastAsia"/>
                      <w:kern w:val="0"/>
                      <w:szCs w:val="21"/>
                    </w:rPr>
                  </w:pPr>
                  <w:r>
                    <w:rPr>
                      <w:rFonts w:eastAsiaTheme="majorEastAsia"/>
                      <w:kern w:val="0"/>
                      <w:szCs w:val="21"/>
                    </w:rPr>
                    <w:t>0.0025</w:t>
                  </w:r>
                </w:p>
              </w:tc>
            </w:tr>
            <w:tr w14:paraId="60E195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7" w:type="pct"/>
                  <w:shd w:val="clear" w:color="auto" w:fill="auto"/>
                  <w:vAlign w:val="center"/>
                </w:tcPr>
                <w:p w14:paraId="1BC03E77">
                  <w:pPr>
                    <w:widowControl/>
                    <w:jc w:val="center"/>
                    <w:rPr>
                      <w:rFonts w:eastAsiaTheme="majorEastAsia"/>
                      <w:kern w:val="0"/>
                      <w:szCs w:val="21"/>
                    </w:rPr>
                  </w:pPr>
                  <w:r>
                    <w:rPr>
                      <w:rFonts w:eastAsiaTheme="majorEastAsia"/>
                      <w:kern w:val="0"/>
                      <w:szCs w:val="21"/>
                    </w:rPr>
                    <w:t>6</w:t>
                  </w:r>
                </w:p>
              </w:tc>
              <w:tc>
                <w:tcPr>
                  <w:tcW w:w="1056" w:type="pct"/>
                  <w:shd w:val="clear" w:color="auto" w:fill="auto"/>
                  <w:vAlign w:val="center"/>
                </w:tcPr>
                <w:p w14:paraId="39291154">
                  <w:pPr>
                    <w:widowControl/>
                    <w:jc w:val="center"/>
                    <w:rPr>
                      <w:rFonts w:eastAsiaTheme="majorEastAsia"/>
                      <w:kern w:val="0"/>
                      <w:szCs w:val="21"/>
                    </w:rPr>
                  </w:pPr>
                  <w:r>
                    <w:rPr>
                      <w:rFonts w:eastAsiaTheme="majorEastAsia"/>
                      <w:kern w:val="0"/>
                      <w:szCs w:val="21"/>
                    </w:rPr>
                    <w:t>废碱液S7</w:t>
                  </w:r>
                </w:p>
              </w:tc>
              <w:tc>
                <w:tcPr>
                  <w:tcW w:w="980" w:type="pct"/>
                  <w:shd w:val="clear" w:color="auto" w:fill="auto"/>
                  <w:vAlign w:val="center"/>
                </w:tcPr>
                <w:p w14:paraId="778AA2E5">
                  <w:pPr>
                    <w:widowControl/>
                    <w:jc w:val="center"/>
                    <w:rPr>
                      <w:rFonts w:eastAsiaTheme="majorEastAsia"/>
                      <w:kern w:val="0"/>
                      <w:szCs w:val="21"/>
                    </w:rPr>
                  </w:pPr>
                  <w:r>
                    <w:rPr>
                      <w:rFonts w:eastAsiaTheme="majorEastAsia"/>
                      <w:kern w:val="0"/>
                      <w:szCs w:val="21"/>
                    </w:rPr>
                    <w:t>0.83</w:t>
                  </w:r>
                </w:p>
              </w:tc>
              <w:tc>
                <w:tcPr>
                  <w:tcW w:w="687" w:type="pct"/>
                  <w:shd w:val="clear" w:color="auto" w:fill="auto"/>
                  <w:vAlign w:val="center"/>
                </w:tcPr>
                <w:p w14:paraId="1C98342A">
                  <w:pPr>
                    <w:widowControl/>
                    <w:jc w:val="center"/>
                    <w:rPr>
                      <w:rFonts w:eastAsiaTheme="majorEastAsia"/>
                      <w:kern w:val="0"/>
                      <w:szCs w:val="21"/>
                    </w:rPr>
                  </w:pPr>
                  <w:r>
                    <w:rPr>
                      <w:rFonts w:eastAsiaTheme="majorEastAsia"/>
                      <w:kern w:val="0"/>
                      <w:szCs w:val="21"/>
                    </w:rPr>
                    <w:t>50</w:t>
                  </w:r>
                </w:p>
              </w:tc>
              <w:tc>
                <w:tcPr>
                  <w:tcW w:w="1590" w:type="pct"/>
                  <w:shd w:val="clear" w:color="auto" w:fill="auto"/>
                  <w:vAlign w:val="center"/>
                </w:tcPr>
                <w:p w14:paraId="1615E43C">
                  <w:pPr>
                    <w:widowControl/>
                    <w:jc w:val="center"/>
                    <w:rPr>
                      <w:rFonts w:eastAsiaTheme="majorEastAsia"/>
                      <w:kern w:val="0"/>
                      <w:szCs w:val="21"/>
                    </w:rPr>
                  </w:pPr>
                  <w:r>
                    <w:rPr>
                      <w:rFonts w:eastAsiaTheme="majorEastAsia"/>
                      <w:kern w:val="0"/>
                      <w:szCs w:val="21"/>
                    </w:rPr>
                    <w:t>0.0166</w:t>
                  </w:r>
                </w:p>
              </w:tc>
            </w:tr>
            <w:tr w14:paraId="41ED4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7" w:type="pct"/>
                  <w:shd w:val="clear" w:color="auto" w:fill="auto"/>
                  <w:vAlign w:val="center"/>
                </w:tcPr>
                <w:p w14:paraId="492CA44C">
                  <w:pPr>
                    <w:widowControl/>
                    <w:jc w:val="center"/>
                    <w:rPr>
                      <w:rFonts w:eastAsiaTheme="majorEastAsia"/>
                      <w:kern w:val="0"/>
                      <w:szCs w:val="21"/>
                    </w:rPr>
                  </w:pPr>
                  <w:r>
                    <w:rPr>
                      <w:rFonts w:eastAsiaTheme="majorEastAsia"/>
                      <w:kern w:val="0"/>
                      <w:szCs w:val="21"/>
                    </w:rPr>
                    <w:t>7</w:t>
                  </w:r>
                </w:p>
              </w:tc>
              <w:tc>
                <w:tcPr>
                  <w:tcW w:w="1056" w:type="pct"/>
                  <w:shd w:val="clear" w:color="auto" w:fill="auto"/>
                  <w:vAlign w:val="center"/>
                </w:tcPr>
                <w:p w14:paraId="50A7CD54">
                  <w:pPr>
                    <w:widowControl/>
                    <w:jc w:val="center"/>
                    <w:rPr>
                      <w:rFonts w:eastAsiaTheme="majorEastAsia"/>
                      <w:kern w:val="0"/>
                      <w:szCs w:val="21"/>
                    </w:rPr>
                  </w:pPr>
                  <w:r>
                    <w:rPr>
                      <w:rFonts w:eastAsiaTheme="majorEastAsia"/>
                      <w:kern w:val="0"/>
                      <w:szCs w:val="21"/>
                    </w:rPr>
                    <w:t>柴油</w:t>
                  </w:r>
                </w:p>
              </w:tc>
              <w:tc>
                <w:tcPr>
                  <w:tcW w:w="980" w:type="pct"/>
                  <w:shd w:val="clear" w:color="auto" w:fill="auto"/>
                  <w:vAlign w:val="center"/>
                </w:tcPr>
                <w:p w14:paraId="507CE190">
                  <w:pPr>
                    <w:widowControl/>
                    <w:jc w:val="center"/>
                    <w:rPr>
                      <w:rFonts w:eastAsiaTheme="majorEastAsia"/>
                      <w:kern w:val="0"/>
                      <w:szCs w:val="21"/>
                    </w:rPr>
                  </w:pPr>
                  <w:r>
                    <w:rPr>
                      <w:rFonts w:eastAsiaTheme="majorEastAsia"/>
                      <w:kern w:val="0"/>
                      <w:szCs w:val="21"/>
                    </w:rPr>
                    <w:t>35</w:t>
                  </w:r>
                </w:p>
              </w:tc>
              <w:tc>
                <w:tcPr>
                  <w:tcW w:w="687" w:type="pct"/>
                  <w:shd w:val="clear" w:color="auto" w:fill="auto"/>
                  <w:vAlign w:val="center"/>
                </w:tcPr>
                <w:p w14:paraId="61E6272E">
                  <w:pPr>
                    <w:widowControl/>
                    <w:jc w:val="center"/>
                    <w:rPr>
                      <w:rFonts w:eastAsiaTheme="majorEastAsia"/>
                      <w:kern w:val="0"/>
                      <w:szCs w:val="21"/>
                    </w:rPr>
                  </w:pPr>
                  <w:r>
                    <w:rPr>
                      <w:rFonts w:eastAsiaTheme="majorEastAsia"/>
                      <w:kern w:val="0"/>
                      <w:szCs w:val="21"/>
                    </w:rPr>
                    <w:t>2500</w:t>
                  </w:r>
                </w:p>
              </w:tc>
              <w:tc>
                <w:tcPr>
                  <w:tcW w:w="1590" w:type="pct"/>
                  <w:shd w:val="clear" w:color="auto" w:fill="auto"/>
                  <w:vAlign w:val="center"/>
                </w:tcPr>
                <w:p w14:paraId="5579EFB1">
                  <w:pPr>
                    <w:widowControl/>
                    <w:jc w:val="center"/>
                    <w:rPr>
                      <w:rFonts w:eastAsiaTheme="majorEastAsia"/>
                      <w:kern w:val="0"/>
                      <w:szCs w:val="21"/>
                    </w:rPr>
                  </w:pPr>
                  <w:r>
                    <w:rPr>
                      <w:rFonts w:eastAsiaTheme="majorEastAsia"/>
                      <w:kern w:val="0"/>
                      <w:szCs w:val="21"/>
                    </w:rPr>
                    <w:t>0.014</w:t>
                  </w:r>
                </w:p>
              </w:tc>
            </w:tr>
            <w:tr w14:paraId="62883C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7" w:type="pct"/>
                  <w:shd w:val="clear" w:color="auto" w:fill="auto"/>
                  <w:vAlign w:val="center"/>
                </w:tcPr>
                <w:p w14:paraId="47BAF09D">
                  <w:pPr>
                    <w:widowControl/>
                    <w:jc w:val="center"/>
                    <w:rPr>
                      <w:rFonts w:eastAsiaTheme="majorEastAsia"/>
                      <w:kern w:val="0"/>
                      <w:szCs w:val="21"/>
                    </w:rPr>
                  </w:pPr>
                  <w:r>
                    <w:rPr>
                      <w:rFonts w:eastAsiaTheme="majorEastAsia"/>
                      <w:kern w:val="0"/>
                      <w:szCs w:val="21"/>
                    </w:rPr>
                    <w:t>8</w:t>
                  </w:r>
                </w:p>
              </w:tc>
              <w:tc>
                <w:tcPr>
                  <w:tcW w:w="1056" w:type="pct"/>
                  <w:shd w:val="clear" w:color="auto" w:fill="auto"/>
                  <w:vAlign w:val="center"/>
                </w:tcPr>
                <w:p w14:paraId="69ADA3FB">
                  <w:pPr>
                    <w:widowControl/>
                    <w:jc w:val="center"/>
                    <w:rPr>
                      <w:rFonts w:eastAsiaTheme="majorEastAsia"/>
                      <w:kern w:val="0"/>
                      <w:szCs w:val="21"/>
                    </w:rPr>
                  </w:pPr>
                  <w:r>
                    <w:rPr>
                      <w:rFonts w:eastAsiaTheme="majorEastAsia"/>
                      <w:kern w:val="0"/>
                      <w:szCs w:val="21"/>
                    </w:rPr>
                    <w:t>现有危废-废油*</w:t>
                  </w:r>
                </w:p>
              </w:tc>
              <w:tc>
                <w:tcPr>
                  <w:tcW w:w="980" w:type="pct"/>
                  <w:shd w:val="clear" w:color="auto" w:fill="auto"/>
                  <w:vAlign w:val="center"/>
                </w:tcPr>
                <w:p w14:paraId="4578B212">
                  <w:pPr>
                    <w:widowControl/>
                    <w:jc w:val="center"/>
                    <w:rPr>
                      <w:rFonts w:eastAsiaTheme="majorEastAsia"/>
                      <w:kern w:val="0"/>
                      <w:szCs w:val="21"/>
                    </w:rPr>
                  </w:pPr>
                  <w:r>
                    <w:rPr>
                      <w:rFonts w:eastAsiaTheme="majorEastAsia"/>
                      <w:kern w:val="0"/>
                      <w:szCs w:val="21"/>
                    </w:rPr>
                    <w:t>2.992</w:t>
                  </w:r>
                </w:p>
              </w:tc>
              <w:tc>
                <w:tcPr>
                  <w:tcW w:w="687" w:type="pct"/>
                  <w:shd w:val="clear" w:color="auto" w:fill="auto"/>
                  <w:vAlign w:val="center"/>
                </w:tcPr>
                <w:p w14:paraId="425426DE">
                  <w:pPr>
                    <w:widowControl/>
                    <w:jc w:val="center"/>
                    <w:rPr>
                      <w:rFonts w:eastAsiaTheme="majorEastAsia"/>
                      <w:kern w:val="0"/>
                      <w:szCs w:val="21"/>
                    </w:rPr>
                  </w:pPr>
                  <w:r>
                    <w:rPr>
                      <w:rFonts w:eastAsiaTheme="majorEastAsia"/>
                      <w:kern w:val="0"/>
                      <w:szCs w:val="21"/>
                    </w:rPr>
                    <w:t>2500</w:t>
                  </w:r>
                </w:p>
              </w:tc>
              <w:tc>
                <w:tcPr>
                  <w:tcW w:w="1590" w:type="pct"/>
                  <w:shd w:val="clear" w:color="auto" w:fill="auto"/>
                  <w:vAlign w:val="center"/>
                </w:tcPr>
                <w:p w14:paraId="3163F3AF">
                  <w:pPr>
                    <w:widowControl/>
                    <w:jc w:val="center"/>
                    <w:rPr>
                      <w:rFonts w:eastAsiaTheme="majorEastAsia"/>
                      <w:kern w:val="0"/>
                      <w:szCs w:val="21"/>
                    </w:rPr>
                  </w:pPr>
                  <w:r>
                    <w:rPr>
                      <w:rFonts w:eastAsiaTheme="majorEastAsia"/>
                      <w:kern w:val="0"/>
                      <w:szCs w:val="21"/>
                    </w:rPr>
                    <w:t>0.0012</w:t>
                  </w:r>
                </w:p>
              </w:tc>
            </w:tr>
            <w:tr w14:paraId="267DFF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7" w:type="pct"/>
                  <w:shd w:val="clear" w:color="auto" w:fill="auto"/>
                  <w:vAlign w:val="center"/>
                </w:tcPr>
                <w:p w14:paraId="1F8C3986">
                  <w:pPr>
                    <w:widowControl/>
                    <w:jc w:val="center"/>
                    <w:rPr>
                      <w:rFonts w:eastAsiaTheme="majorEastAsia"/>
                      <w:kern w:val="0"/>
                      <w:szCs w:val="21"/>
                    </w:rPr>
                  </w:pPr>
                  <w:r>
                    <w:rPr>
                      <w:rFonts w:eastAsiaTheme="majorEastAsia"/>
                      <w:kern w:val="0"/>
                      <w:szCs w:val="21"/>
                    </w:rPr>
                    <w:t>9</w:t>
                  </w:r>
                </w:p>
              </w:tc>
              <w:tc>
                <w:tcPr>
                  <w:tcW w:w="1056" w:type="pct"/>
                  <w:shd w:val="clear" w:color="auto" w:fill="auto"/>
                  <w:vAlign w:val="center"/>
                </w:tcPr>
                <w:p w14:paraId="61879581">
                  <w:pPr>
                    <w:widowControl/>
                    <w:jc w:val="center"/>
                    <w:rPr>
                      <w:rFonts w:eastAsiaTheme="majorEastAsia"/>
                      <w:kern w:val="0"/>
                      <w:szCs w:val="21"/>
                    </w:rPr>
                  </w:pPr>
                  <w:r>
                    <w:rPr>
                      <w:rFonts w:eastAsiaTheme="majorEastAsia"/>
                      <w:kern w:val="0"/>
                      <w:szCs w:val="21"/>
                    </w:rPr>
                    <w:t>现有危废-废液*</w:t>
                  </w:r>
                </w:p>
              </w:tc>
              <w:tc>
                <w:tcPr>
                  <w:tcW w:w="980" w:type="pct"/>
                  <w:shd w:val="clear" w:color="auto" w:fill="auto"/>
                  <w:vAlign w:val="center"/>
                </w:tcPr>
                <w:p w14:paraId="297F6F2D">
                  <w:pPr>
                    <w:widowControl/>
                    <w:jc w:val="center"/>
                    <w:rPr>
                      <w:rFonts w:eastAsiaTheme="majorEastAsia"/>
                      <w:kern w:val="0"/>
                      <w:szCs w:val="21"/>
                    </w:rPr>
                  </w:pPr>
                  <w:r>
                    <w:rPr>
                      <w:rFonts w:eastAsiaTheme="majorEastAsia"/>
                      <w:kern w:val="0"/>
                      <w:szCs w:val="21"/>
                    </w:rPr>
                    <w:t>1.994</w:t>
                  </w:r>
                </w:p>
              </w:tc>
              <w:tc>
                <w:tcPr>
                  <w:tcW w:w="687" w:type="pct"/>
                  <w:shd w:val="clear" w:color="auto" w:fill="auto"/>
                  <w:vAlign w:val="center"/>
                </w:tcPr>
                <w:p w14:paraId="18D8C7C0">
                  <w:pPr>
                    <w:widowControl/>
                    <w:jc w:val="center"/>
                    <w:rPr>
                      <w:rFonts w:eastAsiaTheme="majorEastAsia"/>
                      <w:kern w:val="0"/>
                      <w:szCs w:val="21"/>
                    </w:rPr>
                  </w:pPr>
                  <w:r>
                    <w:rPr>
                      <w:rFonts w:eastAsiaTheme="majorEastAsia"/>
                      <w:kern w:val="0"/>
                      <w:szCs w:val="21"/>
                    </w:rPr>
                    <w:t>50</w:t>
                  </w:r>
                </w:p>
              </w:tc>
              <w:tc>
                <w:tcPr>
                  <w:tcW w:w="1590" w:type="pct"/>
                  <w:shd w:val="clear" w:color="auto" w:fill="auto"/>
                  <w:vAlign w:val="center"/>
                </w:tcPr>
                <w:p w14:paraId="4F73BF48">
                  <w:pPr>
                    <w:widowControl/>
                    <w:jc w:val="center"/>
                    <w:rPr>
                      <w:rFonts w:eastAsiaTheme="majorEastAsia"/>
                      <w:kern w:val="0"/>
                      <w:szCs w:val="21"/>
                    </w:rPr>
                  </w:pPr>
                  <w:r>
                    <w:rPr>
                      <w:rFonts w:eastAsiaTheme="majorEastAsia"/>
                      <w:kern w:val="0"/>
                      <w:szCs w:val="21"/>
                    </w:rPr>
                    <w:t>0.0399</w:t>
                  </w:r>
                </w:p>
              </w:tc>
            </w:tr>
            <w:tr w14:paraId="709351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410" w:type="pct"/>
                  <w:gridSpan w:val="4"/>
                  <w:shd w:val="clear" w:color="auto" w:fill="auto"/>
                  <w:vAlign w:val="center"/>
                </w:tcPr>
                <w:p w14:paraId="4AB723A1">
                  <w:pPr>
                    <w:widowControl/>
                    <w:jc w:val="center"/>
                    <w:rPr>
                      <w:rFonts w:eastAsiaTheme="majorEastAsia"/>
                      <w:b/>
                      <w:bCs/>
                      <w:kern w:val="0"/>
                      <w:szCs w:val="21"/>
                    </w:rPr>
                  </w:pPr>
                  <w:r>
                    <w:rPr>
                      <w:rFonts w:eastAsiaTheme="majorEastAsia"/>
                      <w:b/>
                      <w:bCs/>
                      <w:kern w:val="0"/>
                      <w:szCs w:val="21"/>
                    </w:rPr>
                    <w:t>合计</w:t>
                  </w:r>
                </w:p>
              </w:tc>
              <w:tc>
                <w:tcPr>
                  <w:tcW w:w="1590" w:type="pct"/>
                  <w:shd w:val="clear" w:color="auto" w:fill="auto"/>
                  <w:vAlign w:val="center"/>
                </w:tcPr>
                <w:p w14:paraId="6EDEB359">
                  <w:pPr>
                    <w:widowControl/>
                    <w:jc w:val="center"/>
                    <w:rPr>
                      <w:rFonts w:eastAsiaTheme="majorEastAsia"/>
                      <w:b/>
                      <w:bCs/>
                      <w:kern w:val="0"/>
                      <w:szCs w:val="21"/>
                    </w:rPr>
                  </w:pPr>
                  <w:r>
                    <w:rPr>
                      <w:rFonts w:eastAsiaTheme="majorEastAsia"/>
                      <w:b/>
                      <w:bCs/>
                      <w:kern w:val="0"/>
                      <w:szCs w:val="21"/>
                    </w:rPr>
                    <w:t>0.14809</w:t>
                  </w:r>
                </w:p>
              </w:tc>
            </w:tr>
          </w:tbl>
          <w:p w14:paraId="5EB1F6F3">
            <w:pPr>
              <w:rPr>
                <w:szCs w:val="21"/>
              </w:rPr>
            </w:pPr>
            <w:r>
              <w:rPr>
                <w:szCs w:val="21"/>
              </w:rPr>
              <w:t>*注：根据企业提供的2024危废最大暂存量核算。</w:t>
            </w:r>
          </w:p>
          <w:p w14:paraId="6C5BA7A9">
            <w:pPr>
              <w:spacing w:line="360" w:lineRule="auto"/>
              <w:ind w:firstLine="482" w:firstLineChars="200"/>
              <w:rPr>
                <w:b/>
                <w:bCs/>
                <w:sz w:val="24"/>
              </w:rPr>
            </w:pPr>
            <w:r>
              <w:rPr>
                <w:b/>
                <w:bCs/>
                <w:sz w:val="24"/>
              </w:rPr>
              <w:t>（2）风险源分布情况及影响途径</w:t>
            </w:r>
          </w:p>
          <w:p w14:paraId="133BE101">
            <w:pPr>
              <w:jc w:val="center"/>
              <w:rPr>
                <w:b/>
                <w:sz w:val="24"/>
              </w:rPr>
            </w:pPr>
            <w:r>
              <w:rPr>
                <w:b/>
                <w:sz w:val="24"/>
              </w:rPr>
              <w:t>表4-19项目风险源分布情况及影响途径一览表</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9"/>
              <w:gridCol w:w="2470"/>
              <w:gridCol w:w="1235"/>
              <w:gridCol w:w="1177"/>
              <w:gridCol w:w="1177"/>
              <w:gridCol w:w="1177"/>
            </w:tblGrid>
            <w:tr w14:paraId="65880C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59" w:type="pct"/>
                  <w:vMerge w:val="restart"/>
                  <w:shd w:val="clear" w:color="auto" w:fill="auto"/>
                  <w:vAlign w:val="center"/>
                </w:tcPr>
                <w:p w14:paraId="01DE557D">
                  <w:pPr>
                    <w:widowControl/>
                    <w:jc w:val="center"/>
                    <w:rPr>
                      <w:b/>
                      <w:bCs/>
                      <w:kern w:val="0"/>
                      <w:szCs w:val="21"/>
                    </w:rPr>
                  </w:pPr>
                  <w:r>
                    <w:rPr>
                      <w:b/>
                      <w:bCs/>
                      <w:kern w:val="0"/>
                      <w:szCs w:val="21"/>
                    </w:rPr>
                    <w:t>风险源</w:t>
                  </w:r>
                </w:p>
              </w:tc>
              <w:tc>
                <w:tcPr>
                  <w:tcW w:w="1482" w:type="pct"/>
                  <w:shd w:val="clear" w:color="auto" w:fill="auto"/>
                  <w:vAlign w:val="center"/>
                </w:tcPr>
                <w:p w14:paraId="498247A5">
                  <w:pPr>
                    <w:widowControl/>
                    <w:jc w:val="center"/>
                    <w:rPr>
                      <w:b/>
                      <w:bCs/>
                      <w:kern w:val="0"/>
                      <w:szCs w:val="21"/>
                    </w:rPr>
                  </w:pPr>
                  <w:r>
                    <w:rPr>
                      <w:b/>
                      <w:bCs/>
                      <w:kern w:val="0"/>
                      <w:szCs w:val="21"/>
                    </w:rPr>
                    <w:t>位置</w:t>
                  </w:r>
                </w:p>
              </w:tc>
              <w:tc>
                <w:tcPr>
                  <w:tcW w:w="741" w:type="pct"/>
                  <w:vMerge w:val="restart"/>
                  <w:shd w:val="clear" w:color="auto" w:fill="auto"/>
                  <w:vAlign w:val="center"/>
                </w:tcPr>
                <w:p w14:paraId="2603575E">
                  <w:pPr>
                    <w:widowControl/>
                    <w:jc w:val="center"/>
                    <w:rPr>
                      <w:b/>
                      <w:bCs/>
                      <w:kern w:val="0"/>
                      <w:szCs w:val="21"/>
                    </w:rPr>
                  </w:pPr>
                  <w:r>
                    <w:rPr>
                      <w:b/>
                      <w:bCs/>
                      <w:kern w:val="0"/>
                      <w:szCs w:val="21"/>
                    </w:rPr>
                    <w:t>危险物质</w:t>
                  </w:r>
                </w:p>
              </w:tc>
              <w:tc>
                <w:tcPr>
                  <w:tcW w:w="706" w:type="pct"/>
                  <w:vMerge w:val="restart"/>
                  <w:shd w:val="clear" w:color="auto" w:fill="auto"/>
                  <w:vAlign w:val="center"/>
                </w:tcPr>
                <w:p w14:paraId="693B7422">
                  <w:pPr>
                    <w:widowControl/>
                    <w:jc w:val="center"/>
                    <w:rPr>
                      <w:b/>
                      <w:bCs/>
                      <w:kern w:val="0"/>
                      <w:szCs w:val="21"/>
                    </w:rPr>
                  </w:pPr>
                  <w:r>
                    <w:rPr>
                      <w:b/>
                      <w:bCs/>
                      <w:kern w:val="0"/>
                      <w:szCs w:val="21"/>
                    </w:rPr>
                    <w:t>环境风险类型</w:t>
                  </w:r>
                </w:p>
              </w:tc>
              <w:tc>
                <w:tcPr>
                  <w:tcW w:w="706" w:type="pct"/>
                  <w:vMerge w:val="restart"/>
                  <w:shd w:val="clear" w:color="auto" w:fill="auto"/>
                  <w:vAlign w:val="center"/>
                </w:tcPr>
                <w:p w14:paraId="28E32507">
                  <w:pPr>
                    <w:widowControl/>
                    <w:jc w:val="center"/>
                    <w:rPr>
                      <w:b/>
                      <w:bCs/>
                      <w:kern w:val="0"/>
                      <w:szCs w:val="21"/>
                    </w:rPr>
                  </w:pPr>
                  <w:r>
                    <w:rPr>
                      <w:b/>
                      <w:bCs/>
                      <w:kern w:val="0"/>
                      <w:szCs w:val="21"/>
                    </w:rPr>
                    <w:t>环境影响途径</w:t>
                  </w:r>
                </w:p>
              </w:tc>
              <w:tc>
                <w:tcPr>
                  <w:tcW w:w="706" w:type="pct"/>
                  <w:vMerge w:val="restart"/>
                  <w:shd w:val="clear" w:color="auto" w:fill="auto"/>
                  <w:vAlign w:val="center"/>
                </w:tcPr>
                <w:p w14:paraId="2D104DDE">
                  <w:pPr>
                    <w:widowControl/>
                    <w:jc w:val="center"/>
                    <w:rPr>
                      <w:b/>
                      <w:bCs/>
                      <w:kern w:val="0"/>
                      <w:szCs w:val="21"/>
                    </w:rPr>
                  </w:pPr>
                  <w:r>
                    <w:rPr>
                      <w:b/>
                      <w:bCs/>
                      <w:kern w:val="0"/>
                      <w:szCs w:val="21"/>
                    </w:rPr>
                    <w:t>风险防范措施</w:t>
                  </w:r>
                </w:p>
              </w:tc>
            </w:tr>
            <w:tr w14:paraId="39C314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9" w:type="pct"/>
                  <w:vMerge w:val="continue"/>
                  <w:vAlign w:val="center"/>
                </w:tcPr>
                <w:p w14:paraId="2F5BFAB5">
                  <w:pPr>
                    <w:widowControl/>
                    <w:jc w:val="left"/>
                    <w:rPr>
                      <w:b/>
                      <w:bCs/>
                      <w:kern w:val="0"/>
                      <w:szCs w:val="21"/>
                    </w:rPr>
                  </w:pPr>
                </w:p>
              </w:tc>
              <w:tc>
                <w:tcPr>
                  <w:tcW w:w="1482" w:type="pct"/>
                  <w:shd w:val="clear" w:color="auto" w:fill="auto"/>
                  <w:vAlign w:val="center"/>
                </w:tcPr>
                <w:p w14:paraId="76ADB6C3">
                  <w:pPr>
                    <w:widowControl/>
                    <w:jc w:val="center"/>
                    <w:rPr>
                      <w:b/>
                      <w:bCs/>
                      <w:kern w:val="0"/>
                      <w:szCs w:val="21"/>
                    </w:rPr>
                  </w:pPr>
                  <w:r>
                    <w:rPr>
                      <w:b/>
                      <w:bCs/>
                      <w:kern w:val="0"/>
                      <w:szCs w:val="21"/>
                    </w:rPr>
                    <w:t>（经度，纬度）</w:t>
                  </w:r>
                </w:p>
              </w:tc>
              <w:tc>
                <w:tcPr>
                  <w:tcW w:w="741" w:type="pct"/>
                  <w:vMerge w:val="continue"/>
                  <w:vAlign w:val="center"/>
                </w:tcPr>
                <w:p w14:paraId="01493BD9">
                  <w:pPr>
                    <w:widowControl/>
                    <w:jc w:val="left"/>
                    <w:rPr>
                      <w:b/>
                      <w:bCs/>
                      <w:kern w:val="0"/>
                      <w:szCs w:val="21"/>
                    </w:rPr>
                  </w:pPr>
                </w:p>
              </w:tc>
              <w:tc>
                <w:tcPr>
                  <w:tcW w:w="706" w:type="pct"/>
                  <w:vMerge w:val="continue"/>
                  <w:vAlign w:val="center"/>
                </w:tcPr>
                <w:p w14:paraId="7189A19C">
                  <w:pPr>
                    <w:widowControl/>
                    <w:jc w:val="left"/>
                    <w:rPr>
                      <w:b/>
                      <w:bCs/>
                      <w:kern w:val="0"/>
                      <w:szCs w:val="21"/>
                    </w:rPr>
                  </w:pPr>
                </w:p>
              </w:tc>
              <w:tc>
                <w:tcPr>
                  <w:tcW w:w="706" w:type="pct"/>
                  <w:vMerge w:val="continue"/>
                  <w:vAlign w:val="center"/>
                </w:tcPr>
                <w:p w14:paraId="4809DD33">
                  <w:pPr>
                    <w:widowControl/>
                    <w:jc w:val="left"/>
                    <w:rPr>
                      <w:b/>
                      <w:bCs/>
                      <w:kern w:val="0"/>
                      <w:szCs w:val="21"/>
                    </w:rPr>
                  </w:pPr>
                </w:p>
              </w:tc>
              <w:tc>
                <w:tcPr>
                  <w:tcW w:w="706" w:type="pct"/>
                  <w:vMerge w:val="continue"/>
                  <w:vAlign w:val="center"/>
                </w:tcPr>
                <w:p w14:paraId="3D77D8C0">
                  <w:pPr>
                    <w:widowControl/>
                    <w:jc w:val="left"/>
                    <w:rPr>
                      <w:b/>
                      <w:bCs/>
                      <w:kern w:val="0"/>
                      <w:szCs w:val="21"/>
                    </w:rPr>
                  </w:pPr>
                </w:p>
              </w:tc>
            </w:tr>
            <w:tr w14:paraId="49018B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659" w:type="pct"/>
                  <w:vMerge w:val="restart"/>
                  <w:shd w:val="clear" w:color="auto" w:fill="auto"/>
                  <w:vAlign w:val="center"/>
                </w:tcPr>
                <w:p w14:paraId="0C027251">
                  <w:pPr>
                    <w:widowControl/>
                    <w:jc w:val="center"/>
                    <w:rPr>
                      <w:kern w:val="0"/>
                      <w:szCs w:val="21"/>
                    </w:rPr>
                  </w:pPr>
                  <w:r>
                    <w:rPr>
                      <w:kern w:val="0"/>
                      <w:szCs w:val="21"/>
                    </w:rPr>
                    <w:t>危废仓库</w:t>
                  </w:r>
                </w:p>
              </w:tc>
              <w:tc>
                <w:tcPr>
                  <w:tcW w:w="1482" w:type="pct"/>
                  <w:vMerge w:val="restart"/>
                  <w:shd w:val="clear" w:color="auto" w:fill="auto"/>
                  <w:vAlign w:val="center"/>
                </w:tcPr>
                <w:p w14:paraId="54E83F7A">
                  <w:pPr>
                    <w:widowControl/>
                    <w:jc w:val="center"/>
                    <w:rPr>
                      <w:kern w:val="0"/>
                      <w:szCs w:val="21"/>
                    </w:rPr>
                  </w:pPr>
                  <w:r>
                    <w:rPr>
                      <w:kern w:val="0"/>
                      <w:szCs w:val="21"/>
                    </w:rPr>
                    <w:t>（118.63646507，33.69239698）</w:t>
                  </w:r>
                </w:p>
              </w:tc>
              <w:tc>
                <w:tcPr>
                  <w:tcW w:w="741" w:type="pct"/>
                  <w:vMerge w:val="restart"/>
                  <w:shd w:val="clear" w:color="auto" w:fill="auto"/>
                  <w:vAlign w:val="center"/>
                </w:tcPr>
                <w:p w14:paraId="6CD8120B">
                  <w:pPr>
                    <w:widowControl/>
                    <w:jc w:val="center"/>
                    <w:rPr>
                      <w:kern w:val="0"/>
                      <w:szCs w:val="21"/>
                    </w:rPr>
                  </w:pPr>
                  <w:r>
                    <w:rPr>
                      <w:kern w:val="0"/>
                      <w:szCs w:val="21"/>
                    </w:rPr>
                    <w:t>废机油等危险废物</w:t>
                  </w:r>
                </w:p>
              </w:tc>
              <w:tc>
                <w:tcPr>
                  <w:tcW w:w="706" w:type="pct"/>
                  <w:vMerge w:val="restart"/>
                  <w:shd w:val="clear" w:color="auto" w:fill="auto"/>
                  <w:vAlign w:val="center"/>
                </w:tcPr>
                <w:p w14:paraId="38393153">
                  <w:pPr>
                    <w:widowControl/>
                    <w:jc w:val="center"/>
                    <w:rPr>
                      <w:kern w:val="0"/>
                      <w:szCs w:val="21"/>
                    </w:rPr>
                  </w:pPr>
                  <w:r>
                    <w:rPr>
                      <w:kern w:val="0"/>
                      <w:szCs w:val="21"/>
                    </w:rPr>
                    <w:t>泄漏；火灾、爆炸引发次伴生</w:t>
                  </w:r>
                </w:p>
              </w:tc>
              <w:tc>
                <w:tcPr>
                  <w:tcW w:w="706" w:type="pct"/>
                  <w:shd w:val="clear" w:color="auto" w:fill="auto"/>
                  <w:vAlign w:val="center"/>
                </w:tcPr>
                <w:p w14:paraId="0526046A">
                  <w:pPr>
                    <w:widowControl/>
                    <w:jc w:val="center"/>
                    <w:rPr>
                      <w:kern w:val="0"/>
                      <w:szCs w:val="21"/>
                    </w:rPr>
                  </w:pPr>
                  <w:r>
                    <w:rPr>
                      <w:kern w:val="0"/>
                      <w:szCs w:val="21"/>
                    </w:rPr>
                    <w:t>大气</w:t>
                  </w:r>
                </w:p>
              </w:tc>
              <w:tc>
                <w:tcPr>
                  <w:tcW w:w="706" w:type="pct"/>
                  <w:shd w:val="clear" w:color="auto" w:fill="auto"/>
                  <w:vAlign w:val="center"/>
                </w:tcPr>
                <w:p w14:paraId="1E840005">
                  <w:pPr>
                    <w:widowControl/>
                    <w:jc w:val="center"/>
                    <w:rPr>
                      <w:kern w:val="0"/>
                      <w:szCs w:val="21"/>
                    </w:rPr>
                  </w:pPr>
                  <w:r>
                    <w:rPr>
                      <w:kern w:val="0"/>
                      <w:szCs w:val="21"/>
                    </w:rPr>
                    <w:t>监控、报警设施；防火等</w:t>
                  </w:r>
                </w:p>
              </w:tc>
            </w:tr>
            <w:tr w14:paraId="5BDA48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659" w:type="pct"/>
                  <w:vMerge w:val="continue"/>
                  <w:vAlign w:val="center"/>
                </w:tcPr>
                <w:p w14:paraId="5B4E6C46">
                  <w:pPr>
                    <w:widowControl/>
                    <w:jc w:val="left"/>
                    <w:rPr>
                      <w:kern w:val="0"/>
                      <w:szCs w:val="21"/>
                    </w:rPr>
                  </w:pPr>
                </w:p>
              </w:tc>
              <w:tc>
                <w:tcPr>
                  <w:tcW w:w="1482" w:type="pct"/>
                  <w:vMerge w:val="continue"/>
                  <w:vAlign w:val="center"/>
                </w:tcPr>
                <w:p w14:paraId="6A9CA28D">
                  <w:pPr>
                    <w:widowControl/>
                    <w:jc w:val="left"/>
                    <w:rPr>
                      <w:kern w:val="0"/>
                      <w:szCs w:val="21"/>
                    </w:rPr>
                  </w:pPr>
                </w:p>
              </w:tc>
              <w:tc>
                <w:tcPr>
                  <w:tcW w:w="741" w:type="pct"/>
                  <w:vMerge w:val="continue"/>
                  <w:vAlign w:val="center"/>
                </w:tcPr>
                <w:p w14:paraId="1614F55C">
                  <w:pPr>
                    <w:widowControl/>
                    <w:jc w:val="left"/>
                    <w:rPr>
                      <w:kern w:val="0"/>
                      <w:szCs w:val="21"/>
                    </w:rPr>
                  </w:pPr>
                </w:p>
              </w:tc>
              <w:tc>
                <w:tcPr>
                  <w:tcW w:w="706" w:type="pct"/>
                  <w:vMerge w:val="continue"/>
                  <w:vAlign w:val="center"/>
                </w:tcPr>
                <w:p w14:paraId="3D1580BF">
                  <w:pPr>
                    <w:widowControl/>
                    <w:jc w:val="left"/>
                    <w:rPr>
                      <w:kern w:val="0"/>
                      <w:szCs w:val="21"/>
                    </w:rPr>
                  </w:pPr>
                </w:p>
              </w:tc>
              <w:tc>
                <w:tcPr>
                  <w:tcW w:w="706" w:type="pct"/>
                  <w:shd w:val="clear" w:color="auto" w:fill="auto"/>
                  <w:vAlign w:val="center"/>
                </w:tcPr>
                <w:p w14:paraId="7CF8ED4F">
                  <w:pPr>
                    <w:widowControl/>
                    <w:jc w:val="center"/>
                    <w:rPr>
                      <w:kern w:val="0"/>
                      <w:szCs w:val="21"/>
                    </w:rPr>
                  </w:pPr>
                  <w:r>
                    <w:rPr>
                      <w:kern w:val="0"/>
                      <w:szCs w:val="21"/>
                    </w:rPr>
                    <w:t>地表水</w:t>
                  </w:r>
                </w:p>
              </w:tc>
              <w:tc>
                <w:tcPr>
                  <w:tcW w:w="706" w:type="pct"/>
                  <w:shd w:val="clear" w:color="auto" w:fill="auto"/>
                  <w:vAlign w:val="center"/>
                </w:tcPr>
                <w:p w14:paraId="74B4EC4D">
                  <w:pPr>
                    <w:widowControl/>
                    <w:jc w:val="center"/>
                    <w:rPr>
                      <w:kern w:val="0"/>
                      <w:szCs w:val="21"/>
                    </w:rPr>
                  </w:pPr>
                  <w:r>
                    <w:rPr>
                      <w:kern w:val="0"/>
                      <w:szCs w:val="21"/>
                    </w:rPr>
                    <w:t>三级防控、事故水池等</w:t>
                  </w:r>
                </w:p>
              </w:tc>
            </w:tr>
            <w:tr w14:paraId="1573AA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9" w:type="pct"/>
                  <w:vMerge w:val="continue"/>
                  <w:vAlign w:val="center"/>
                </w:tcPr>
                <w:p w14:paraId="602A7970">
                  <w:pPr>
                    <w:widowControl/>
                    <w:jc w:val="left"/>
                    <w:rPr>
                      <w:kern w:val="0"/>
                      <w:szCs w:val="21"/>
                    </w:rPr>
                  </w:pPr>
                </w:p>
              </w:tc>
              <w:tc>
                <w:tcPr>
                  <w:tcW w:w="1482" w:type="pct"/>
                  <w:vMerge w:val="continue"/>
                  <w:vAlign w:val="center"/>
                </w:tcPr>
                <w:p w14:paraId="5881A324">
                  <w:pPr>
                    <w:widowControl/>
                    <w:jc w:val="left"/>
                    <w:rPr>
                      <w:kern w:val="0"/>
                      <w:szCs w:val="21"/>
                    </w:rPr>
                  </w:pPr>
                </w:p>
              </w:tc>
              <w:tc>
                <w:tcPr>
                  <w:tcW w:w="741" w:type="pct"/>
                  <w:vMerge w:val="continue"/>
                  <w:vAlign w:val="center"/>
                </w:tcPr>
                <w:p w14:paraId="005C73AC">
                  <w:pPr>
                    <w:widowControl/>
                    <w:jc w:val="left"/>
                    <w:rPr>
                      <w:kern w:val="0"/>
                      <w:szCs w:val="21"/>
                    </w:rPr>
                  </w:pPr>
                </w:p>
              </w:tc>
              <w:tc>
                <w:tcPr>
                  <w:tcW w:w="706" w:type="pct"/>
                  <w:vMerge w:val="continue"/>
                  <w:vAlign w:val="center"/>
                </w:tcPr>
                <w:p w14:paraId="75CE4DEB">
                  <w:pPr>
                    <w:widowControl/>
                    <w:jc w:val="left"/>
                    <w:rPr>
                      <w:kern w:val="0"/>
                      <w:szCs w:val="21"/>
                    </w:rPr>
                  </w:pPr>
                </w:p>
              </w:tc>
              <w:tc>
                <w:tcPr>
                  <w:tcW w:w="706" w:type="pct"/>
                  <w:shd w:val="clear" w:color="auto" w:fill="auto"/>
                  <w:vAlign w:val="center"/>
                </w:tcPr>
                <w:p w14:paraId="069038AC">
                  <w:pPr>
                    <w:widowControl/>
                    <w:jc w:val="center"/>
                    <w:rPr>
                      <w:kern w:val="0"/>
                      <w:szCs w:val="21"/>
                    </w:rPr>
                  </w:pPr>
                  <w:r>
                    <w:rPr>
                      <w:kern w:val="0"/>
                      <w:szCs w:val="21"/>
                    </w:rPr>
                    <w:t>地下水、土壤</w:t>
                  </w:r>
                </w:p>
              </w:tc>
              <w:tc>
                <w:tcPr>
                  <w:tcW w:w="706" w:type="pct"/>
                  <w:shd w:val="clear" w:color="auto" w:fill="auto"/>
                  <w:vAlign w:val="center"/>
                </w:tcPr>
                <w:p w14:paraId="65DAC991">
                  <w:pPr>
                    <w:widowControl/>
                    <w:jc w:val="center"/>
                    <w:rPr>
                      <w:kern w:val="0"/>
                      <w:szCs w:val="21"/>
                    </w:rPr>
                  </w:pPr>
                  <w:r>
                    <w:rPr>
                      <w:kern w:val="0"/>
                      <w:szCs w:val="21"/>
                    </w:rPr>
                    <w:t>分区防渗</w:t>
                  </w:r>
                </w:p>
              </w:tc>
            </w:tr>
            <w:tr w14:paraId="40FE26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659" w:type="pct"/>
                  <w:vMerge w:val="restart"/>
                  <w:shd w:val="clear" w:color="auto" w:fill="auto"/>
                  <w:vAlign w:val="center"/>
                </w:tcPr>
                <w:p w14:paraId="1161B145">
                  <w:pPr>
                    <w:widowControl/>
                    <w:jc w:val="center"/>
                    <w:rPr>
                      <w:kern w:val="0"/>
                      <w:szCs w:val="21"/>
                    </w:rPr>
                  </w:pPr>
                  <w:r>
                    <w:rPr>
                      <w:kern w:val="0"/>
                      <w:szCs w:val="21"/>
                    </w:rPr>
                    <w:t>撬装加油一体化设备</w:t>
                  </w:r>
                </w:p>
              </w:tc>
              <w:tc>
                <w:tcPr>
                  <w:tcW w:w="1482" w:type="pct"/>
                  <w:vMerge w:val="restart"/>
                  <w:shd w:val="clear" w:color="auto" w:fill="auto"/>
                  <w:vAlign w:val="center"/>
                </w:tcPr>
                <w:p w14:paraId="6BDA6EB1">
                  <w:pPr>
                    <w:widowControl/>
                    <w:jc w:val="center"/>
                    <w:rPr>
                      <w:kern w:val="0"/>
                      <w:szCs w:val="21"/>
                    </w:rPr>
                  </w:pPr>
                  <w:r>
                    <w:rPr>
                      <w:kern w:val="0"/>
                      <w:szCs w:val="21"/>
                    </w:rPr>
                    <w:t>（118.64287555，33.69194172）</w:t>
                  </w:r>
                </w:p>
              </w:tc>
              <w:tc>
                <w:tcPr>
                  <w:tcW w:w="741" w:type="pct"/>
                  <w:vMerge w:val="restart"/>
                  <w:shd w:val="clear" w:color="auto" w:fill="auto"/>
                  <w:noWrap/>
                  <w:vAlign w:val="center"/>
                </w:tcPr>
                <w:p w14:paraId="35D57935">
                  <w:pPr>
                    <w:widowControl/>
                    <w:jc w:val="center"/>
                    <w:rPr>
                      <w:kern w:val="0"/>
                      <w:szCs w:val="21"/>
                    </w:rPr>
                  </w:pPr>
                  <w:r>
                    <w:rPr>
                      <w:kern w:val="0"/>
                      <w:szCs w:val="21"/>
                    </w:rPr>
                    <w:t>柴油</w:t>
                  </w:r>
                </w:p>
              </w:tc>
              <w:tc>
                <w:tcPr>
                  <w:tcW w:w="706" w:type="pct"/>
                  <w:vMerge w:val="restart"/>
                  <w:shd w:val="clear" w:color="auto" w:fill="auto"/>
                  <w:vAlign w:val="center"/>
                </w:tcPr>
                <w:p w14:paraId="5997B84D">
                  <w:pPr>
                    <w:widowControl/>
                    <w:jc w:val="center"/>
                    <w:rPr>
                      <w:kern w:val="0"/>
                      <w:szCs w:val="21"/>
                    </w:rPr>
                  </w:pPr>
                  <w:r>
                    <w:rPr>
                      <w:kern w:val="0"/>
                      <w:szCs w:val="21"/>
                    </w:rPr>
                    <w:t>泄漏；火灾、爆炸引发次伴生</w:t>
                  </w:r>
                </w:p>
              </w:tc>
              <w:tc>
                <w:tcPr>
                  <w:tcW w:w="706" w:type="pct"/>
                  <w:shd w:val="clear" w:color="auto" w:fill="auto"/>
                  <w:vAlign w:val="center"/>
                </w:tcPr>
                <w:p w14:paraId="2C8637D8">
                  <w:pPr>
                    <w:widowControl/>
                    <w:jc w:val="center"/>
                    <w:rPr>
                      <w:kern w:val="0"/>
                      <w:szCs w:val="21"/>
                    </w:rPr>
                  </w:pPr>
                  <w:r>
                    <w:rPr>
                      <w:kern w:val="0"/>
                      <w:szCs w:val="21"/>
                    </w:rPr>
                    <w:t>大气</w:t>
                  </w:r>
                </w:p>
              </w:tc>
              <w:tc>
                <w:tcPr>
                  <w:tcW w:w="706" w:type="pct"/>
                  <w:shd w:val="clear" w:color="auto" w:fill="auto"/>
                  <w:vAlign w:val="center"/>
                </w:tcPr>
                <w:p w14:paraId="34191317">
                  <w:pPr>
                    <w:widowControl/>
                    <w:jc w:val="center"/>
                    <w:rPr>
                      <w:kern w:val="0"/>
                      <w:szCs w:val="21"/>
                    </w:rPr>
                  </w:pPr>
                  <w:r>
                    <w:rPr>
                      <w:kern w:val="0"/>
                      <w:szCs w:val="21"/>
                    </w:rPr>
                    <w:t>监控、报警设施；防火等</w:t>
                  </w:r>
                </w:p>
              </w:tc>
            </w:tr>
            <w:tr w14:paraId="012F72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659" w:type="pct"/>
                  <w:vMerge w:val="continue"/>
                  <w:vAlign w:val="center"/>
                </w:tcPr>
                <w:p w14:paraId="712A4BEA">
                  <w:pPr>
                    <w:widowControl/>
                    <w:jc w:val="left"/>
                    <w:rPr>
                      <w:kern w:val="0"/>
                      <w:szCs w:val="21"/>
                    </w:rPr>
                  </w:pPr>
                </w:p>
              </w:tc>
              <w:tc>
                <w:tcPr>
                  <w:tcW w:w="1482" w:type="pct"/>
                  <w:vMerge w:val="continue"/>
                  <w:vAlign w:val="center"/>
                </w:tcPr>
                <w:p w14:paraId="7EAF3CF3">
                  <w:pPr>
                    <w:widowControl/>
                    <w:jc w:val="left"/>
                    <w:rPr>
                      <w:kern w:val="0"/>
                      <w:szCs w:val="21"/>
                    </w:rPr>
                  </w:pPr>
                </w:p>
              </w:tc>
              <w:tc>
                <w:tcPr>
                  <w:tcW w:w="741" w:type="pct"/>
                  <w:vMerge w:val="continue"/>
                  <w:vAlign w:val="center"/>
                </w:tcPr>
                <w:p w14:paraId="23C23AAD">
                  <w:pPr>
                    <w:widowControl/>
                    <w:jc w:val="left"/>
                    <w:rPr>
                      <w:kern w:val="0"/>
                      <w:szCs w:val="21"/>
                    </w:rPr>
                  </w:pPr>
                </w:p>
              </w:tc>
              <w:tc>
                <w:tcPr>
                  <w:tcW w:w="706" w:type="pct"/>
                  <w:vMerge w:val="continue"/>
                  <w:vAlign w:val="center"/>
                </w:tcPr>
                <w:p w14:paraId="6D51D730">
                  <w:pPr>
                    <w:widowControl/>
                    <w:jc w:val="left"/>
                    <w:rPr>
                      <w:kern w:val="0"/>
                      <w:szCs w:val="21"/>
                    </w:rPr>
                  </w:pPr>
                </w:p>
              </w:tc>
              <w:tc>
                <w:tcPr>
                  <w:tcW w:w="706" w:type="pct"/>
                  <w:shd w:val="clear" w:color="auto" w:fill="auto"/>
                  <w:vAlign w:val="center"/>
                </w:tcPr>
                <w:p w14:paraId="77B92C31">
                  <w:pPr>
                    <w:widowControl/>
                    <w:jc w:val="center"/>
                    <w:rPr>
                      <w:kern w:val="0"/>
                      <w:szCs w:val="21"/>
                    </w:rPr>
                  </w:pPr>
                  <w:r>
                    <w:rPr>
                      <w:kern w:val="0"/>
                      <w:szCs w:val="21"/>
                    </w:rPr>
                    <w:t>地表水</w:t>
                  </w:r>
                </w:p>
              </w:tc>
              <w:tc>
                <w:tcPr>
                  <w:tcW w:w="706" w:type="pct"/>
                  <w:shd w:val="clear" w:color="auto" w:fill="auto"/>
                  <w:vAlign w:val="center"/>
                </w:tcPr>
                <w:p w14:paraId="15E15967">
                  <w:pPr>
                    <w:widowControl/>
                    <w:jc w:val="center"/>
                    <w:rPr>
                      <w:kern w:val="0"/>
                      <w:szCs w:val="21"/>
                    </w:rPr>
                  </w:pPr>
                  <w:r>
                    <w:rPr>
                      <w:kern w:val="0"/>
                      <w:szCs w:val="21"/>
                    </w:rPr>
                    <w:t>三级防控、事故水池等</w:t>
                  </w:r>
                </w:p>
              </w:tc>
            </w:tr>
            <w:tr w14:paraId="03420A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9" w:type="pct"/>
                  <w:vMerge w:val="continue"/>
                  <w:vAlign w:val="center"/>
                </w:tcPr>
                <w:p w14:paraId="1453E6A9">
                  <w:pPr>
                    <w:widowControl/>
                    <w:jc w:val="left"/>
                    <w:rPr>
                      <w:kern w:val="0"/>
                      <w:szCs w:val="21"/>
                    </w:rPr>
                  </w:pPr>
                </w:p>
              </w:tc>
              <w:tc>
                <w:tcPr>
                  <w:tcW w:w="1482" w:type="pct"/>
                  <w:vMerge w:val="continue"/>
                  <w:vAlign w:val="center"/>
                </w:tcPr>
                <w:p w14:paraId="71C4A01C">
                  <w:pPr>
                    <w:widowControl/>
                    <w:jc w:val="left"/>
                    <w:rPr>
                      <w:kern w:val="0"/>
                      <w:szCs w:val="21"/>
                    </w:rPr>
                  </w:pPr>
                </w:p>
              </w:tc>
              <w:tc>
                <w:tcPr>
                  <w:tcW w:w="741" w:type="pct"/>
                  <w:vMerge w:val="continue"/>
                  <w:vAlign w:val="center"/>
                </w:tcPr>
                <w:p w14:paraId="1F3F38CA">
                  <w:pPr>
                    <w:widowControl/>
                    <w:jc w:val="left"/>
                    <w:rPr>
                      <w:kern w:val="0"/>
                      <w:szCs w:val="21"/>
                    </w:rPr>
                  </w:pPr>
                </w:p>
              </w:tc>
              <w:tc>
                <w:tcPr>
                  <w:tcW w:w="706" w:type="pct"/>
                  <w:vMerge w:val="continue"/>
                  <w:vAlign w:val="center"/>
                </w:tcPr>
                <w:p w14:paraId="57725ABF">
                  <w:pPr>
                    <w:widowControl/>
                    <w:jc w:val="left"/>
                    <w:rPr>
                      <w:kern w:val="0"/>
                      <w:szCs w:val="21"/>
                    </w:rPr>
                  </w:pPr>
                </w:p>
              </w:tc>
              <w:tc>
                <w:tcPr>
                  <w:tcW w:w="706" w:type="pct"/>
                  <w:shd w:val="clear" w:color="auto" w:fill="auto"/>
                  <w:vAlign w:val="center"/>
                </w:tcPr>
                <w:p w14:paraId="59104886">
                  <w:pPr>
                    <w:widowControl/>
                    <w:jc w:val="center"/>
                    <w:rPr>
                      <w:kern w:val="0"/>
                      <w:szCs w:val="21"/>
                    </w:rPr>
                  </w:pPr>
                  <w:r>
                    <w:rPr>
                      <w:kern w:val="0"/>
                      <w:szCs w:val="21"/>
                    </w:rPr>
                    <w:t>地下水、土壤</w:t>
                  </w:r>
                </w:p>
              </w:tc>
              <w:tc>
                <w:tcPr>
                  <w:tcW w:w="706" w:type="pct"/>
                  <w:shd w:val="clear" w:color="auto" w:fill="auto"/>
                  <w:vAlign w:val="center"/>
                </w:tcPr>
                <w:p w14:paraId="60BB0F2D">
                  <w:pPr>
                    <w:widowControl/>
                    <w:jc w:val="center"/>
                    <w:rPr>
                      <w:kern w:val="0"/>
                      <w:szCs w:val="21"/>
                    </w:rPr>
                  </w:pPr>
                  <w:r>
                    <w:rPr>
                      <w:kern w:val="0"/>
                      <w:szCs w:val="21"/>
                    </w:rPr>
                    <w:t>分区防渗</w:t>
                  </w:r>
                </w:p>
              </w:tc>
            </w:tr>
            <w:tr w14:paraId="2D4374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659" w:type="pct"/>
                  <w:vMerge w:val="restart"/>
                  <w:shd w:val="clear" w:color="auto" w:fill="auto"/>
                  <w:vAlign w:val="center"/>
                </w:tcPr>
                <w:p w14:paraId="179FE304">
                  <w:pPr>
                    <w:widowControl/>
                    <w:jc w:val="center"/>
                    <w:rPr>
                      <w:kern w:val="0"/>
                      <w:szCs w:val="21"/>
                    </w:rPr>
                  </w:pPr>
                  <w:r>
                    <w:rPr>
                      <w:kern w:val="0"/>
                      <w:szCs w:val="21"/>
                    </w:rPr>
                    <w:t>纺丝车间2</w:t>
                  </w:r>
                </w:p>
              </w:tc>
              <w:tc>
                <w:tcPr>
                  <w:tcW w:w="1482" w:type="pct"/>
                  <w:vMerge w:val="restart"/>
                  <w:shd w:val="clear" w:color="auto" w:fill="auto"/>
                  <w:vAlign w:val="center"/>
                </w:tcPr>
                <w:p w14:paraId="6BD4E054">
                  <w:pPr>
                    <w:widowControl/>
                    <w:jc w:val="center"/>
                    <w:rPr>
                      <w:kern w:val="0"/>
                      <w:szCs w:val="21"/>
                    </w:rPr>
                  </w:pPr>
                  <w:r>
                    <w:rPr>
                      <w:kern w:val="0"/>
                      <w:szCs w:val="21"/>
                    </w:rPr>
                    <w:t>（118.64092827，33.68560350）</w:t>
                  </w:r>
                </w:p>
              </w:tc>
              <w:tc>
                <w:tcPr>
                  <w:tcW w:w="741" w:type="pct"/>
                  <w:vMerge w:val="restart"/>
                  <w:shd w:val="clear" w:color="auto" w:fill="auto"/>
                  <w:noWrap/>
                  <w:vAlign w:val="center"/>
                </w:tcPr>
                <w:p w14:paraId="60AED91F">
                  <w:pPr>
                    <w:widowControl/>
                    <w:jc w:val="center"/>
                    <w:rPr>
                      <w:kern w:val="0"/>
                      <w:szCs w:val="21"/>
                    </w:rPr>
                  </w:pPr>
                  <w:r>
                    <w:rPr>
                      <w:kern w:val="0"/>
                      <w:szCs w:val="21"/>
                    </w:rPr>
                    <w:t>柴油</w:t>
                  </w:r>
                </w:p>
              </w:tc>
              <w:tc>
                <w:tcPr>
                  <w:tcW w:w="706" w:type="pct"/>
                  <w:vMerge w:val="restart"/>
                  <w:shd w:val="clear" w:color="auto" w:fill="auto"/>
                  <w:vAlign w:val="center"/>
                </w:tcPr>
                <w:p w14:paraId="2ECC559A">
                  <w:pPr>
                    <w:widowControl/>
                    <w:jc w:val="center"/>
                    <w:rPr>
                      <w:kern w:val="0"/>
                      <w:szCs w:val="21"/>
                    </w:rPr>
                  </w:pPr>
                  <w:r>
                    <w:rPr>
                      <w:kern w:val="0"/>
                      <w:szCs w:val="21"/>
                    </w:rPr>
                    <w:t>泄漏；火灾、爆炸引发次伴生</w:t>
                  </w:r>
                </w:p>
              </w:tc>
              <w:tc>
                <w:tcPr>
                  <w:tcW w:w="706" w:type="pct"/>
                  <w:shd w:val="clear" w:color="auto" w:fill="auto"/>
                  <w:vAlign w:val="center"/>
                </w:tcPr>
                <w:p w14:paraId="6FFCB887">
                  <w:pPr>
                    <w:widowControl/>
                    <w:jc w:val="center"/>
                    <w:rPr>
                      <w:kern w:val="0"/>
                      <w:szCs w:val="21"/>
                    </w:rPr>
                  </w:pPr>
                  <w:r>
                    <w:rPr>
                      <w:kern w:val="0"/>
                      <w:szCs w:val="21"/>
                    </w:rPr>
                    <w:t>大气</w:t>
                  </w:r>
                </w:p>
              </w:tc>
              <w:tc>
                <w:tcPr>
                  <w:tcW w:w="706" w:type="pct"/>
                  <w:shd w:val="clear" w:color="auto" w:fill="auto"/>
                  <w:vAlign w:val="center"/>
                </w:tcPr>
                <w:p w14:paraId="4D400D1A">
                  <w:pPr>
                    <w:widowControl/>
                    <w:jc w:val="center"/>
                    <w:rPr>
                      <w:kern w:val="0"/>
                      <w:szCs w:val="21"/>
                    </w:rPr>
                  </w:pPr>
                  <w:r>
                    <w:rPr>
                      <w:kern w:val="0"/>
                      <w:szCs w:val="21"/>
                    </w:rPr>
                    <w:t>监控、报警设施；防火等</w:t>
                  </w:r>
                </w:p>
              </w:tc>
            </w:tr>
            <w:tr w14:paraId="62C91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659" w:type="pct"/>
                  <w:vMerge w:val="continue"/>
                  <w:vAlign w:val="center"/>
                </w:tcPr>
                <w:p w14:paraId="0FCF212E">
                  <w:pPr>
                    <w:widowControl/>
                    <w:jc w:val="left"/>
                    <w:rPr>
                      <w:kern w:val="0"/>
                      <w:szCs w:val="21"/>
                    </w:rPr>
                  </w:pPr>
                </w:p>
              </w:tc>
              <w:tc>
                <w:tcPr>
                  <w:tcW w:w="1482" w:type="pct"/>
                  <w:vMerge w:val="continue"/>
                  <w:vAlign w:val="center"/>
                </w:tcPr>
                <w:p w14:paraId="18388D19">
                  <w:pPr>
                    <w:widowControl/>
                    <w:jc w:val="left"/>
                    <w:rPr>
                      <w:kern w:val="0"/>
                      <w:szCs w:val="21"/>
                    </w:rPr>
                  </w:pPr>
                </w:p>
              </w:tc>
              <w:tc>
                <w:tcPr>
                  <w:tcW w:w="741" w:type="pct"/>
                  <w:vMerge w:val="continue"/>
                  <w:vAlign w:val="center"/>
                </w:tcPr>
                <w:p w14:paraId="4C89B213">
                  <w:pPr>
                    <w:widowControl/>
                    <w:jc w:val="left"/>
                    <w:rPr>
                      <w:kern w:val="0"/>
                      <w:szCs w:val="21"/>
                    </w:rPr>
                  </w:pPr>
                </w:p>
              </w:tc>
              <w:tc>
                <w:tcPr>
                  <w:tcW w:w="706" w:type="pct"/>
                  <w:vMerge w:val="continue"/>
                  <w:vAlign w:val="center"/>
                </w:tcPr>
                <w:p w14:paraId="5981735E">
                  <w:pPr>
                    <w:widowControl/>
                    <w:jc w:val="left"/>
                    <w:rPr>
                      <w:kern w:val="0"/>
                      <w:szCs w:val="21"/>
                    </w:rPr>
                  </w:pPr>
                </w:p>
              </w:tc>
              <w:tc>
                <w:tcPr>
                  <w:tcW w:w="706" w:type="pct"/>
                  <w:shd w:val="clear" w:color="auto" w:fill="auto"/>
                  <w:vAlign w:val="center"/>
                </w:tcPr>
                <w:p w14:paraId="5633CFA3">
                  <w:pPr>
                    <w:widowControl/>
                    <w:jc w:val="center"/>
                    <w:rPr>
                      <w:kern w:val="0"/>
                      <w:szCs w:val="21"/>
                    </w:rPr>
                  </w:pPr>
                  <w:r>
                    <w:rPr>
                      <w:kern w:val="0"/>
                      <w:szCs w:val="21"/>
                    </w:rPr>
                    <w:t>地表水</w:t>
                  </w:r>
                </w:p>
              </w:tc>
              <w:tc>
                <w:tcPr>
                  <w:tcW w:w="706" w:type="pct"/>
                  <w:shd w:val="clear" w:color="auto" w:fill="auto"/>
                  <w:vAlign w:val="center"/>
                </w:tcPr>
                <w:p w14:paraId="1CB18F09">
                  <w:pPr>
                    <w:widowControl/>
                    <w:jc w:val="center"/>
                    <w:rPr>
                      <w:kern w:val="0"/>
                      <w:szCs w:val="21"/>
                    </w:rPr>
                  </w:pPr>
                  <w:r>
                    <w:rPr>
                      <w:kern w:val="0"/>
                      <w:szCs w:val="21"/>
                    </w:rPr>
                    <w:t>三级防控、事故水池等</w:t>
                  </w:r>
                </w:p>
              </w:tc>
            </w:tr>
            <w:tr w14:paraId="7F208E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9" w:type="pct"/>
                  <w:vMerge w:val="continue"/>
                  <w:vAlign w:val="center"/>
                </w:tcPr>
                <w:p w14:paraId="57BF8940">
                  <w:pPr>
                    <w:widowControl/>
                    <w:jc w:val="left"/>
                    <w:rPr>
                      <w:kern w:val="0"/>
                      <w:szCs w:val="21"/>
                    </w:rPr>
                  </w:pPr>
                </w:p>
              </w:tc>
              <w:tc>
                <w:tcPr>
                  <w:tcW w:w="1482" w:type="pct"/>
                  <w:vMerge w:val="continue"/>
                  <w:vAlign w:val="center"/>
                </w:tcPr>
                <w:p w14:paraId="6A0146A5">
                  <w:pPr>
                    <w:widowControl/>
                    <w:jc w:val="left"/>
                    <w:rPr>
                      <w:kern w:val="0"/>
                      <w:szCs w:val="21"/>
                    </w:rPr>
                  </w:pPr>
                </w:p>
              </w:tc>
              <w:tc>
                <w:tcPr>
                  <w:tcW w:w="741" w:type="pct"/>
                  <w:vMerge w:val="continue"/>
                  <w:vAlign w:val="center"/>
                </w:tcPr>
                <w:p w14:paraId="4E002572">
                  <w:pPr>
                    <w:widowControl/>
                    <w:jc w:val="left"/>
                    <w:rPr>
                      <w:kern w:val="0"/>
                      <w:szCs w:val="21"/>
                    </w:rPr>
                  </w:pPr>
                </w:p>
              </w:tc>
              <w:tc>
                <w:tcPr>
                  <w:tcW w:w="706" w:type="pct"/>
                  <w:vMerge w:val="continue"/>
                  <w:vAlign w:val="center"/>
                </w:tcPr>
                <w:p w14:paraId="76A969C4">
                  <w:pPr>
                    <w:widowControl/>
                    <w:jc w:val="left"/>
                    <w:rPr>
                      <w:kern w:val="0"/>
                      <w:szCs w:val="21"/>
                    </w:rPr>
                  </w:pPr>
                </w:p>
              </w:tc>
              <w:tc>
                <w:tcPr>
                  <w:tcW w:w="706" w:type="pct"/>
                  <w:shd w:val="clear" w:color="auto" w:fill="auto"/>
                  <w:vAlign w:val="center"/>
                </w:tcPr>
                <w:p w14:paraId="5C4B7EDC">
                  <w:pPr>
                    <w:widowControl/>
                    <w:jc w:val="center"/>
                    <w:rPr>
                      <w:kern w:val="0"/>
                      <w:szCs w:val="21"/>
                    </w:rPr>
                  </w:pPr>
                  <w:r>
                    <w:rPr>
                      <w:kern w:val="0"/>
                      <w:szCs w:val="21"/>
                    </w:rPr>
                    <w:t>地下水、土壤</w:t>
                  </w:r>
                </w:p>
              </w:tc>
              <w:tc>
                <w:tcPr>
                  <w:tcW w:w="706" w:type="pct"/>
                  <w:shd w:val="clear" w:color="auto" w:fill="auto"/>
                  <w:vAlign w:val="center"/>
                </w:tcPr>
                <w:p w14:paraId="574EA519">
                  <w:pPr>
                    <w:widowControl/>
                    <w:jc w:val="center"/>
                    <w:rPr>
                      <w:kern w:val="0"/>
                      <w:szCs w:val="21"/>
                    </w:rPr>
                  </w:pPr>
                  <w:r>
                    <w:rPr>
                      <w:kern w:val="0"/>
                      <w:szCs w:val="21"/>
                    </w:rPr>
                    <w:t>分区防渗</w:t>
                  </w:r>
                </w:p>
              </w:tc>
            </w:tr>
          </w:tbl>
          <w:p w14:paraId="43D7B069">
            <w:pPr>
              <w:spacing w:line="500" w:lineRule="exact"/>
              <w:ind w:firstLine="482" w:firstLineChars="200"/>
              <w:rPr>
                <w:b/>
                <w:bCs/>
                <w:sz w:val="24"/>
              </w:rPr>
            </w:pPr>
            <w:r>
              <w:rPr>
                <w:b/>
                <w:bCs/>
                <w:sz w:val="24"/>
              </w:rPr>
              <w:t>（3）环境风险防范措施</w:t>
            </w:r>
          </w:p>
          <w:p w14:paraId="4497884E">
            <w:pPr>
              <w:pStyle w:val="108"/>
              <w:numPr>
                <w:ilvl w:val="0"/>
                <w:numId w:val="5"/>
              </w:numPr>
              <w:spacing w:line="500" w:lineRule="exact"/>
              <w:ind w:firstLineChars="0"/>
              <w:rPr>
                <w:sz w:val="24"/>
              </w:rPr>
            </w:pPr>
            <w:r>
              <w:rPr>
                <w:sz w:val="24"/>
              </w:rPr>
              <w:t>大气环境风险防范措施</w:t>
            </w:r>
          </w:p>
          <w:p w14:paraId="04550237">
            <w:pPr>
              <w:spacing w:line="500" w:lineRule="exact"/>
              <w:ind w:firstLine="480" w:firstLineChars="200"/>
              <w:rPr>
                <w:sz w:val="24"/>
              </w:rPr>
            </w:pPr>
            <w:r>
              <w:rPr>
                <w:sz w:val="24"/>
              </w:rPr>
              <w:t>由于本项目为</w:t>
            </w:r>
            <w:r>
              <w:rPr>
                <w:rFonts w:hint="eastAsia"/>
                <w:sz w:val="24"/>
              </w:rPr>
              <w:t>化学</w:t>
            </w:r>
            <w:r>
              <w:rPr>
                <w:sz w:val="24"/>
              </w:rPr>
              <w:t>纤维制造</w:t>
            </w:r>
            <w:r>
              <w:rPr>
                <w:rFonts w:hint="eastAsia"/>
                <w:sz w:val="24"/>
              </w:rPr>
              <w:t>行业</w:t>
            </w:r>
            <w:r>
              <w:rPr>
                <w:sz w:val="24"/>
              </w:rPr>
              <w:t>，</w:t>
            </w:r>
            <w:r>
              <w:rPr>
                <w:rFonts w:hint="eastAsia"/>
                <w:sz w:val="24"/>
              </w:rPr>
              <w:t>纺丝油剂、</w:t>
            </w:r>
            <w:r>
              <w:rPr>
                <w:sz w:val="24"/>
              </w:rPr>
              <w:t>柴油</w:t>
            </w:r>
            <w:r>
              <w:rPr>
                <w:rFonts w:hint="eastAsia"/>
                <w:sz w:val="24"/>
              </w:rPr>
              <w:t>、</w:t>
            </w:r>
            <w:r>
              <w:rPr>
                <w:sz w:val="24"/>
              </w:rPr>
              <w:t>废机油等易燃，风险防范措施如下：</w:t>
            </w:r>
          </w:p>
          <w:p w14:paraId="4C429E58">
            <w:pPr>
              <w:spacing w:line="500" w:lineRule="exact"/>
              <w:ind w:firstLine="480" w:firstLineChars="200"/>
              <w:rPr>
                <w:sz w:val="24"/>
              </w:rPr>
            </w:pPr>
            <w:r>
              <w:rPr>
                <w:rFonts w:hint="eastAsia"/>
                <w:sz w:val="24"/>
              </w:rPr>
              <w:t>a</w:t>
            </w:r>
            <w:r>
              <w:rPr>
                <w:sz w:val="24"/>
              </w:rPr>
              <w:t>.严格按照《建筑设计防火规范》进行安全环保设计；</w:t>
            </w:r>
          </w:p>
          <w:p w14:paraId="32C16FCF">
            <w:pPr>
              <w:spacing w:line="500" w:lineRule="exact"/>
              <w:ind w:firstLine="480" w:firstLineChars="200"/>
              <w:rPr>
                <w:sz w:val="24"/>
              </w:rPr>
            </w:pPr>
            <w:r>
              <w:rPr>
                <w:rFonts w:hint="eastAsia"/>
                <w:sz w:val="24"/>
              </w:rPr>
              <w:t>b</w:t>
            </w:r>
            <w:r>
              <w:rPr>
                <w:sz w:val="24"/>
              </w:rPr>
              <w:t>.建构筑物按火灾危险性和耐火等级严格进行防火分区，设置必需的防火门窗、防爆墙等设施，设计环形消防通道；</w:t>
            </w:r>
          </w:p>
          <w:p w14:paraId="41EB29DF">
            <w:pPr>
              <w:spacing w:line="500" w:lineRule="exact"/>
              <w:ind w:firstLine="480" w:firstLineChars="200"/>
              <w:rPr>
                <w:sz w:val="24"/>
              </w:rPr>
            </w:pPr>
            <w:r>
              <w:rPr>
                <w:rFonts w:hint="eastAsia"/>
                <w:sz w:val="24"/>
              </w:rPr>
              <w:t>c</w:t>
            </w:r>
            <w:r>
              <w:rPr>
                <w:sz w:val="24"/>
              </w:rPr>
              <w:t>.生产区采用DCS控制系统进行自动控制，对生产过程进行监控和自动控制；各操作参数报警、越限联锁及机泵、阀门等联锁主要通过DCS控制；设置紧急切断与停车措施；配套远程控制系统，一旦发生事故，可立即通过远程控制系统操作；</w:t>
            </w:r>
          </w:p>
          <w:p w14:paraId="75B22966">
            <w:pPr>
              <w:spacing w:line="500" w:lineRule="exact"/>
              <w:ind w:firstLine="480" w:firstLineChars="200"/>
              <w:rPr>
                <w:sz w:val="24"/>
              </w:rPr>
            </w:pPr>
            <w:r>
              <w:rPr>
                <w:rFonts w:hint="eastAsia"/>
                <w:sz w:val="24"/>
              </w:rPr>
              <w:t>d</w:t>
            </w:r>
            <w:r>
              <w:rPr>
                <w:sz w:val="24"/>
              </w:rPr>
              <w:t>.生产车间、危废库、加油设备配套可燃气体报警、火灾报警设施，出现异常时立即开展现场检查；</w:t>
            </w:r>
          </w:p>
          <w:p w14:paraId="4EEB22A4">
            <w:pPr>
              <w:pStyle w:val="56"/>
              <w:spacing w:line="500" w:lineRule="exact"/>
              <w:ind w:firstLine="480" w:firstLineChars="200"/>
              <w:rPr>
                <w:rFonts w:ascii="Times New Roman" w:cs="Times New Roman"/>
                <w:color w:val="auto"/>
              </w:rPr>
            </w:pPr>
            <w:r>
              <w:rPr>
                <w:rFonts w:hint="eastAsia" w:ascii="Times New Roman" w:cs="Times New Roman"/>
                <w:color w:val="auto"/>
              </w:rPr>
              <w:t>e</w:t>
            </w:r>
            <w:r>
              <w:rPr>
                <w:rFonts w:ascii="Times New Roman" w:cs="Times New Roman"/>
                <w:color w:val="auto"/>
              </w:rPr>
              <w:t>.生产车间、危废库、加油设备、乙二醇储罐根据物料性质配备消防系统（水、泡沫、干粉等）、应急物资（防护服、呼吸器、黄沙等），并在风险物质存在区域设置风险应急卡，指导员工选择合适的应急设施。</w:t>
            </w:r>
          </w:p>
          <w:p w14:paraId="5C8CF0F2">
            <w:pPr>
              <w:pStyle w:val="56"/>
              <w:spacing w:line="500" w:lineRule="exact"/>
              <w:ind w:firstLine="480" w:firstLineChars="200"/>
              <w:jc w:val="both"/>
              <w:rPr>
                <w:color w:val="auto"/>
                <w:szCs w:val="21"/>
              </w:rPr>
            </w:pPr>
            <w:r>
              <w:rPr>
                <w:rFonts w:hint="eastAsia" w:ascii="Times New Roman" w:cs="Times New Roman"/>
                <w:color w:val="auto"/>
              </w:rPr>
              <w:t>h.</w:t>
            </w:r>
            <w:r>
              <w:rPr>
                <w:color w:val="auto"/>
                <w:szCs w:val="21"/>
              </w:rPr>
              <w:t xml:space="preserve"> 严格按照防雷和防静电等安全设计要求对项目有机废气收集系统进行设计和施工，采取有效措施防止电气线路和电气设施在开关断开、接触不良、短路、漏电时产生火花，防止静电放电火花；采取防雷接地措施，防止雷电放电火花。</w:t>
            </w:r>
            <w:r>
              <w:rPr>
                <w:rFonts w:hint="eastAsia"/>
                <w:color w:val="auto"/>
                <w:szCs w:val="21"/>
              </w:rPr>
              <w:t>严格按照《关于做好生态环境和应急管理部门联动工作的意见》（苏环办〔2020〕101号），开展安全风险辨识管控，要健全内部污染防治设施稳定运行和管理责任制度，严格依据标准规范建设环境治理设施，确保环境治理设施安全、稳定、有效运行。</w:t>
            </w:r>
          </w:p>
          <w:p w14:paraId="76125A8A">
            <w:pPr>
              <w:pStyle w:val="56"/>
              <w:spacing w:line="500" w:lineRule="exact"/>
              <w:ind w:firstLine="480" w:firstLineChars="200"/>
              <w:rPr>
                <w:rFonts w:ascii="Times New Roman" w:cs="Times New Roman"/>
                <w:color w:val="auto"/>
              </w:rPr>
            </w:pPr>
            <w:r>
              <w:rPr>
                <w:rFonts w:hint="eastAsia"/>
                <w:color w:val="auto"/>
                <w:szCs w:val="21"/>
              </w:rPr>
              <w:t>i.</w:t>
            </w:r>
            <w:r>
              <w:rPr>
                <w:rFonts w:hint="eastAsia"/>
                <w:color w:val="auto"/>
              </w:rPr>
              <w:t xml:space="preserve"> </w:t>
            </w:r>
            <w:r>
              <w:rPr>
                <w:rFonts w:hint="eastAsia"/>
                <w:color w:val="auto"/>
                <w:szCs w:val="21"/>
              </w:rPr>
              <w:t>每班员工对废气处理设施及管道进行巡查、观测；定期检查废气处理设施的处理情况，发现故障及时维修等。原料桶不得露天堆放，储存于阴凉通风仓间内。搬运时轻装轻卸，防止原料桶破损或倾倒。划定禁火区，在明显地点设有警示标志，输配电线、灯具、火灾事故照明和疏散指示标志均应符合安全要求；严禁未安装灭火装置的车辆出入生产装置区。</w:t>
            </w:r>
          </w:p>
          <w:p w14:paraId="2D9CDFB2">
            <w:pPr>
              <w:spacing w:line="500" w:lineRule="exact"/>
              <w:ind w:firstLine="480" w:firstLineChars="200"/>
              <w:rPr>
                <w:sz w:val="24"/>
              </w:rPr>
            </w:pPr>
            <w:r>
              <w:rPr>
                <w:rFonts w:ascii="Cambria Math" w:hAnsi="Cambria Math" w:cs="Cambria Math"/>
                <w:sz w:val="24"/>
              </w:rPr>
              <w:t>②</w:t>
            </w:r>
            <w:r>
              <w:rPr>
                <w:sz w:val="24"/>
              </w:rPr>
              <w:t>事故废水防控体系</w:t>
            </w:r>
          </w:p>
          <w:p w14:paraId="763E7BA3">
            <w:pPr>
              <w:pStyle w:val="56"/>
              <w:spacing w:line="500" w:lineRule="exact"/>
              <w:ind w:firstLine="480" w:firstLineChars="200"/>
              <w:jc w:val="both"/>
              <w:rPr>
                <w:rFonts w:ascii="Times New Roman" w:cs="Times New Roman"/>
                <w:color w:val="auto"/>
              </w:rPr>
            </w:pPr>
            <w:bookmarkStart w:id="48" w:name="OLE_LINK27"/>
            <w:r>
              <w:rPr>
                <w:rFonts w:ascii="Times New Roman" w:cs="Times New Roman"/>
                <w:color w:val="auto"/>
              </w:rPr>
              <w:t>企业已设置三级防控体系，一级措施（设置围堰、初期雨水收集池），二级措施（事故应急池），三级防控措施（设置雨、污水总排口切换阀门、废气在线监测系统、依托芮邦科技厂区污水处理站和废水在线监测系统）。</w:t>
            </w:r>
          </w:p>
          <w:p w14:paraId="561A2376">
            <w:pPr>
              <w:pStyle w:val="56"/>
              <w:spacing w:line="500" w:lineRule="exact"/>
              <w:ind w:firstLine="480" w:firstLineChars="200"/>
              <w:jc w:val="both"/>
              <w:rPr>
                <w:rFonts w:ascii="Times New Roman" w:cs="Times New Roman"/>
                <w:color w:val="auto"/>
              </w:rPr>
            </w:pPr>
            <w:r>
              <w:rPr>
                <w:rFonts w:ascii="Cambria Math" w:hAnsi="Cambria Math" w:cs="Cambria Math"/>
                <w:color w:val="auto"/>
              </w:rPr>
              <w:t>①</w:t>
            </w:r>
            <w:r>
              <w:rPr>
                <w:rFonts w:ascii="Times New Roman" w:cs="Times New Roman"/>
                <w:color w:val="auto"/>
              </w:rPr>
              <w:t>一级措施：各主体装置设置了防渗漏、防腐蚀、防淋溶、防流失措施，且相关措施符合设计规范；罐区已设置围堰，围堰配备有切换阀门；雨水系统设有雨水收集池，出口设有切换阀门；正常情况下通向雨水系统的阀门关闭，通向事故池的阀门打开。有专人负责阀门切换，保证初期雨水、泄漏物和受污染的消防水排入污水系统。</w:t>
            </w:r>
          </w:p>
          <w:p w14:paraId="43CF3A76">
            <w:pPr>
              <w:pStyle w:val="56"/>
              <w:spacing w:line="500" w:lineRule="exact"/>
              <w:ind w:firstLine="480"/>
              <w:jc w:val="both"/>
              <w:rPr>
                <w:rFonts w:ascii="Times New Roman" w:cs="Times New Roman"/>
                <w:color w:val="auto"/>
              </w:rPr>
            </w:pPr>
            <w:r>
              <w:rPr>
                <w:rFonts w:ascii="Cambria Math" w:hAnsi="Cambria Math" w:cs="Cambria Math"/>
                <w:color w:val="auto"/>
              </w:rPr>
              <w:t>②</w:t>
            </w:r>
            <w:r>
              <w:rPr>
                <w:rFonts w:ascii="Times New Roman" w:cs="Times New Roman"/>
                <w:color w:val="auto"/>
              </w:rPr>
              <w:t>二级措施：厂区雨水、污水总排口设置切换阀门，防止事故情况下物料经雨水、污水管线外排。已建设初期雨水池，应急事故池依托芮邦科技厂区在风险事故情况下，一级防控不能满足使用要求时，将物料及消防污水等引入应急事故池，厂区内依托芮邦科技厂区应急事故池，并已配套建设事故废水收集系统，保证突发环境事件状态下泄漏物通过废水收集系统进入事故池，不会进入外环境。事故水应急池采取防腐、防渗处理，事故废水进入污水处理站处理达标后外排。</w:t>
            </w:r>
          </w:p>
          <w:p w14:paraId="00029D7C">
            <w:pPr>
              <w:pStyle w:val="56"/>
              <w:spacing w:line="500" w:lineRule="exact"/>
              <w:ind w:firstLine="480" w:firstLineChars="200"/>
              <w:jc w:val="both"/>
              <w:rPr>
                <w:rFonts w:ascii="Times New Roman" w:cs="Times New Roman"/>
                <w:color w:val="auto"/>
              </w:rPr>
            </w:pPr>
            <w:r>
              <w:rPr>
                <w:rFonts w:ascii="Cambria Math" w:hAnsi="Cambria Math" w:cs="Cambria Math"/>
                <w:color w:val="auto"/>
              </w:rPr>
              <w:t>③</w:t>
            </w:r>
            <w:r>
              <w:rPr>
                <w:rFonts w:ascii="Times New Roman" w:cs="Times New Roman"/>
                <w:color w:val="auto"/>
              </w:rPr>
              <w:t>三级防控措施：初期雨水、事故废水、消防废水收集后，进入依托芮邦污水处理站处理达标后接管至园区污水处理厂处理后排放。</w:t>
            </w:r>
          </w:p>
          <w:p w14:paraId="7F603EA3">
            <w:pPr>
              <w:pStyle w:val="56"/>
              <w:spacing w:line="500" w:lineRule="exact"/>
              <w:ind w:firstLine="480" w:firstLineChars="200"/>
              <w:jc w:val="both"/>
              <w:rPr>
                <w:rFonts w:ascii="Times New Roman" w:cs="Times New Roman"/>
                <w:color w:val="auto"/>
              </w:rPr>
            </w:pPr>
            <w:r>
              <w:rPr>
                <w:rFonts w:ascii="Times New Roman" w:cs="Times New Roman"/>
                <w:color w:val="auto"/>
              </w:rPr>
              <w:t>如果厂区事故状态下产生的事故废水和消防废水经雨水管网进入成子河，发现者立即通知车间负责人，报告事故发生的地点、时间、简况和发现人的姓名，车间主任接到汇报，及时赶到现场，同时通知总应急指挥到场，具体处置方案如下：立即停止所有生产活动，成立处置小组，及时上报。组织厂区人员清理污染的水体，将污染的水体暂时转存在应急事故池内。事故池设置抽水设施，并与污水管网连接，能将所收集物</w:t>
            </w:r>
            <w:r>
              <w:rPr>
                <w:rFonts w:hint="eastAsia" w:ascii="Times New Roman" w:cs="Times New Roman"/>
                <w:color w:val="auto"/>
              </w:rPr>
              <w:t>管道输</w:t>
            </w:r>
            <w:r>
              <w:rPr>
                <w:rFonts w:ascii="Times New Roman" w:cs="Times New Roman"/>
                <w:color w:val="auto"/>
              </w:rPr>
              <w:t>送至芮邦科技厂区内污水处理设施处理。立即对废水水样进行成份分析。如水中含有危险废物成份，将清理的废水全部作为危废处理；如水中不含有危险废物成份，经处理达标后排放。若企业无法控制影响事故态势时，须及时上报江苏泗阳经济技术开发区管理委员会、泗阳高新技术产业开发区管理委员会、宿迁市泗阳生态环境局。全厂</w:t>
            </w:r>
            <w:bookmarkStart w:id="49" w:name="OLE_LINK28"/>
            <w:r>
              <w:rPr>
                <w:rFonts w:ascii="Times New Roman" w:cs="Times New Roman"/>
                <w:color w:val="auto"/>
              </w:rPr>
              <w:t>事故废水收集封堵系统图</w:t>
            </w:r>
            <w:bookmarkEnd w:id="49"/>
            <w:r>
              <w:rPr>
                <w:rFonts w:ascii="Times New Roman" w:cs="Times New Roman"/>
                <w:color w:val="auto"/>
              </w:rPr>
              <w:t>见附图7。</w:t>
            </w:r>
          </w:p>
          <w:bookmarkEnd w:id="48"/>
          <w:p w14:paraId="2A4FF3F2">
            <w:pPr>
              <w:pStyle w:val="56"/>
              <w:spacing w:line="500" w:lineRule="exact"/>
              <w:ind w:firstLine="480" w:firstLineChars="200"/>
              <w:jc w:val="both"/>
              <w:rPr>
                <w:rFonts w:ascii="Times New Roman" w:cs="Times New Roman"/>
                <w:color w:val="auto"/>
              </w:rPr>
            </w:pPr>
            <w:r>
              <w:rPr>
                <w:rFonts w:ascii="Times New Roman" w:cs="Times New Roman"/>
                <w:color w:val="auto"/>
              </w:rPr>
              <w:t>本次新增储罐需按照《储罐区防火堤设计规范》(GB50351-2014)要求设置防火堤和防火隔堤，防火堤内设置集水设施以及可供开闭的排水设施。按照《工业建筑防腐蚀设计规范》(GB50046-2008)的要求进行防腐设计，储罐、管道、输送泵根据物料的性质选用适宜的防腐材质，储罐外壁进行必要的防腐处理。定期进行壁厚测试，防止因腐蚀穿孔造成物料的泄漏。罐区设置必要的应急堵漏设施和足量的个人防护器材，便于泄漏情况下进行应急处理和人员安全疏散。同时设置空罐用于泄漏物料的收容。加强罐区管理和操作人员培训，确保操作人员熟练掌握岗位安全风险和操作规程，能够正确使用劳动保护用品和应急防护器材，具备应急处置能力，特别是初期火灾的扑救能力和中毒窒息的科学施救能力。发生事故时事故水优先在围堰内贮存，事故进一步扩大时依托现有初期雨水池，根据水质情况输送至芮邦科技污水处理站或事故水池，加快事故水的处置，避免事故扩大化。</w:t>
            </w:r>
          </w:p>
          <w:p w14:paraId="584E4E93">
            <w:pPr>
              <w:spacing w:line="500" w:lineRule="exact"/>
              <w:ind w:firstLine="480" w:firstLineChars="200"/>
              <w:rPr>
                <w:sz w:val="24"/>
              </w:rPr>
            </w:pPr>
            <w:r>
              <w:rPr>
                <w:sz w:val="24"/>
              </w:rPr>
              <w:t>本项目风险物质废机油等危险物质依托现有危废库贮存。危废库已设边沟和事故废水/液收集池，并设置专门的事故水收集管线，边沟和管线明管化，正常情况下事故废水可自流进入事故应急池。撬装加油一体化设备周边设置边沟，依托周边的事故废水/液收集池，并设置专门的事故水收集管线，边沟和管线明管化，正常情况下事故废水可自流进入事故应急池。同时企业配备提升泵，确保事故废水可收集进入事故池。</w:t>
            </w:r>
          </w:p>
          <w:p w14:paraId="4F293811">
            <w:pPr>
              <w:spacing w:line="500" w:lineRule="exact"/>
              <w:ind w:firstLine="480" w:firstLineChars="200"/>
              <w:rPr>
                <w:sz w:val="24"/>
              </w:rPr>
            </w:pPr>
            <w:r>
              <w:rPr>
                <w:sz w:val="24"/>
              </w:rPr>
              <w:t>厂区依托现有芮邦的事故水池，容积为2250m</w:t>
            </w:r>
            <w:r>
              <w:rPr>
                <w:sz w:val="24"/>
                <w:vertAlign w:val="superscript"/>
              </w:rPr>
              <w:t>3</w:t>
            </w:r>
            <w:r>
              <w:rPr>
                <w:sz w:val="24"/>
              </w:rPr>
              <w:t>，保持常空状态，容量满足事故状态的应急要求。同时，厂区设有雨水切断阀，日常管理及维护良好，有专人负责阀门切换，保证泄漏物和受污染消防水排入事故池。</w:t>
            </w:r>
          </w:p>
          <w:p w14:paraId="7B58B5C5">
            <w:pPr>
              <w:spacing w:line="500" w:lineRule="exact"/>
              <w:ind w:firstLine="480" w:firstLineChars="200"/>
              <w:rPr>
                <w:sz w:val="24"/>
              </w:rPr>
            </w:pPr>
            <w:r>
              <w:rPr>
                <w:sz w:val="24"/>
              </w:rPr>
              <w:t>本项目依托现有芮邦事故应急池，假设新增乙二醇罐发生火灾，分析下事故水池依托可行性。</w:t>
            </w:r>
          </w:p>
          <w:p w14:paraId="15423F5B">
            <w:pPr>
              <w:spacing w:line="500" w:lineRule="exact"/>
              <w:ind w:firstLine="480" w:firstLineChars="200"/>
              <w:rPr>
                <w:bCs/>
                <w:sz w:val="24"/>
              </w:rPr>
            </w:pPr>
            <w:r>
              <w:rPr>
                <w:bCs/>
                <w:sz w:val="24"/>
              </w:rPr>
              <w:t>根据“环评导则”及《化工建设项目环境保护工程设计标准》（GB/T 50483-2019）的要求，化工建设项目应设置应急事故池。根据《事故状态下水体污染的预防与控制规范》（Q/SY 08190—2019），项目所需事故池有效容积计算方法如下：</w:t>
            </w:r>
          </w:p>
          <w:p w14:paraId="2985320B">
            <w:pPr>
              <w:spacing w:line="500" w:lineRule="exact"/>
              <w:jc w:val="center"/>
              <w:rPr>
                <w:sz w:val="24"/>
                <w:vertAlign w:val="subscript"/>
              </w:rPr>
            </w:pPr>
            <w:r>
              <w:rPr>
                <w:sz w:val="24"/>
              </w:rPr>
              <w:t>V</w:t>
            </w:r>
            <w:r>
              <w:rPr>
                <w:sz w:val="24"/>
                <w:vertAlign w:val="subscript"/>
              </w:rPr>
              <w:t>总</w:t>
            </w:r>
            <w:r>
              <w:rPr>
                <w:sz w:val="24"/>
              </w:rPr>
              <w:t xml:space="preserve"> = (V</w:t>
            </w:r>
            <w:r>
              <w:rPr>
                <w:sz w:val="24"/>
                <w:vertAlign w:val="subscript"/>
              </w:rPr>
              <w:t>1</w:t>
            </w:r>
            <w:r>
              <w:rPr>
                <w:sz w:val="24"/>
              </w:rPr>
              <w:t>+V</w:t>
            </w:r>
            <w:r>
              <w:rPr>
                <w:sz w:val="24"/>
                <w:vertAlign w:val="subscript"/>
              </w:rPr>
              <w:t>2</w:t>
            </w:r>
            <w:r>
              <w:rPr>
                <w:rFonts w:eastAsia="微软雅黑"/>
                <w:sz w:val="24"/>
              </w:rPr>
              <w:t>−</w:t>
            </w:r>
            <w:r>
              <w:rPr>
                <w:sz w:val="24"/>
              </w:rPr>
              <w:t>V</w:t>
            </w:r>
            <w:r>
              <w:rPr>
                <w:sz w:val="24"/>
                <w:vertAlign w:val="subscript"/>
              </w:rPr>
              <w:t>3</w:t>
            </w:r>
            <w:r>
              <w:rPr>
                <w:sz w:val="24"/>
              </w:rPr>
              <w:t>)</w:t>
            </w:r>
            <w:r>
              <w:rPr>
                <w:sz w:val="24"/>
                <w:vertAlign w:val="subscript"/>
              </w:rPr>
              <w:t>max</w:t>
            </w:r>
            <w:r>
              <w:rPr>
                <w:sz w:val="24"/>
              </w:rPr>
              <w:t xml:space="preserve"> + V</w:t>
            </w:r>
            <w:r>
              <w:rPr>
                <w:sz w:val="24"/>
                <w:vertAlign w:val="subscript"/>
              </w:rPr>
              <w:t xml:space="preserve">4 </w:t>
            </w:r>
            <w:r>
              <w:rPr>
                <w:sz w:val="24"/>
              </w:rPr>
              <w:t>+ V</w:t>
            </w:r>
            <w:r>
              <w:rPr>
                <w:sz w:val="24"/>
                <w:vertAlign w:val="subscript"/>
              </w:rPr>
              <w:t>5</w:t>
            </w:r>
          </w:p>
          <w:p w14:paraId="75DD9B5F">
            <w:pPr>
              <w:spacing w:line="500" w:lineRule="exact"/>
              <w:jc w:val="center"/>
              <w:rPr>
                <w:sz w:val="24"/>
                <w:vertAlign w:val="subscript"/>
              </w:rPr>
            </w:pPr>
            <w:r>
              <w:rPr>
                <w:sz w:val="24"/>
              </w:rPr>
              <w:t>V</w:t>
            </w:r>
            <w:r>
              <w:rPr>
                <w:sz w:val="24"/>
                <w:vertAlign w:val="subscript"/>
              </w:rPr>
              <w:t>2</w:t>
            </w:r>
            <w:r>
              <w:rPr>
                <w:sz w:val="24"/>
              </w:rPr>
              <w:t xml:space="preserve"> = ΣQ</w:t>
            </w:r>
            <w:r>
              <w:rPr>
                <w:sz w:val="24"/>
                <w:vertAlign w:val="subscript"/>
              </w:rPr>
              <w:t>消</w:t>
            </w:r>
            <w:r>
              <w:rPr>
                <w:sz w:val="24"/>
              </w:rPr>
              <w:t>×t</w:t>
            </w:r>
            <w:r>
              <w:rPr>
                <w:sz w:val="24"/>
                <w:vertAlign w:val="subscript"/>
              </w:rPr>
              <w:t>消</w:t>
            </w:r>
          </w:p>
          <w:p w14:paraId="519E8160">
            <w:pPr>
              <w:spacing w:line="500" w:lineRule="exact"/>
              <w:jc w:val="center"/>
              <w:rPr>
                <w:sz w:val="24"/>
              </w:rPr>
            </w:pPr>
            <w:r>
              <w:rPr>
                <w:sz w:val="24"/>
              </w:rPr>
              <w:t>V</w:t>
            </w:r>
            <w:r>
              <w:rPr>
                <w:sz w:val="24"/>
                <w:vertAlign w:val="subscript"/>
              </w:rPr>
              <w:t>5</w:t>
            </w:r>
            <w:r>
              <w:rPr>
                <w:sz w:val="24"/>
              </w:rPr>
              <w:t xml:space="preserve"> = 10q×f</w:t>
            </w:r>
          </w:p>
          <w:p w14:paraId="48D60F13">
            <w:pPr>
              <w:spacing w:line="500" w:lineRule="exact"/>
              <w:jc w:val="center"/>
              <w:rPr>
                <w:sz w:val="24"/>
              </w:rPr>
            </w:pPr>
            <w:r>
              <w:rPr>
                <w:sz w:val="24"/>
              </w:rPr>
              <w:t>q = q</w:t>
            </w:r>
            <w:r>
              <w:rPr>
                <w:sz w:val="24"/>
                <w:vertAlign w:val="subscript"/>
              </w:rPr>
              <w:t>a</w:t>
            </w:r>
            <w:r>
              <w:rPr>
                <w:sz w:val="24"/>
              </w:rPr>
              <w:t>/n</w:t>
            </w:r>
          </w:p>
          <w:p w14:paraId="570D2584">
            <w:pPr>
              <w:spacing w:line="500" w:lineRule="exact"/>
              <w:ind w:firstLine="480" w:firstLineChars="200"/>
              <w:rPr>
                <w:sz w:val="24"/>
              </w:rPr>
            </w:pPr>
            <w:r>
              <w:rPr>
                <w:sz w:val="24"/>
              </w:rPr>
              <w:t>式中：</w:t>
            </w:r>
          </w:p>
          <w:p w14:paraId="2E651C16">
            <w:pPr>
              <w:spacing w:line="500" w:lineRule="exact"/>
              <w:ind w:firstLine="480" w:firstLineChars="200"/>
              <w:rPr>
                <w:sz w:val="24"/>
              </w:rPr>
            </w:pPr>
            <w:r>
              <w:rPr>
                <w:sz w:val="24"/>
              </w:rPr>
              <w:t>V</w:t>
            </w:r>
            <w:r>
              <w:rPr>
                <w:sz w:val="24"/>
                <w:vertAlign w:val="subscript"/>
              </w:rPr>
              <w:t>总</w:t>
            </w:r>
            <w:r>
              <w:rPr>
                <w:sz w:val="24"/>
              </w:rPr>
              <w:t>—事故缓冲设施总有效容积，单位为立方米（m</w:t>
            </w:r>
            <w:r>
              <w:rPr>
                <w:sz w:val="24"/>
                <w:vertAlign w:val="superscript"/>
              </w:rPr>
              <w:t>3</w:t>
            </w:r>
            <w:r>
              <w:rPr>
                <w:sz w:val="24"/>
              </w:rPr>
              <w:t>）；</w:t>
            </w:r>
          </w:p>
          <w:p w14:paraId="77F33761">
            <w:pPr>
              <w:spacing w:line="500" w:lineRule="exact"/>
              <w:ind w:firstLine="480" w:firstLineChars="200"/>
              <w:rPr>
                <w:sz w:val="24"/>
              </w:rPr>
            </w:pPr>
            <w:r>
              <w:rPr>
                <w:sz w:val="24"/>
              </w:rPr>
              <w:t>V</w:t>
            </w:r>
            <w:r>
              <w:rPr>
                <w:sz w:val="24"/>
                <w:vertAlign w:val="subscript"/>
              </w:rPr>
              <w:t>1</w:t>
            </w:r>
            <w:r>
              <w:rPr>
                <w:sz w:val="24"/>
              </w:rPr>
              <w:t>—收集系统范围内发生事故的物料量，单位为立方米（m</w:t>
            </w:r>
            <w:r>
              <w:rPr>
                <w:sz w:val="24"/>
                <w:vertAlign w:val="superscript"/>
              </w:rPr>
              <w:t>3</w:t>
            </w:r>
            <w:r>
              <w:rPr>
                <w:sz w:val="24"/>
              </w:rPr>
              <w:t>）；罐组按一个最大储罐计；</w:t>
            </w:r>
          </w:p>
          <w:p w14:paraId="48A077B4">
            <w:pPr>
              <w:spacing w:line="500" w:lineRule="exact"/>
              <w:ind w:firstLine="480" w:firstLineChars="200"/>
              <w:rPr>
                <w:sz w:val="24"/>
              </w:rPr>
            </w:pPr>
            <w:r>
              <w:rPr>
                <w:sz w:val="24"/>
              </w:rPr>
              <w:t>V</w:t>
            </w:r>
            <w:r>
              <w:rPr>
                <w:sz w:val="24"/>
                <w:vertAlign w:val="subscript"/>
              </w:rPr>
              <w:t>2</w:t>
            </w:r>
            <w:r>
              <w:rPr>
                <w:sz w:val="24"/>
              </w:rPr>
              <w:t xml:space="preserve">—发生事故的储罐、装置或铁路、汽车装卸区的消防水量。 </w:t>
            </w:r>
          </w:p>
          <w:p w14:paraId="4F1D0AC8">
            <w:pPr>
              <w:spacing w:line="500" w:lineRule="exact"/>
              <w:ind w:firstLine="960" w:firstLineChars="400"/>
              <w:rPr>
                <w:sz w:val="24"/>
              </w:rPr>
            </w:pPr>
            <w:r>
              <w:rPr>
                <w:sz w:val="24"/>
              </w:rPr>
              <w:t>Q</w:t>
            </w:r>
            <w:r>
              <w:rPr>
                <w:sz w:val="24"/>
                <w:vertAlign w:val="subscript"/>
              </w:rPr>
              <w:t>消</w:t>
            </w:r>
            <w:r>
              <w:rPr>
                <w:sz w:val="24"/>
              </w:rPr>
              <w:t>—发生事故的储罐、装置或铁路、汽车装卸区同时使用的消防设施给水流量，单位为立方米每小时（m</w:t>
            </w:r>
            <w:r>
              <w:rPr>
                <w:sz w:val="24"/>
                <w:vertAlign w:val="superscript"/>
              </w:rPr>
              <w:t>3</w:t>
            </w:r>
            <w:r>
              <w:rPr>
                <w:sz w:val="24"/>
              </w:rPr>
              <w:t>/h）；</w:t>
            </w:r>
          </w:p>
          <w:p w14:paraId="2833850E">
            <w:pPr>
              <w:spacing w:line="500" w:lineRule="exact"/>
              <w:ind w:firstLine="960" w:firstLineChars="400"/>
              <w:rPr>
                <w:sz w:val="24"/>
              </w:rPr>
            </w:pPr>
            <w:r>
              <w:rPr>
                <w:sz w:val="24"/>
              </w:rPr>
              <w:t>t</w:t>
            </w:r>
            <w:r>
              <w:rPr>
                <w:sz w:val="24"/>
                <w:vertAlign w:val="subscript"/>
              </w:rPr>
              <w:t>消</w:t>
            </w:r>
            <w:r>
              <w:rPr>
                <w:sz w:val="24"/>
              </w:rPr>
              <w:t>—消防设施对应的设计消防历时，单位为小时（h）；</w:t>
            </w:r>
          </w:p>
          <w:p w14:paraId="5B84413A">
            <w:pPr>
              <w:spacing w:line="500" w:lineRule="exact"/>
              <w:ind w:firstLine="480" w:firstLineChars="200"/>
              <w:rPr>
                <w:sz w:val="24"/>
              </w:rPr>
            </w:pPr>
            <w:r>
              <w:rPr>
                <w:sz w:val="24"/>
              </w:rPr>
              <w:t>V</w:t>
            </w:r>
            <w:r>
              <w:rPr>
                <w:sz w:val="24"/>
                <w:vertAlign w:val="subscript"/>
              </w:rPr>
              <w:t>3</w:t>
            </w:r>
            <w:r>
              <w:rPr>
                <w:sz w:val="24"/>
              </w:rPr>
              <w:t>—</w:t>
            </w:r>
            <w:bookmarkStart w:id="50" w:name="OLE_LINK4"/>
            <w:r>
              <w:rPr>
                <w:sz w:val="24"/>
              </w:rPr>
              <w:t>发生事故时可以转输到其它储存或处理设施的物料量</w:t>
            </w:r>
            <w:bookmarkEnd w:id="50"/>
            <w:r>
              <w:rPr>
                <w:sz w:val="24"/>
              </w:rPr>
              <w:t>，单位为立方米（m</w:t>
            </w:r>
            <w:r>
              <w:rPr>
                <w:sz w:val="24"/>
                <w:vertAlign w:val="superscript"/>
              </w:rPr>
              <w:t>3</w:t>
            </w:r>
            <w:r>
              <w:rPr>
                <w:sz w:val="24"/>
              </w:rPr>
              <w:t>）；</w:t>
            </w:r>
          </w:p>
          <w:p w14:paraId="7BC7316C">
            <w:pPr>
              <w:spacing w:line="500" w:lineRule="exact"/>
              <w:ind w:firstLine="480" w:firstLineChars="200"/>
              <w:rPr>
                <w:sz w:val="24"/>
              </w:rPr>
            </w:pPr>
            <w:r>
              <w:rPr>
                <w:sz w:val="24"/>
              </w:rPr>
              <w:t>V4—发生事故时仍必须进入该收集系统的生产废水量，单位为立方米（m</w:t>
            </w:r>
            <w:r>
              <w:rPr>
                <w:sz w:val="24"/>
                <w:vertAlign w:val="superscript"/>
              </w:rPr>
              <w:t>3</w:t>
            </w:r>
            <w:r>
              <w:rPr>
                <w:sz w:val="24"/>
              </w:rPr>
              <w:t>）；事故时，本项目生产废水全部进入污水处理站，不进入事故水池，故取0；</w:t>
            </w:r>
          </w:p>
          <w:p w14:paraId="23BFF6E5">
            <w:pPr>
              <w:spacing w:line="500" w:lineRule="exact"/>
              <w:ind w:firstLine="480" w:firstLineChars="200"/>
              <w:rPr>
                <w:sz w:val="24"/>
              </w:rPr>
            </w:pPr>
            <w:r>
              <w:rPr>
                <w:sz w:val="24"/>
              </w:rPr>
              <w:t>V5—发生事故时可能进入该收集系统的降雨量，单位为立方米（m</w:t>
            </w:r>
            <w:r>
              <w:rPr>
                <w:sz w:val="24"/>
                <w:vertAlign w:val="superscript"/>
              </w:rPr>
              <w:t>3</w:t>
            </w:r>
            <w:r>
              <w:rPr>
                <w:sz w:val="24"/>
              </w:rPr>
              <w:t>）。</w:t>
            </w:r>
          </w:p>
          <w:p w14:paraId="166F7002">
            <w:pPr>
              <w:spacing w:line="500" w:lineRule="exact"/>
              <w:ind w:firstLine="480" w:firstLineChars="200"/>
              <w:rPr>
                <w:sz w:val="24"/>
              </w:rPr>
            </w:pPr>
            <w:r>
              <w:rPr>
                <w:sz w:val="24"/>
              </w:rPr>
              <w:t>q—降雨强度，按平均日降雨量，单位为毫米（mm）；</w:t>
            </w:r>
          </w:p>
          <w:p w14:paraId="4C28B4C6">
            <w:pPr>
              <w:spacing w:line="500" w:lineRule="exact"/>
              <w:ind w:firstLine="480" w:firstLineChars="200"/>
              <w:rPr>
                <w:sz w:val="24"/>
              </w:rPr>
            </w:pPr>
            <w:r>
              <w:rPr>
                <w:sz w:val="24"/>
              </w:rPr>
              <w:t>qa—年平均降雨量，单位为毫米（mm），取900；</w:t>
            </w:r>
          </w:p>
          <w:p w14:paraId="50ABE4AC">
            <w:pPr>
              <w:spacing w:line="500" w:lineRule="exact"/>
              <w:ind w:firstLine="480" w:firstLineChars="200"/>
              <w:rPr>
                <w:sz w:val="24"/>
              </w:rPr>
            </w:pPr>
            <w:r>
              <w:rPr>
                <w:sz w:val="24"/>
              </w:rPr>
              <w:t>n—年平均降雨日数，单位为天（d）；</w:t>
            </w:r>
          </w:p>
          <w:p w14:paraId="6D708508">
            <w:pPr>
              <w:spacing w:line="500" w:lineRule="exact"/>
              <w:ind w:firstLine="480" w:firstLineChars="200"/>
              <w:rPr>
                <w:sz w:val="24"/>
              </w:rPr>
            </w:pPr>
            <w:r>
              <w:rPr>
                <w:sz w:val="24"/>
              </w:rPr>
              <w:t>f—必须进入事故废水收集系统的雨水汇水面积，单位为公顷（ha），取2.1。</w:t>
            </w:r>
          </w:p>
          <w:p w14:paraId="10AC68FD">
            <w:pPr>
              <w:spacing w:line="500" w:lineRule="exact"/>
              <w:ind w:firstLine="480" w:firstLineChars="200"/>
              <w:rPr>
                <w:sz w:val="24"/>
              </w:rPr>
            </w:pPr>
            <w:r>
              <w:rPr>
                <w:sz w:val="24"/>
              </w:rPr>
              <w:t>本项目新增乙二醇罐发生火灾，物料泄露V</w:t>
            </w:r>
            <w:r>
              <w:rPr>
                <w:sz w:val="24"/>
                <w:vertAlign w:val="subscript"/>
              </w:rPr>
              <w:t>1</w:t>
            </w:r>
            <w:r>
              <w:rPr>
                <w:sz w:val="24"/>
              </w:rPr>
              <w:t>=7040 m</w:t>
            </w:r>
            <w:r>
              <w:rPr>
                <w:sz w:val="24"/>
                <w:vertAlign w:val="superscript"/>
              </w:rPr>
              <w:t>3</w:t>
            </w:r>
            <w:r>
              <w:rPr>
                <w:sz w:val="24"/>
              </w:rPr>
              <w:t>；事故时间以3小时计，消防用水取190L/s，则消防水用量和产生消防废水量为V</w:t>
            </w:r>
            <w:r>
              <w:rPr>
                <w:sz w:val="24"/>
                <w:vertAlign w:val="subscript"/>
              </w:rPr>
              <w:t>2</w:t>
            </w:r>
            <w:r>
              <w:rPr>
                <w:sz w:val="24"/>
              </w:rPr>
              <w:t>=2052m</w:t>
            </w:r>
            <w:r>
              <w:rPr>
                <w:sz w:val="24"/>
                <w:vertAlign w:val="superscript"/>
              </w:rPr>
              <w:t>3</w:t>
            </w:r>
            <w:r>
              <w:rPr>
                <w:sz w:val="24"/>
              </w:rPr>
              <w:t>；发生事故时可以转输到其它储存或处理设施的物料量，可以储罐在围堰内V</w:t>
            </w:r>
            <w:r>
              <w:rPr>
                <w:sz w:val="24"/>
                <w:vertAlign w:val="subscript"/>
              </w:rPr>
              <w:t>3</w:t>
            </w:r>
            <w:r>
              <w:rPr>
                <w:sz w:val="24"/>
              </w:rPr>
              <w:t>=12900*0.8=10320m</w:t>
            </w:r>
            <w:r>
              <w:rPr>
                <w:sz w:val="24"/>
                <w:vertAlign w:val="superscript"/>
              </w:rPr>
              <w:t>3</w:t>
            </w:r>
            <w:r>
              <w:rPr>
                <w:sz w:val="24"/>
              </w:rPr>
              <w:t>；发生消防事故时仍必须进入该收集系统的生产废水量V4=0 m</w:t>
            </w:r>
            <w:r>
              <w:rPr>
                <w:sz w:val="24"/>
                <w:vertAlign w:val="superscript"/>
              </w:rPr>
              <w:t>3</w:t>
            </w:r>
            <w:r>
              <w:rPr>
                <w:sz w:val="24"/>
              </w:rPr>
              <w:t>；发生事故时可能进入该收集系统的降雨量V5=517.8 m</w:t>
            </w:r>
            <w:r>
              <w:rPr>
                <w:sz w:val="24"/>
                <w:vertAlign w:val="superscript"/>
              </w:rPr>
              <w:t>3</w:t>
            </w:r>
            <w:r>
              <w:rPr>
                <w:sz w:val="24"/>
              </w:rPr>
              <w:t>。综上V总 = (V</w:t>
            </w:r>
            <w:r>
              <w:rPr>
                <w:sz w:val="24"/>
                <w:vertAlign w:val="subscript"/>
              </w:rPr>
              <w:t>1</w:t>
            </w:r>
            <w:r>
              <w:rPr>
                <w:sz w:val="24"/>
              </w:rPr>
              <w:t>+V</w:t>
            </w:r>
            <w:r>
              <w:rPr>
                <w:sz w:val="24"/>
                <w:vertAlign w:val="subscript"/>
              </w:rPr>
              <w:t>2</w:t>
            </w:r>
            <w:r>
              <w:rPr>
                <w:sz w:val="24"/>
              </w:rPr>
              <w:t>−V</w:t>
            </w:r>
            <w:r>
              <w:rPr>
                <w:sz w:val="24"/>
                <w:vertAlign w:val="subscript"/>
              </w:rPr>
              <w:t>3</w:t>
            </w:r>
            <w:r>
              <w:rPr>
                <w:sz w:val="24"/>
              </w:rPr>
              <w:t>)max + V</w:t>
            </w:r>
            <w:r>
              <w:rPr>
                <w:sz w:val="24"/>
                <w:vertAlign w:val="subscript"/>
              </w:rPr>
              <w:t>4</w:t>
            </w:r>
            <w:r>
              <w:rPr>
                <w:sz w:val="24"/>
              </w:rPr>
              <w:t xml:space="preserve"> + V</w:t>
            </w:r>
            <w:r>
              <w:rPr>
                <w:sz w:val="24"/>
                <w:vertAlign w:val="subscript"/>
              </w:rPr>
              <w:t>5</w:t>
            </w:r>
            <w:r>
              <w:rPr>
                <w:sz w:val="24"/>
              </w:rPr>
              <w:t>=-710.2 m</w:t>
            </w:r>
            <w:r>
              <w:rPr>
                <w:sz w:val="24"/>
                <w:vertAlign w:val="superscript"/>
              </w:rPr>
              <w:t>3</w:t>
            </w:r>
            <w:r>
              <w:rPr>
                <w:sz w:val="24"/>
              </w:rPr>
              <w:t>。因此，本项目围堰内体积足够大，能够满足罐区发生事故产生事故水的收集，能够实现依托。此外，国望高科负责厂区内事故水的收集，芮邦科技负责事故水池贮存及处置工作，芮邦科技尚有2250m</w:t>
            </w:r>
            <w:r>
              <w:rPr>
                <w:sz w:val="24"/>
                <w:vertAlign w:val="superscript"/>
              </w:rPr>
              <w:t>3</w:t>
            </w:r>
            <w:r>
              <w:rPr>
                <w:sz w:val="24"/>
              </w:rPr>
              <w:t>应急事故池。因此，事故状态下现有事故水体系，可实现事故水的收集贮存。</w:t>
            </w:r>
          </w:p>
          <w:p w14:paraId="414466BC">
            <w:pPr>
              <w:pStyle w:val="108"/>
              <w:numPr>
                <w:ilvl w:val="0"/>
                <w:numId w:val="5"/>
              </w:numPr>
              <w:spacing w:line="500" w:lineRule="exact"/>
              <w:ind w:firstLineChars="0"/>
              <w:rPr>
                <w:sz w:val="24"/>
              </w:rPr>
            </w:pPr>
            <w:r>
              <w:rPr>
                <w:sz w:val="24"/>
              </w:rPr>
              <w:t>地下水环境风险防范</w:t>
            </w:r>
          </w:p>
          <w:p w14:paraId="7826164E">
            <w:pPr>
              <w:spacing w:line="500" w:lineRule="exact"/>
              <w:ind w:firstLine="480" w:firstLineChars="200"/>
              <w:rPr>
                <w:sz w:val="24"/>
              </w:rPr>
            </w:pPr>
            <w:r>
              <w:rPr>
                <w:sz w:val="24"/>
              </w:rPr>
              <w:t>本项目若发生泄漏事故，易引起地下水污染，项目建设及运行期间在采取严格的防渗和各项地下水保护措施的前提下，对地下水环境的影响较小。因此需做好危废库地面的重点防渗以及车间地面一般防渗工作。</w:t>
            </w:r>
          </w:p>
          <w:p w14:paraId="6832B0A2">
            <w:pPr>
              <w:spacing w:line="500" w:lineRule="exact"/>
              <w:ind w:firstLine="482" w:firstLineChars="200"/>
              <w:contextualSpacing/>
              <w:rPr>
                <w:b/>
                <w:bCs/>
                <w:sz w:val="24"/>
              </w:rPr>
            </w:pPr>
            <w:r>
              <w:rPr>
                <w:b/>
                <w:bCs/>
                <w:sz w:val="24"/>
              </w:rPr>
              <w:t>8、电磁辐射</w:t>
            </w:r>
          </w:p>
          <w:p w14:paraId="7BAF3241">
            <w:pPr>
              <w:spacing w:line="500" w:lineRule="exact"/>
              <w:ind w:firstLine="480" w:firstLineChars="200"/>
              <w:contextualSpacing/>
              <w:rPr>
                <w:b/>
                <w:bCs/>
                <w:sz w:val="24"/>
              </w:rPr>
            </w:pPr>
            <w:r>
              <w:rPr>
                <w:sz w:val="24"/>
              </w:rPr>
              <w:t>本项目不涉及电磁辐射内容，故无需说明相关电磁辐射的环境环保措施。</w:t>
            </w:r>
          </w:p>
        </w:tc>
      </w:tr>
    </w:tbl>
    <w:p w14:paraId="15E3A404">
      <w:pPr>
        <w:adjustRightInd w:val="0"/>
        <w:snapToGrid w:val="0"/>
        <w:spacing w:line="360" w:lineRule="auto"/>
        <w:rPr>
          <w:b/>
          <w:kern w:val="0"/>
          <w:sz w:val="28"/>
          <w:szCs w:val="28"/>
        </w:rPr>
        <w:sectPr>
          <w:pgSz w:w="11907" w:h="16840"/>
          <w:pgMar w:top="1701" w:right="1531" w:bottom="2269" w:left="1531" w:header="851" w:footer="851" w:gutter="0"/>
          <w:cols w:space="720" w:num="1"/>
          <w:docGrid w:linePitch="312" w:charSpace="0"/>
        </w:sectPr>
      </w:pPr>
    </w:p>
    <w:p w14:paraId="5B6A378E">
      <w:pPr>
        <w:pStyle w:val="42"/>
        <w:jc w:val="center"/>
        <w:outlineLvl w:val="0"/>
        <w:rPr>
          <w:rFonts w:ascii="Times New Roman" w:hAnsi="Times New Roman"/>
          <w:b/>
          <w:snapToGrid w:val="0"/>
          <w:sz w:val="30"/>
          <w:szCs w:val="30"/>
        </w:rPr>
      </w:pPr>
      <w:r>
        <w:rPr>
          <w:rFonts w:ascii="Times New Roman" w:hAnsi="Times New Roman"/>
          <w:b/>
          <w:snapToGrid w:val="0"/>
          <w:sz w:val="30"/>
          <w:szCs w:val="30"/>
        </w:rPr>
        <w:t>五、环境保护措施监督检查清单</w:t>
      </w:r>
    </w:p>
    <w:tbl>
      <w:tblPr>
        <w:tblStyle w:val="4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506"/>
        <w:gridCol w:w="1165"/>
        <w:gridCol w:w="2184"/>
        <w:gridCol w:w="3102"/>
      </w:tblGrid>
      <w:tr w14:paraId="5CC36C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09" w:type="pct"/>
            <w:tcBorders>
              <w:tl2br w:val="single" w:color="auto" w:sz="4" w:space="0"/>
            </w:tcBorders>
          </w:tcPr>
          <w:p w14:paraId="14E22306">
            <w:pPr>
              <w:adjustRightInd w:val="0"/>
              <w:snapToGrid w:val="0"/>
              <w:jc w:val="right"/>
              <w:rPr>
                <w:b/>
                <w:bCs/>
                <w:szCs w:val="21"/>
              </w:rPr>
            </w:pPr>
            <w:r>
              <w:rPr>
                <w:b/>
                <w:bCs/>
                <w:snapToGrid w:val="0"/>
              </w:rPr>
              <w:tab/>
            </w:r>
            <w:r>
              <w:rPr>
                <w:b/>
                <w:bCs/>
                <w:szCs w:val="21"/>
              </w:rPr>
              <w:t>内容</w:t>
            </w:r>
          </w:p>
          <w:p w14:paraId="6281EE68">
            <w:pPr>
              <w:adjustRightInd w:val="0"/>
              <w:snapToGrid w:val="0"/>
              <w:rPr>
                <w:b/>
                <w:bCs/>
                <w:szCs w:val="21"/>
              </w:rPr>
            </w:pPr>
          </w:p>
          <w:p w14:paraId="426647E4">
            <w:pPr>
              <w:adjustRightInd w:val="0"/>
              <w:snapToGrid w:val="0"/>
              <w:rPr>
                <w:b/>
                <w:bCs/>
                <w:szCs w:val="21"/>
              </w:rPr>
            </w:pPr>
            <w:r>
              <w:rPr>
                <w:b/>
                <w:bCs/>
                <w:szCs w:val="21"/>
              </w:rPr>
              <w:t>要素</w:t>
            </w:r>
          </w:p>
        </w:tc>
        <w:tc>
          <w:tcPr>
            <w:tcW w:w="831" w:type="pct"/>
            <w:vAlign w:val="center"/>
          </w:tcPr>
          <w:p w14:paraId="68E0BDD5">
            <w:pPr>
              <w:adjustRightInd w:val="0"/>
              <w:snapToGrid w:val="0"/>
              <w:jc w:val="center"/>
              <w:rPr>
                <w:b/>
                <w:bCs/>
                <w:szCs w:val="21"/>
              </w:rPr>
            </w:pPr>
            <w:r>
              <w:rPr>
                <w:b/>
                <w:bCs/>
                <w:szCs w:val="21"/>
              </w:rPr>
              <w:t>排放口(编号、名称)/污染源</w:t>
            </w:r>
          </w:p>
        </w:tc>
        <w:tc>
          <w:tcPr>
            <w:tcW w:w="643" w:type="pct"/>
            <w:vAlign w:val="center"/>
          </w:tcPr>
          <w:p w14:paraId="10DF8393">
            <w:pPr>
              <w:adjustRightInd w:val="0"/>
              <w:snapToGrid w:val="0"/>
              <w:jc w:val="center"/>
              <w:rPr>
                <w:b/>
                <w:bCs/>
                <w:szCs w:val="21"/>
              </w:rPr>
            </w:pPr>
            <w:r>
              <w:rPr>
                <w:b/>
                <w:bCs/>
                <w:szCs w:val="21"/>
              </w:rPr>
              <w:t>污染物项目</w:t>
            </w:r>
          </w:p>
        </w:tc>
        <w:tc>
          <w:tcPr>
            <w:tcW w:w="1205" w:type="pct"/>
            <w:vAlign w:val="center"/>
          </w:tcPr>
          <w:p w14:paraId="69C76728">
            <w:pPr>
              <w:adjustRightInd w:val="0"/>
              <w:snapToGrid w:val="0"/>
              <w:jc w:val="center"/>
              <w:rPr>
                <w:b/>
                <w:bCs/>
                <w:szCs w:val="21"/>
              </w:rPr>
            </w:pPr>
            <w:r>
              <w:rPr>
                <w:b/>
                <w:bCs/>
                <w:szCs w:val="21"/>
              </w:rPr>
              <w:t>环境保护措施</w:t>
            </w:r>
          </w:p>
        </w:tc>
        <w:tc>
          <w:tcPr>
            <w:tcW w:w="1712" w:type="pct"/>
            <w:vAlign w:val="center"/>
          </w:tcPr>
          <w:p w14:paraId="21CD51AF">
            <w:pPr>
              <w:adjustRightInd w:val="0"/>
              <w:snapToGrid w:val="0"/>
              <w:jc w:val="center"/>
              <w:rPr>
                <w:b/>
                <w:bCs/>
                <w:szCs w:val="21"/>
              </w:rPr>
            </w:pPr>
            <w:r>
              <w:rPr>
                <w:b/>
                <w:bCs/>
                <w:szCs w:val="21"/>
              </w:rPr>
              <w:t>执行标准</w:t>
            </w:r>
          </w:p>
        </w:tc>
      </w:tr>
      <w:tr w14:paraId="5EC309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609" w:type="pct"/>
            <w:vMerge w:val="restart"/>
            <w:vAlign w:val="center"/>
          </w:tcPr>
          <w:p w14:paraId="50259694">
            <w:pPr>
              <w:adjustRightInd w:val="0"/>
              <w:snapToGrid w:val="0"/>
              <w:jc w:val="center"/>
              <w:rPr>
                <w:szCs w:val="21"/>
              </w:rPr>
            </w:pPr>
            <w:r>
              <w:rPr>
                <w:szCs w:val="21"/>
              </w:rPr>
              <w:t>大气环境</w:t>
            </w:r>
          </w:p>
        </w:tc>
        <w:tc>
          <w:tcPr>
            <w:tcW w:w="831" w:type="pct"/>
            <w:tcBorders>
              <w:bottom w:val="single" w:color="auto" w:sz="4" w:space="0"/>
            </w:tcBorders>
            <w:vAlign w:val="center"/>
          </w:tcPr>
          <w:p w14:paraId="4D0E9B2F">
            <w:pPr>
              <w:adjustRightInd w:val="0"/>
              <w:snapToGrid w:val="0"/>
              <w:jc w:val="center"/>
              <w:rPr>
                <w:szCs w:val="21"/>
              </w:rPr>
            </w:pPr>
            <w:r>
              <w:rPr>
                <w:kern w:val="0"/>
                <w:szCs w:val="21"/>
              </w:rPr>
              <w:t>DA010~DA015</w:t>
            </w:r>
            <w:r>
              <w:rPr>
                <w:szCs w:val="21"/>
              </w:rPr>
              <w:t>纺丝车间油剂废气</w:t>
            </w:r>
          </w:p>
        </w:tc>
        <w:tc>
          <w:tcPr>
            <w:tcW w:w="643" w:type="pct"/>
            <w:tcBorders>
              <w:bottom w:val="single" w:color="auto" w:sz="4" w:space="0"/>
            </w:tcBorders>
            <w:vAlign w:val="center"/>
          </w:tcPr>
          <w:p w14:paraId="446437BC">
            <w:pPr>
              <w:adjustRightInd w:val="0"/>
              <w:snapToGrid w:val="0"/>
              <w:jc w:val="center"/>
              <w:rPr>
                <w:szCs w:val="21"/>
              </w:rPr>
            </w:pPr>
            <w:r>
              <w:rPr>
                <w:szCs w:val="21"/>
              </w:rPr>
              <w:t>非甲烷总烃</w:t>
            </w:r>
          </w:p>
        </w:tc>
        <w:tc>
          <w:tcPr>
            <w:tcW w:w="1205" w:type="pct"/>
            <w:vAlign w:val="center"/>
          </w:tcPr>
          <w:p w14:paraId="53BB0315">
            <w:pPr>
              <w:adjustRightInd w:val="0"/>
              <w:snapToGrid w:val="0"/>
              <w:jc w:val="center"/>
              <w:rPr>
                <w:szCs w:val="21"/>
              </w:rPr>
            </w:pPr>
            <w:r>
              <w:rPr>
                <w:spacing w:val="4"/>
              </w:rPr>
              <w:t>集气抽风装置</w:t>
            </w:r>
            <w:r>
              <w:rPr>
                <w:szCs w:val="21"/>
              </w:rPr>
              <w:t>收集+静电除油</w:t>
            </w:r>
          </w:p>
        </w:tc>
        <w:tc>
          <w:tcPr>
            <w:tcW w:w="1712" w:type="pct"/>
            <w:tcBorders>
              <w:bottom w:val="single" w:color="auto" w:sz="4" w:space="0"/>
            </w:tcBorders>
            <w:vAlign w:val="center"/>
          </w:tcPr>
          <w:p w14:paraId="48722A06">
            <w:pPr>
              <w:adjustRightInd w:val="0"/>
              <w:snapToGrid w:val="0"/>
              <w:jc w:val="center"/>
              <w:rPr>
                <w:szCs w:val="21"/>
              </w:rPr>
            </w:pPr>
            <w:r>
              <w:rPr>
                <w:kern w:val="0"/>
                <w:szCs w:val="21"/>
              </w:rPr>
              <w:t>执行《合成树脂工业污染物排放标准》</w:t>
            </w:r>
            <w:r>
              <w:rPr>
                <w:rFonts w:hint="eastAsia"/>
                <w:kern w:val="0"/>
                <w:szCs w:val="21"/>
              </w:rPr>
              <w:t>及其修改单</w:t>
            </w:r>
            <w:r>
              <w:rPr>
                <w:kern w:val="0"/>
                <w:szCs w:val="21"/>
              </w:rPr>
              <w:t>（GB31572-2015）表5</w:t>
            </w:r>
          </w:p>
        </w:tc>
      </w:tr>
      <w:tr w14:paraId="7E82AA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609" w:type="pct"/>
            <w:vMerge w:val="continue"/>
            <w:vAlign w:val="center"/>
          </w:tcPr>
          <w:p w14:paraId="7B50BE8D">
            <w:pPr>
              <w:adjustRightInd w:val="0"/>
              <w:snapToGrid w:val="0"/>
              <w:jc w:val="center"/>
              <w:rPr>
                <w:szCs w:val="21"/>
              </w:rPr>
            </w:pPr>
          </w:p>
        </w:tc>
        <w:tc>
          <w:tcPr>
            <w:tcW w:w="831" w:type="pct"/>
            <w:tcBorders>
              <w:bottom w:val="single" w:color="auto" w:sz="4" w:space="0"/>
            </w:tcBorders>
            <w:vAlign w:val="center"/>
          </w:tcPr>
          <w:p w14:paraId="63AB30DD">
            <w:pPr>
              <w:adjustRightInd w:val="0"/>
              <w:snapToGrid w:val="0"/>
              <w:jc w:val="center"/>
              <w:rPr>
                <w:szCs w:val="21"/>
              </w:rPr>
            </w:pPr>
            <w:r>
              <w:rPr>
                <w:kern w:val="0"/>
                <w:szCs w:val="21"/>
              </w:rPr>
              <w:t>DA016</w:t>
            </w:r>
            <w:r>
              <w:rPr>
                <w:szCs w:val="21"/>
              </w:rPr>
              <w:t>结晶干燥废气</w:t>
            </w:r>
          </w:p>
        </w:tc>
        <w:tc>
          <w:tcPr>
            <w:tcW w:w="643" w:type="pct"/>
            <w:tcBorders>
              <w:bottom w:val="single" w:color="auto" w:sz="4" w:space="0"/>
            </w:tcBorders>
            <w:vAlign w:val="center"/>
          </w:tcPr>
          <w:p w14:paraId="397E820D">
            <w:pPr>
              <w:adjustRightInd w:val="0"/>
              <w:snapToGrid w:val="0"/>
              <w:jc w:val="center"/>
              <w:rPr>
                <w:szCs w:val="21"/>
              </w:rPr>
            </w:pPr>
            <w:r>
              <w:rPr>
                <w:szCs w:val="21"/>
              </w:rPr>
              <w:t>颗粒物、四氢呋喃</w:t>
            </w:r>
          </w:p>
        </w:tc>
        <w:tc>
          <w:tcPr>
            <w:tcW w:w="1205" w:type="pct"/>
            <w:vAlign w:val="center"/>
          </w:tcPr>
          <w:p w14:paraId="454FF88D">
            <w:pPr>
              <w:adjustRightInd w:val="0"/>
              <w:snapToGrid w:val="0"/>
              <w:jc w:val="center"/>
              <w:rPr>
                <w:szCs w:val="21"/>
              </w:rPr>
            </w:pPr>
            <w:r>
              <w:rPr>
                <w:szCs w:val="21"/>
              </w:rPr>
              <w:t>管道收集+旋风除尘+布袋除尘器</w:t>
            </w:r>
          </w:p>
        </w:tc>
        <w:tc>
          <w:tcPr>
            <w:tcW w:w="1712" w:type="pct"/>
            <w:tcBorders>
              <w:bottom w:val="single" w:color="auto" w:sz="4" w:space="0"/>
            </w:tcBorders>
            <w:vAlign w:val="center"/>
          </w:tcPr>
          <w:p w14:paraId="27FF0C2C">
            <w:pPr>
              <w:adjustRightInd w:val="0"/>
              <w:snapToGrid w:val="0"/>
              <w:jc w:val="center"/>
              <w:rPr>
                <w:szCs w:val="21"/>
              </w:rPr>
            </w:pPr>
            <w:r>
              <w:rPr>
                <w:kern w:val="0"/>
                <w:szCs w:val="21"/>
              </w:rPr>
              <w:t>执行《合成树脂工业污染物排放标准》</w:t>
            </w:r>
            <w:r>
              <w:rPr>
                <w:rFonts w:hint="eastAsia"/>
                <w:kern w:val="0"/>
                <w:szCs w:val="21"/>
              </w:rPr>
              <w:t>及其修改单</w:t>
            </w:r>
            <w:r>
              <w:rPr>
                <w:kern w:val="0"/>
                <w:szCs w:val="21"/>
              </w:rPr>
              <w:t>（GB31572-2015）表5</w:t>
            </w:r>
          </w:p>
        </w:tc>
      </w:tr>
      <w:tr w14:paraId="0109B0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609" w:type="pct"/>
            <w:vMerge w:val="continue"/>
            <w:vAlign w:val="center"/>
          </w:tcPr>
          <w:p w14:paraId="75CF467E">
            <w:pPr>
              <w:adjustRightInd w:val="0"/>
              <w:snapToGrid w:val="0"/>
              <w:jc w:val="center"/>
              <w:rPr>
                <w:szCs w:val="21"/>
              </w:rPr>
            </w:pPr>
          </w:p>
        </w:tc>
        <w:tc>
          <w:tcPr>
            <w:tcW w:w="831" w:type="pct"/>
            <w:tcBorders>
              <w:bottom w:val="single" w:color="auto" w:sz="4" w:space="0"/>
            </w:tcBorders>
            <w:vAlign w:val="center"/>
          </w:tcPr>
          <w:p w14:paraId="2BD04856">
            <w:pPr>
              <w:adjustRightInd w:val="0"/>
              <w:snapToGrid w:val="0"/>
              <w:jc w:val="center"/>
              <w:rPr>
                <w:kern w:val="0"/>
                <w:szCs w:val="21"/>
              </w:rPr>
            </w:pPr>
            <w:r>
              <w:rPr>
                <w:kern w:val="0"/>
                <w:szCs w:val="21"/>
              </w:rPr>
              <w:t>DA017</w:t>
            </w:r>
            <w:r>
              <w:rPr>
                <w:szCs w:val="21"/>
              </w:rPr>
              <w:t>结晶干燥废气</w:t>
            </w:r>
          </w:p>
        </w:tc>
        <w:tc>
          <w:tcPr>
            <w:tcW w:w="643" w:type="pct"/>
            <w:tcBorders>
              <w:bottom w:val="single" w:color="auto" w:sz="4" w:space="0"/>
            </w:tcBorders>
            <w:vAlign w:val="center"/>
          </w:tcPr>
          <w:p w14:paraId="7073C8C1">
            <w:pPr>
              <w:adjustRightInd w:val="0"/>
              <w:snapToGrid w:val="0"/>
              <w:jc w:val="center"/>
              <w:rPr>
                <w:szCs w:val="21"/>
              </w:rPr>
            </w:pPr>
            <w:r>
              <w:rPr>
                <w:szCs w:val="21"/>
              </w:rPr>
              <w:t>颗粒物、氨</w:t>
            </w:r>
          </w:p>
        </w:tc>
        <w:tc>
          <w:tcPr>
            <w:tcW w:w="1205" w:type="pct"/>
            <w:vAlign w:val="center"/>
          </w:tcPr>
          <w:p w14:paraId="24E99930">
            <w:pPr>
              <w:adjustRightInd w:val="0"/>
              <w:snapToGrid w:val="0"/>
              <w:jc w:val="center"/>
              <w:rPr>
                <w:szCs w:val="21"/>
              </w:rPr>
            </w:pPr>
            <w:r>
              <w:rPr>
                <w:szCs w:val="21"/>
              </w:rPr>
              <w:t>管道收集+旋风除尘+布袋除尘器</w:t>
            </w:r>
          </w:p>
        </w:tc>
        <w:tc>
          <w:tcPr>
            <w:tcW w:w="1712" w:type="pct"/>
            <w:tcBorders>
              <w:bottom w:val="single" w:color="auto" w:sz="4" w:space="0"/>
            </w:tcBorders>
            <w:vAlign w:val="center"/>
          </w:tcPr>
          <w:p w14:paraId="30A690B1">
            <w:pPr>
              <w:adjustRightInd w:val="0"/>
              <w:snapToGrid w:val="0"/>
              <w:jc w:val="center"/>
              <w:rPr>
                <w:kern w:val="0"/>
                <w:szCs w:val="21"/>
              </w:rPr>
            </w:pPr>
            <w:r>
              <w:rPr>
                <w:rFonts w:hint="eastAsia"/>
                <w:kern w:val="0"/>
                <w:szCs w:val="21"/>
              </w:rPr>
              <w:t>颗粒物</w:t>
            </w:r>
            <w:r>
              <w:rPr>
                <w:kern w:val="0"/>
                <w:szCs w:val="21"/>
              </w:rPr>
              <w:t>执行《合成树脂工业污染物排放标准》</w:t>
            </w:r>
            <w:r>
              <w:rPr>
                <w:rFonts w:hint="eastAsia"/>
                <w:kern w:val="0"/>
                <w:szCs w:val="21"/>
              </w:rPr>
              <w:t>及其修改单</w:t>
            </w:r>
            <w:r>
              <w:rPr>
                <w:kern w:val="0"/>
                <w:szCs w:val="21"/>
              </w:rPr>
              <w:t>（GB31572-2015）表5</w:t>
            </w:r>
          </w:p>
        </w:tc>
      </w:tr>
      <w:tr w14:paraId="44BCFB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609" w:type="pct"/>
            <w:vMerge w:val="continue"/>
            <w:vAlign w:val="center"/>
          </w:tcPr>
          <w:p w14:paraId="6BBFC65C">
            <w:pPr>
              <w:adjustRightInd w:val="0"/>
              <w:snapToGrid w:val="0"/>
              <w:jc w:val="center"/>
              <w:rPr>
                <w:szCs w:val="21"/>
              </w:rPr>
            </w:pPr>
          </w:p>
        </w:tc>
        <w:tc>
          <w:tcPr>
            <w:tcW w:w="831" w:type="pct"/>
            <w:tcBorders>
              <w:bottom w:val="single" w:color="auto" w:sz="4" w:space="0"/>
            </w:tcBorders>
            <w:vAlign w:val="center"/>
          </w:tcPr>
          <w:p w14:paraId="3729AAD0">
            <w:pPr>
              <w:adjustRightInd w:val="0"/>
              <w:snapToGrid w:val="0"/>
              <w:jc w:val="center"/>
              <w:rPr>
                <w:kern w:val="0"/>
                <w:szCs w:val="21"/>
              </w:rPr>
            </w:pPr>
            <w:r>
              <w:rPr>
                <w:kern w:val="0"/>
                <w:szCs w:val="21"/>
              </w:rPr>
              <w:t>DA018~DA019废丝回收废气</w:t>
            </w:r>
          </w:p>
        </w:tc>
        <w:tc>
          <w:tcPr>
            <w:tcW w:w="643" w:type="pct"/>
            <w:tcBorders>
              <w:bottom w:val="single" w:color="auto" w:sz="4" w:space="0"/>
            </w:tcBorders>
            <w:vAlign w:val="center"/>
          </w:tcPr>
          <w:p w14:paraId="548AC873">
            <w:pPr>
              <w:adjustRightInd w:val="0"/>
              <w:snapToGrid w:val="0"/>
              <w:jc w:val="center"/>
              <w:rPr>
                <w:szCs w:val="21"/>
              </w:rPr>
            </w:pPr>
            <w:r>
              <w:rPr>
                <w:szCs w:val="21"/>
              </w:rPr>
              <w:t>颗粒物、非甲烷总烃</w:t>
            </w:r>
          </w:p>
        </w:tc>
        <w:tc>
          <w:tcPr>
            <w:tcW w:w="1205" w:type="pct"/>
            <w:vAlign w:val="center"/>
          </w:tcPr>
          <w:p w14:paraId="6B38CA47">
            <w:pPr>
              <w:adjustRightInd w:val="0"/>
              <w:snapToGrid w:val="0"/>
              <w:jc w:val="center"/>
              <w:rPr>
                <w:szCs w:val="21"/>
              </w:rPr>
            </w:pPr>
            <w:r>
              <w:rPr>
                <w:szCs w:val="21"/>
              </w:rPr>
              <w:t>管道收集+油烟净化器</w:t>
            </w:r>
          </w:p>
        </w:tc>
        <w:tc>
          <w:tcPr>
            <w:tcW w:w="1712" w:type="pct"/>
            <w:tcBorders>
              <w:bottom w:val="single" w:color="auto" w:sz="4" w:space="0"/>
            </w:tcBorders>
            <w:vAlign w:val="center"/>
          </w:tcPr>
          <w:p w14:paraId="7CB4F236">
            <w:pPr>
              <w:adjustRightInd w:val="0"/>
              <w:snapToGrid w:val="0"/>
              <w:jc w:val="center"/>
              <w:rPr>
                <w:szCs w:val="21"/>
              </w:rPr>
            </w:pPr>
            <w:r>
              <w:rPr>
                <w:szCs w:val="21"/>
              </w:rPr>
              <w:t>颗粒物与非甲烷总烃执行《合成树脂工业污染物排放标准》</w:t>
            </w:r>
            <w:r>
              <w:rPr>
                <w:rFonts w:hint="eastAsia"/>
                <w:szCs w:val="21"/>
              </w:rPr>
              <w:t>及其修改单</w:t>
            </w:r>
            <w:r>
              <w:rPr>
                <w:szCs w:val="21"/>
              </w:rPr>
              <w:t>（GB31572-2015）表5标准</w:t>
            </w:r>
          </w:p>
        </w:tc>
      </w:tr>
      <w:tr w14:paraId="23740B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609" w:type="pct"/>
            <w:vMerge w:val="continue"/>
            <w:tcBorders>
              <w:bottom w:val="single" w:color="auto" w:sz="4" w:space="0"/>
            </w:tcBorders>
            <w:vAlign w:val="center"/>
          </w:tcPr>
          <w:p w14:paraId="210A31E7">
            <w:pPr>
              <w:adjustRightInd w:val="0"/>
              <w:snapToGrid w:val="0"/>
              <w:jc w:val="center"/>
              <w:rPr>
                <w:szCs w:val="21"/>
              </w:rPr>
            </w:pPr>
          </w:p>
        </w:tc>
        <w:tc>
          <w:tcPr>
            <w:tcW w:w="831" w:type="pct"/>
            <w:tcBorders>
              <w:bottom w:val="single" w:color="auto" w:sz="4" w:space="0"/>
            </w:tcBorders>
            <w:vAlign w:val="center"/>
          </w:tcPr>
          <w:p w14:paraId="1F2925D0">
            <w:pPr>
              <w:adjustRightInd w:val="0"/>
              <w:snapToGrid w:val="0"/>
              <w:jc w:val="center"/>
              <w:rPr>
                <w:szCs w:val="21"/>
              </w:rPr>
            </w:pPr>
            <w:r>
              <w:rPr>
                <w:szCs w:val="21"/>
              </w:rPr>
              <w:t>无组织废气</w:t>
            </w:r>
          </w:p>
        </w:tc>
        <w:tc>
          <w:tcPr>
            <w:tcW w:w="643" w:type="pct"/>
            <w:tcBorders>
              <w:bottom w:val="single" w:color="auto" w:sz="4" w:space="0"/>
            </w:tcBorders>
            <w:vAlign w:val="center"/>
          </w:tcPr>
          <w:p w14:paraId="089C6D90">
            <w:pPr>
              <w:adjustRightInd w:val="0"/>
              <w:snapToGrid w:val="0"/>
              <w:jc w:val="center"/>
              <w:rPr>
                <w:szCs w:val="21"/>
              </w:rPr>
            </w:pPr>
            <w:r>
              <w:rPr>
                <w:szCs w:val="21"/>
              </w:rPr>
              <w:t>颗粒物、非甲烷总烃、乙醛、氨</w:t>
            </w:r>
          </w:p>
        </w:tc>
        <w:tc>
          <w:tcPr>
            <w:tcW w:w="1205" w:type="pct"/>
            <w:vAlign w:val="center"/>
          </w:tcPr>
          <w:p w14:paraId="7423EE59">
            <w:pPr>
              <w:adjustRightInd w:val="0"/>
              <w:snapToGrid w:val="0"/>
              <w:jc w:val="center"/>
              <w:rPr>
                <w:szCs w:val="21"/>
              </w:rPr>
            </w:pPr>
            <w:r>
              <w:rPr>
                <w:szCs w:val="21"/>
              </w:rPr>
              <w:t>无组织排放</w:t>
            </w:r>
          </w:p>
        </w:tc>
        <w:tc>
          <w:tcPr>
            <w:tcW w:w="1712" w:type="pct"/>
            <w:tcBorders>
              <w:bottom w:val="single" w:color="auto" w:sz="4" w:space="0"/>
            </w:tcBorders>
            <w:vAlign w:val="center"/>
          </w:tcPr>
          <w:p w14:paraId="217BBFA6">
            <w:pPr>
              <w:adjustRightInd w:val="0"/>
              <w:snapToGrid w:val="0"/>
              <w:jc w:val="center"/>
              <w:rPr>
                <w:szCs w:val="21"/>
              </w:rPr>
            </w:pPr>
            <w:r>
              <w:rPr>
                <w:szCs w:val="21"/>
              </w:rPr>
              <w:t>非甲烷总烃厂内无组织排放监控点浓度执行江苏省《大气污染物综合排放标准》（DB32/4041-2021）中表2排放限值。颗粒物、乙醛厂界无组织</w:t>
            </w:r>
            <w:r>
              <w:rPr>
                <w:kern w:val="0"/>
                <w:szCs w:val="21"/>
              </w:rPr>
              <w:t>执行</w:t>
            </w:r>
            <w:r>
              <w:rPr>
                <w:szCs w:val="21"/>
              </w:rPr>
              <w:t>江苏省《大气污染物综合排放标准》（DB32/4041-2021）中表3标准。非甲烷总烃厂界无组织排放执行</w:t>
            </w:r>
            <w:r>
              <w:rPr>
                <w:kern w:val="0"/>
                <w:szCs w:val="21"/>
              </w:rPr>
              <w:t>《合成树脂工业污染物排放标准》</w:t>
            </w:r>
            <w:r>
              <w:rPr>
                <w:rFonts w:hint="eastAsia"/>
                <w:kern w:val="0"/>
                <w:szCs w:val="21"/>
              </w:rPr>
              <w:t>及其修改单</w:t>
            </w:r>
            <w:r>
              <w:rPr>
                <w:kern w:val="0"/>
                <w:szCs w:val="21"/>
              </w:rPr>
              <w:t>（GB31572-2015）表5标准</w:t>
            </w:r>
            <w:r>
              <w:rPr>
                <w:szCs w:val="21"/>
              </w:rPr>
              <w:t>。氨执行《恶臭污染物排放标准》(GB14554-93)厂界浓度限值。</w:t>
            </w:r>
          </w:p>
        </w:tc>
      </w:tr>
      <w:tr w14:paraId="0F42E4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09" w:type="pct"/>
            <w:vMerge w:val="restart"/>
            <w:vAlign w:val="center"/>
          </w:tcPr>
          <w:p w14:paraId="35F4041E">
            <w:pPr>
              <w:adjustRightInd w:val="0"/>
              <w:snapToGrid w:val="0"/>
              <w:jc w:val="center"/>
              <w:rPr>
                <w:szCs w:val="21"/>
              </w:rPr>
            </w:pPr>
            <w:r>
              <w:rPr>
                <w:szCs w:val="21"/>
              </w:rPr>
              <w:t>地表水环境</w:t>
            </w:r>
          </w:p>
        </w:tc>
        <w:tc>
          <w:tcPr>
            <w:tcW w:w="831" w:type="pct"/>
            <w:vAlign w:val="center"/>
          </w:tcPr>
          <w:p w14:paraId="6D4EC94A">
            <w:pPr>
              <w:adjustRightInd w:val="0"/>
              <w:snapToGrid w:val="0"/>
              <w:jc w:val="center"/>
              <w:rPr>
                <w:szCs w:val="21"/>
              </w:rPr>
            </w:pPr>
            <w:r>
              <w:rPr>
                <w:rFonts w:hint="eastAsia"/>
                <w:szCs w:val="21"/>
              </w:rPr>
              <w:t>依托的</w:t>
            </w:r>
            <w:r>
              <w:rPr>
                <w:szCs w:val="21"/>
              </w:rPr>
              <w:t>芮邦科技污水站外排口</w:t>
            </w:r>
          </w:p>
        </w:tc>
        <w:tc>
          <w:tcPr>
            <w:tcW w:w="643" w:type="pct"/>
            <w:vAlign w:val="center"/>
          </w:tcPr>
          <w:p w14:paraId="028D0649">
            <w:pPr>
              <w:adjustRightInd w:val="0"/>
              <w:snapToGrid w:val="0"/>
              <w:jc w:val="center"/>
              <w:rPr>
                <w:szCs w:val="21"/>
              </w:rPr>
            </w:pPr>
            <w:r>
              <w:rPr>
                <w:szCs w:val="21"/>
              </w:rPr>
              <w:t>COD、SS、NH</w:t>
            </w:r>
            <w:r>
              <w:rPr>
                <w:szCs w:val="21"/>
                <w:vertAlign w:val="subscript"/>
              </w:rPr>
              <w:t>3</w:t>
            </w:r>
            <w:r>
              <w:rPr>
                <w:szCs w:val="21"/>
              </w:rPr>
              <w:t>-N、</w:t>
            </w:r>
            <w:r>
              <w:rPr>
                <w:rFonts w:hint="eastAsia"/>
                <w:szCs w:val="21"/>
              </w:rPr>
              <w:t>TN、</w:t>
            </w:r>
            <w:r>
              <w:rPr>
                <w:szCs w:val="21"/>
              </w:rPr>
              <w:t>TP、</w:t>
            </w:r>
            <w:r>
              <w:rPr>
                <w:rFonts w:hint="eastAsia"/>
                <w:szCs w:val="21"/>
              </w:rPr>
              <w:t>动植物油、</w:t>
            </w:r>
            <w:r>
              <w:rPr>
                <w:szCs w:val="21"/>
              </w:rPr>
              <w:t>总锑</w:t>
            </w:r>
          </w:p>
        </w:tc>
        <w:tc>
          <w:tcPr>
            <w:tcW w:w="1205" w:type="pct"/>
            <w:vMerge w:val="restart"/>
            <w:vAlign w:val="center"/>
          </w:tcPr>
          <w:p w14:paraId="7736CF4B">
            <w:pPr>
              <w:adjustRightInd w:val="0"/>
              <w:snapToGrid w:val="0"/>
              <w:jc w:val="center"/>
              <w:rPr>
                <w:szCs w:val="21"/>
              </w:rPr>
            </w:pPr>
            <w:r>
              <w:t>生产废水、生活废水经</w:t>
            </w:r>
            <w:r>
              <w:rPr>
                <w:bCs/>
              </w:rPr>
              <w:t>分类收集后</w:t>
            </w:r>
            <w:r>
              <w:rPr>
                <w:rFonts w:hint="eastAsia"/>
                <w:bCs/>
              </w:rPr>
              <w:t>管道输</w:t>
            </w:r>
            <w:r>
              <w:rPr>
                <w:bCs/>
              </w:rPr>
              <w:t>送至江苏芮邦科技有限公司厂区污水站分质预处理后各股废水分质</w:t>
            </w:r>
            <w:r>
              <w:rPr>
                <w:rFonts w:hint="eastAsia"/>
                <w:bCs/>
              </w:rPr>
              <w:t>管道输</w:t>
            </w:r>
            <w:r>
              <w:rPr>
                <w:bCs/>
              </w:rPr>
              <w:t>送至污水站混合调节池混合后，采用“活性污泥+兼氧好氧”的好氧生化处理工艺和“陶粒过滤+活性炭过滤+精密过滤+反渗透”中水回用深度处理工艺，活性炭过滤器出水中的40%和反渗透淡水在清水池内混合后作为中水回用，中水回用率为80%，反渗透浓水（占比20%）进入除锑系统处理达标后排入市政管网由</w:t>
            </w:r>
            <w:r>
              <w:rPr>
                <w:szCs w:val="28"/>
              </w:rPr>
              <w:t>泗阳高新区污水处理厂（一期）</w:t>
            </w:r>
            <w:r>
              <w:rPr>
                <w:bCs/>
              </w:rPr>
              <w:t>集中处理</w:t>
            </w:r>
          </w:p>
        </w:tc>
        <w:tc>
          <w:tcPr>
            <w:tcW w:w="1712" w:type="pct"/>
            <w:vAlign w:val="center"/>
          </w:tcPr>
          <w:p w14:paraId="0CBB79F8">
            <w:pPr>
              <w:adjustRightInd w:val="0"/>
              <w:snapToGrid w:val="0"/>
              <w:jc w:val="center"/>
              <w:rPr>
                <w:szCs w:val="21"/>
              </w:rPr>
            </w:pPr>
            <w:r>
              <w:rPr>
                <w:szCs w:val="28"/>
              </w:rPr>
              <w:t>泗阳高新区污水处理厂（一期）</w:t>
            </w:r>
            <w:r>
              <w:rPr>
                <w:bCs/>
              </w:rPr>
              <w:t>接管标准</w:t>
            </w:r>
          </w:p>
        </w:tc>
      </w:tr>
      <w:tr w14:paraId="3341DC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09" w:type="pct"/>
            <w:vMerge w:val="continue"/>
            <w:vAlign w:val="center"/>
          </w:tcPr>
          <w:p w14:paraId="14359E74">
            <w:pPr>
              <w:adjustRightInd w:val="0"/>
              <w:snapToGrid w:val="0"/>
              <w:jc w:val="center"/>
              <w:rPr>
                <w:szCs w:val="21"/>
              </w:rPr>
            </w:pPr>
          </w:p>
        </w:tc>
        <w:tc>
          <w:tcPr>
            <w:tcW w:w="831" w:type="pct"/>
            <w:vAlign w:val="center"/>
          </w:tcPr>
          <w:p w14:paraId="680C75EB">
            <w:pPr>
              <w:adjustRightInd w:val="0"/>
              <w:snapToGrid w:val="0"/>
              <w:jc w:val="center"/>
              <w:rPr>
                <w:szCs w:val="21"/>
              </w:rPr>
            </w:pPr>
            <w:r>
              <w:rPr>
                <w:szCs w:val="21"/>
              </w:rPr>
              <w:t>芮邦科技中水清水池</w:t>
            </w:r>
          </w:p>
        </w:tc>
        <w:tc>
          <w:tcPr>
            <w:tcW w:w="643" w:type="pct"/>
            <w:vAlign w:val="center"/>
          </w:tcPr>
          <w:p w14:paraId="4114B7E6">
            <w:pPr>
              <w:adjustRightInd w:val="0"/>
              <w:snapToGrid w:val="0"/>
              <w:jc w:val="center"/>
              <w:rPr>
                <w:szCs w:val="21"/>
              </w:rPr>
            </w:pPr>
            <w:r>
              <w:rPr>
                <w:szCs w:val="21"/>
              </w:rPr>
              <w:t>COD、SS、氨氮、总磷、石油类、溶解性总固体</w:t>
            </w:r>
          </w:p>
        </w:tc>
        <w:tc>
          <w:tcPr>
            <w:tcW w:w="1205" w:type="pct"/>
            <w:vMerge w:val="continue"/>
            <w:vAlign w:val="center"/>
          </w:tcPr>
          <w:p w14:paraId="52DFD23D">
            <w:pPr>
              <w:adjustRightInd w:val="0"/>
              <w:snapToGrid w:val="0"/>
              <w:jc w:val="center"/>
              <w:rPr>
                <w:szCs w:val="21"/>
              </w:rPr>
            </w:pPr>
          </w:p>
        </w:tc>
        <w:tc>
          <w:tcPr>
            <w:tcW w:w="1712" w:type="pct"/>
            <w:vAlign w:val="center"/>
          </w:tcPr>
          <w:p w14:paraId="6F914646">
            <w:pPr>
              <w:adjustRightInd w:val="0"/>
              <w:snapToGrid w:val="0"/>
              <w:jc w:val="center"/>
              <w:rPr>
                <w:bCs/>
              </w:rPr>
            </w:pPr>
            <w:r>
              <w:rPr>
                <w:bCs/>
              </w:rPr>
              <w:t>反渗透淡水执行《城市污水再生利用 工业用水水质》（GB/T 19923-20</w:t>
            </w:r>
            <w:r>
              <w:t>24</w:t>
            </w:r>
            <w:r>
              <w:rPr>
                <w:bCs/>
              </w:rPr>
              <w:t>）表1标准</w:t>
            </w:r>
          </w:p>
        </w:tc>
      </w:tr>
      <w:tr w14:paraId="7F4ABD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09" w:type="pct"/>
            <w:vAlign w:val="center"/>
          </w:tcPr>
          <w:p w14:paraId="00BA9178">
            <w:pPr>
              <w:adjustRightInd w:val="0"/>
              <w:snapToGrid w:val="0"/>
              <w:jc w:val="center"/>
              <w:rPr>
                <w:szCs w:val="21"/>
              </w:rPr>
            </w:pPr>
            <w:r>
              <w:rPr>
                <w:szCs w:val="21"/>
              </w:rPr>
              <w:t>声环境</w:t>
            </w:r>
          </w:p>
        </w:tc>
        <w:tc>
          <w:tcPr>
            <w:tcW w:w="831" w:type="pct"/>
            <w:vAlign w:val="center"/>
          </w:tcPr>
          <w:p w14:paraId="106B4ECF">
            <w:pPr>
              <w:adjustRightInd w:val="0"/>
              <w:snapToGrid w:val="0"/>
              <w:jc w:val="center"/>
              <w:rPr>
                <w:szCs w:val="21"/>
              </w:rPr>
            </w:pPr>
            <w:r>
              <w:rPr>
                <w:szCs w:val="21"/>
              </w:rPr>
              <w:t>厂界</w:t>
            </w:r>
          </w:p>
        </w:tc>
        <w:tc>
          <w:tcPr>
            <w:tcW w:w="643" w:type="pct"/>
            <w:vAlign w:val="center"/>
          </w:tcPr>
          <w:p w14:paraId="7FBB2719">
            <w:pPr>
              <w:adjustRightInd w:val="0"/>
              <w:snapToGrid w:val="0"/>
              <w:jc w:val="center"/>
              <w:rPr>
                <w:szCs w:val="21"/>
              </w:rPr>
            </w:pPr>
            <w:r>
              <w:rPr>
                <w:szCs w:val="21"/>
              </w:rPr>
              <w:t>噪声</w:t>
            </w:r>
          </w:p>
        </w:tc>
        <w:tc>
          <w:tcPr>
            <w:tcW w:w="1205" w:type="pct"/>
            <w:vAlign w:val="center"/>
          </w:tcPr>
          <w:p w14:paraId="49D7F5DC">
            <w:pPr>
              <w:adjustRightInd w:val="0"/>
              <w:snapToGrid w:val="0"/>
              <w:jc w:val="center"/>
              <w:rPr>
                <w:szCs w:val="21"/>
              </w:rPr>
            </w:pPr>
            <w:r>
              <w:rPr>
                <w:szCs w:val="21"/>
              </w:rPr>
              <w:t>优先选用低噪声设备、加强设备维护保养、墙体隔声、减震基础等</w:t>
            </w:r>
          </w:p>
        </w:tc>
        <w:tc>
          <w:tcPr>
            <w:tcW w:w="1712" w:type="pct"/>
            <w:vAlign w:val="center"/>
          </w:tcPr>
          <w:p w14:paraId="7CFFE03F">
            <w:pPr>
              <w:adjustRightInd w:val="0"/>
              <w:snapToGrid w:val="0"/>
              <w:jc w:val="center"/>
              <w:rPr>
                <w:szCs w:val="21"/>
              </w:rPr>
            </w:pPr>
            <w:r>
              <w:rPr>
                <w:szCs w:val="21"/>
              </w:rPr>
              <w:t>《工业企业厂界环境噪声排放标准》（GB12348-2008）3类标准</w:t>
            </w:r>
          </w:p>
        </w:tc>
      </w:tr>
      <w:tr w14:paraId="0B35E7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09" w:type="pct"/>
            <w:vAlign w:val="center"/>
          </w:tcPr>
          <w:p w14:paraId="714A7372">
            <w:pPr>
              <w:adjustRightInd w:val="0"/>
              <w:snapToGrid w:val="0"/>
              <w:jc w:val="center"/>
              <w:rPr>
                <w:szCs w:val="21"/>
              </w:rPr>
            </w:pPr>
            <w:r>
              <w:rPr>
                <w:szCs w:val="21"/>
              </w:rPr>
              <w:t>电磁辐射</w:t>
            </w:r>
          </w:p>
        </w:tc>
        <w:tc>
          <w:tcPr>
            <w:tcW w:w="831" w:type="pct"/>
            <w:vAlign w:val="center"/>
          </w:tcPr>
          <w:p w14:paraId="503BD5B9">
            <w:pPr>
              <w:adjustRightInd w:val="0"/>
              <w:snapToGrid w:val="0"/>
              <w:jc w:val="center"/>
              <w:rPr>
                <w:szCs w:val="21"/>
              </w:rPr>
            </w:pPr>
            <w:r>
              <w:rPr>
                <w:szCs w:val="21"/>
              </w:rPr>
              <w:t>/</w:t>
            </w:r>
          </w:p>
        </w:tc>
        <w:tc>
          <w:tcPr>
            <w:tcW w:w="643" w:type="pct"/>
            <w:vAlign w:val="center"/>
          </w:tcPr>
          <w:p w14:paraId="2282F70C">
            <w:pPr>
              <w:adjustRightInd w:val="0"/>
              <w:snapToGrid w:val="0"/>
              <w:jc w:val="center"/>
              <w:rPr>
                <w:szCs w:val="21"/>
              </w:rPr>
            </w:pPr>
            <w:r>
              <w:rPr>
                <w:szCs w:val="21"/>
              </w:rPr>
              <w:t>/</w:t>
            </w:r>
          </w:p>
        </w:tc>
        <w:tc>
          <w:tcPr>
            <w:tcW w:w="1205" w:type="pct"/>
            <w:vAlign w:val="center"/>
          </w:tcPr>
          <w:p w14:paraId="154C3CDC">
            <w:pPr>
              <w:adjustRightInd w:val="0"/>
              <w:snapToGrid w:val="0"/>
              <w:jc w:val="center"/>
              <w:rPr>
                <w:szCs w:val="21"/>
              </w:rPr>
            </w:pPr>
            <w:r>
              <w:rPr>
                <w:szCs w:val="21"/>
              </w:rPr>
              <w:t>/</w:t>
            </w:r>
          </w:p>
        </w:tc>
        <w:tc>
          <w:tcPr>
            <w:tcW w:w="1712" w:type="pct"/>
            <w:vAlign w:val="center"/>
          </w:tcPr>
          <w:p w14:paraId="28C791ED">
            <w:pPr>
              <w:adjustRightInd w:val="0"/>
              <w:snapToGrid w:val="0"/>
              <w:jc w:val="center"/>
              <w:rPr>
                <w:szCs w:val="21"/>
              </w:rPr>
            </w:pPr>
            <w:r>
              <w:rPr>
                <w:szCs w:val="21"/>
              </w:rPr>
              <w:t>/</w:t>
            </w:r>
          </w:p>
        </w:tc>
      </w:tr>
      <w:tr w14:paraId="3B0047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09" w:type="pct"/>
            <w:vAlign w:val="center"/>
          </w:tcPr>
          <w:p w14:paraId="2E100742">
            <w:pPr>
              <w:adjustRightInd w:val="0"/>
              <w:snapToGrid w:val="0"/>
              <w:jc w:val="center"/>
              <w:rPr>
                <w:szCs w:val="21"/>
              </w:rPr>
            </w:pPr>
            <w:r>
              <w:rPr>
                <w:szCs w:val="21"/>
              </w:rPr>
              <w:t>固体废物</w:t>
            </w:r>
          </w:p>
        </w:tc>
        <w:tc>
          <w:tcPr>
            <w:tcW w:w="4391" w:type="pct"/>
            <w:gridSpan w:val="4"/>
            <w:vAlign w:val="center"/>
          </w:tcPr>
          <w:p w14:paraId="37F3285F">
            <w:pPr>
              <w:adjustRightInd w:val="0"/>
              <w:snapToGrid w:val="0"/>
              <w:jc w:val="left"/>
              <w:rPr>
                <w:szCs w:val="21"/>
              </w:rPr>
            </w:pPr>
            <w:r>
              <w:rPr>
                <w:szCs w:val="21"/>
              </w:rPr>
              <w:t>1.本项目一般工业固废为</w:t>
            </w:r>
            <w:r>
              <w:rPr>
                <w:kern w:val="0"/>
                <w:szCs w:val="21"/>
              </w:rPr>
              <w:t>废无油丝</w:t>
            </w:r>
            <w:r>
              <w:rPr>
                <w:szCs w:val="21"/>
              </w:rPr>
              <w:t>、</w:t>
            </w:r>
            <w:r>
              <w:rPr>
                <w:kern w:val="0"/>
                <w:szCs w:val="21"/>
              </w:rPr>
              <w:t>废含油丝、</w:t>
            </w:r>
            <w:r>
              <w:rPr>
                <w:rFonts w:eastAsiaTheme="majorEastAsia"/>
                <w:kern w:val="0"/>
                <w:szCs w:val="21"/>
              </w:rPr>
              <w:t>杂质废料、摩擦料、废布袋</w:t>
            </w:r>
            <w:r>
              <w:rPr>
                <w:szCs w:val="21"/>
              </w:rPr>
              <w:t>，</w:t>
            </w:r>
            <w:r>
              <w:rPr>
                <w:kern w:val="0"/>
                <w:szCs w:val="21"/>
              </w:rPr>
              <w:t>废无油丝</w:t>
            </w:r>
            <w:r>
              <w:rPr>
                <w:szCs w:val="21"/>
              </w:rPr>
              <w:t>与</w:t>
            </w:r>
            <w:r>
              <w:rPr>
                <w:kern w:val="0"/>
                <w:szCs w:val="21"/>
              </w:rPr>
              <w:t>废含油丝</w:t>
            </w:r>
            <w:r>
              <w:rPr>
                <w:szCs w:val="21"/>
              </w:rPr>
              <w:t>厂内回收利用</w:t>
            </w:r>
            <w:r>
              <w:rPr>
                <w:kern w:val="0"/>
                <w:szCs w:val="21"/>
              </w:rPr>
              <w:t>或外售综合利用，</w:t>
            </w:r>
            <w:r>
              <w:rPr>
                <w:rFonts w:eastAsiaTheme="majorEastAsia"/>
                <w:kern w:val="0"/>
                <w:szCs w:val="21"/>
              </w:rPr>
              <w:t>杂质废料、摩擦料、废布袋</w:t>
            </w:r>
            <w:r>
              <w:rPr>
                <w:kern w:val="0"/>
                <w:szCs w:val="21"/>
              </w:rPr>
              <w:t>外售综合利用</w:t>
            </w:r>
            <w:r>
              <w:rPr>
                <w:szCs w:val="21"/>
              </w:rPr>
              <w:t>。</w:t>
            </w:r>
          </w:p>
          <w:p w14:paraId="0660A399">
            <w:pPr>
              <w:adjustRightInd w:val="0"/>
              <w:snapToGrid w:val="0"/>
              <w:jc w:val="left"/>
              <w:rPr>
                <w:szCs w:val="21"/>
              </w:rPr>
            </w:pPr>
            <w:r>
              <w:rPr>
                <w:szCs w:val="21"/>
              </w:rPr>
              <w:t>2.危险废物：项目危险废物为废纺丝油剂、废油、废润滑油脂、废有机溶剂、废碱、</w:t>
            </w:r>
            <w:r>
              <w:rPr>
                <w:kern w:val="0"/>
                <w:szCs w:val="21"/>
              </w:rPr>
              <w:t>废包装桶（瓶）、油泥</w:t>
            </w:r>
            <w:r>
              <w:rPr>
                <w:szCs w:val="21"/>
              </w:rPr>
              <w:t>，收集后暂存于危废库，委托有资质单位</w:t>
            </w:r>
            <w:r>
              <w:rPr>
                <w:rFonts w:hint="eastAsia"/>
                <w:szCs w:val="21"/>
              </w:rPr>
              <w:t>安全</w:t>
            </w:r>
            <w:r>
              <w:rPr>
                <w:szCs w:val="21"/>
              </w:rPr>
              <w:t>处置。</w:t>
            </w:r>
          </w:p>
          <w:p w14:paraId="4470EB50">
            <w:pPr>
              <w:pStyle w:val="56"/>
              <w:rPr>
                <w:rFonts w:ascii="Times New Roman" w:cs="Times New Roman"/>
                <w:color w:val="auto"/>
                <w:sz w:val="21"/>
                <w:szCs w:val="21"/>
              </w:rPr>
            </w:pPr>
            <w:r>
              <w:rPr>
                <w:rFonts w:ascii="Times New Roman" w:cs="Times New Roman"/>
                <w:color w:val="auto"/>
                <w:kern w:val="2"/>
                <w:sz w:val="21"/>
                <w:szCs w:val="21"/>
              </w:rPr>
              <w:t>3.生活垃圾：由环卫部门统一清运。</w:t>
            </w:r>
          </w:p>
        </w:tc>
      </w:tr>
      <w:tr w14:paraId="003AF1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609" w:type="pct"/>
            <w:vAlign w:val="center"/>
          </w:tcPr>
          <w:p w14:paraId="14D2918E">
            <w:pPr>
              <w:adjustRightInd w:val="0"/>
              <w:snapToGrid w:val="0"/>
              <w:jc w:val="center"/>
              <w:rPr>
                <w:szCs w:val="21"/>
              </w:rPr>
            </w:pPr>
            <w:r>
              <w:rPr>
                <w:szCs w:val="21"/>
              </w:rPr>
              <w:t>土壤及地下水污染防治措施</w:t>
            </w:r>
          </w:p>
        </w:tc>
        <w:tc>
          <w:tcPr>
            <w:tcW w:w="4391" w:type="pct"/>
            <w:gridSpan w:val="4"/>
            <w:vAlign w:val="center"/>
          </w:tcPr>
          <w:p w14:paraId="6D26B000">
            <w:pPr>
              <w:adjustRightInd w:val="0"/>
              <w:snapToGrid w:val="0"/>
              <w:rPr>
                <w:szCs w:val="21"/>
              </w:rPr>
            </w:pPr>
            <w:r>
              <w:rPr>
                <w:szCs w:val="21"/>
              </w:rPr>
              <w:t>纺丝车间2、新增乙二醇储罐</w:t>
            </w:r>
            <w:r>
              <w:rPr>
                <w:rFonts w:hint="eastAsia"/>
                <w:szCs w:val="21"/>
              </w:rPr>
              <w:t>基础</w:t>
            </w:r>
            <w:r>
              <w:rPr>
                <w:szCs w:val="21"/>
              </w:rPr>
              <w:t>、依托危化库、初期雨水池、化验中心、危废暂存库等进行重点防渗，等效黏土防渗层Mb≥6.0m，K≤1×10</w:t>
            </w:r>
            <w:r>
              <w:rPr>
                <w:szCs w:val="21"/>
                <w:vertAlign w:val="superscript"/>
              </w:rPr>
              <w:t>-7</w:t>
            </w:r>
            <w:r>
              <w:rPr>
                <w:szCs w:val="21"/>
              </w:rPr>
              <w:t>cm/s；或参照GB18598执行。</w:t>
            </w:r>
            <w:bookmarkStart w:id="51" w:name="OLE_LINK11"/>
            <w:r>
              <w:rPr>
                <w:szCs w:val="21"/>
              </w:rPr>
              <w:t>依托的原料仓库、成品仓库、事故水池、</w:t>
            </w:r>
            <w:bookmarkEnd w:id="51"/>
            <w:r>
              <w:rPr>
                <w:szCs w:val="21"/>
              </w:rPr>
              <w:t>乙二醇罐区地面等进行一般防渗，等效黏土防渗层Mb≥1.5m，K≤1×10</w:t>
            </w:r>
            <w:r>
              <w:rPr>
                <w:szCs w:val="21"/>
                <w:vertAlign w:val="superscript"/>
              </w:rPr>
              <w:t>-7</w:t>
            </w:r>
            <w:r>
              <w:rPr>
                <w:szCs w:val="21"/>
              </w:rPr>
              <w:t>cm/s；或参照GB16889执行。</w:t>
            </w:r>
          </w:p>
        </w:tc>
      </w:tr>
      <w:tr w14:paraId="131B2F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09" w:type="pct"/>
            <w:vAlign w:val="center"/>
          </w:tcPr>
          <w:p w14:paraId="705A29D8">
            <w:pPr>
              <w:adjustRightInd w:val="0"/>
              <w:snapToGrid w:val="0"/>
              <w:jc w:val="center"/>
              <w:rPr>
                <w:szCs w:val="21"/>
              </w:rPr>
            </w:pPr>
            <w:r>
              <w:rPr>
                <w:szCs w:val="21"/>
              </w:rPr>
              <w:t>生态保护措施</w:t>
            </w:r>
          </w:p>
        </w:tc>
        <w:tc>
          <w:tcPr>
            <w:tcW w:w="4391" w:type="pct"/>
            <w:gridSpan w:val="4"/>
            <w:vAlign w:val="center"/>
          </w:tcPr>
          <w:p w14:paraId="4E043968">
            <w:pPr>
              <w:adjustRightInd w:val="0"/>
              <w:snapToGrid w:val="0"/>
              <w:jc w:val="left"/>
              <w:rPr>
                <w:szCs w:val="21"/>
              </w:rPr>
            </w:pPr>
            <w:r>
              <w:rPr>
                <w:szCs w:val="21"/>
              </w:rPr>
              <w:t>通过植树种草等绿化措施，改善生态环境。</w:t>
            </w:r>
          </w:p>
        </w:tc>
      </w:tr>
      <w:tr w14:paraId="3DD4D7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09" w:type="pct"/>
            <w:vAlign w:val="center"/>
          </w:tcPr>
          <w:p w14:paraId="14F0E712">
            <w:pPr>
              <w:adjustRightInd w:val="0"/>
              <w:snapToGrid w:val="0"/>
              <w:jc w:val="center"/>
              <w:rPr>
                <w:spacing w:val="-8"/>
                <w:szCs w:val="21"/>
              </w:rPr>
            </w:pPr>
            <w:r>
              <w:rPr>
                <w:spacing w:val="-8"/>
                <w:szCs w:val="21"/>
              </w:rPr>
              <w:t>环境风险</w:t>
            </w:r>
          </w:p>
          <w:p w14:paraId="78DD6D2F">
            <w:pPr>
              <w:adjustRightInd w:val="0"/>
              <w:snapToGrid w:val="0"/>
              <w:jc w:val="center"/>
              <w:rPr>
                <w:spacing w:val="-8"/>
                <w:szCs w:val="21"/>
              </w:rPr>
            </w:pPr>
            <w:r>
              <w:rPr>
                <w:spacing w:val="-8"/>
                <w:szCs w:val="21"/>
              </w:rPr>
              <w:t>防范措施</w:t>
            </w:r>
          </w:p>
        </w:tc>
        <w:tc>
          <w:tcPr>
            <w:tcW w:w="4391" w:type="pct"/>
            <w:gridSpan w:val="4"/>
            <w:vAlign w:val="center"/>
          </w:tcPr>
          <w:p w14:paraId="61B2A77F">
            <w:pPr>
              <w:adjustRightInd w:val="0"/>
              <w:snapToGrid w:val="0"/>
              <w:rPr>
                <w:szCs w:val="21"/>
              </w:rPr>
            </w:pPr>
            <w:r>
              <w:rPr>
                <w:rFonts w:ascii="Cambria Math" w:hAnsi="Cambria Math" w:cs="Cambria Math"/>
                <w:szCs w:val="21"/>
              </w:rPr>
              <w:t>①</w:t>
            </w:r>
            <w:r>
              <w:rPr>
                <w:szCs w:val="21"/>
              </w:rPr>
              <w:t>生产过程遵守安全技术规程。</w:t>
            </w:r>
          </w:p>
          <w:p w14:paraId="1DD0A40E">
            <w:pPr>
              <w:adjustRightInd w:val="0"/>
              <w:snapToGrid w:val="0"/>
              <w:rPr>
                <w:szCs w:val="21"/>
              </w:rPr>
            </w:pPr>
            <w:r>
              <w:rPr>
                <w:rFonts w:ascii="Cambria Math" w:hAnsi="Cambria Math" w:cs="Cambria Math"/>
                <w:szCs w:val="21"/>
              </w:rPr>
              <w:t>②</w:t>
            </w:r>
            <w:r>
              <w:rPr>
                <w:szCs w:val="21"/>
              </w:rPr>
              <w:t>车间地面采取硬化防渗措施。</w:t>
            </w:r>
          </w:p>
          <w:p w14:paraId="68327CA8">
            <w:pPr>
              <w:adjustRightInd w:val="0"/>
              <w:snapToGrid w:val="0"/>
              <w:rPr>
                <w:szCs w:val="21"/>
              </w:rPr>
            </w:pPr>
            <w:r>
              <w:rPr>
                <w:rFonts w:ascii="Cambria Math" w:hAnsi="Cambria Math" w:cs="Cambria Math"/>
                <w:szCs w:val="21"/>
              </w:rPr>
              <w:t>③</w:t>
            </w:r>
            <w:r>
              <w:rPr>
                <w:szCs w:val="21"/>
              </w:rPr>
              <w:t>危废暂存库安装有危险废物警告标志，配套灭火器等消防设施。</w:t>
            </w:r>
          </w:p>
          <w:p w14:paraId="73E5357C">
            <w:pPr>
              <w:adjustRightInd w:val="0"/>
              <w:snapToGrid w:val="0"/>
              <w:rPr>
                <w:szCs w:val="21"/>
              </w:rPr>
            </w:pPr>
            <w:r>
              <w:rPr>
                <w:rFonts w:ascii="Cambria Math" w:hAnsi="Cambria Math" w:cs="Cambria Math"/>
                <w:szCs w:val="21"/>
              </w:rPr>
              <w:t>④</w:t>
            </w:r>
            <w:r>
              <w:rPr>
                <w:szCs w:val="21"/>
              </w:rPr>
              <w:t>危废暂存库按照《危险废物贮存污染控制标准》（GB18597-2023）及相关要求对地面采取防渗硬化措施，并设置收集槽和收集沟。</w:t>
            </w:r>
          </w:p>
          <w:p w14:paraId="3B41CAF0">
            <w:pPr>
              <w:adjustRightInd w:val="0"/>
              <w:snapToGrid w:val="0"/>
              <w:rPr>
                <w:szCs w:val="21"/>
              </w:rPr>
            </w:pPr>
            <w:r>
              <w:rPr>
                <w:rFonts w:ascii="Cambria Math" w:hAnsi="Cambria Math" w:cs="Cambria Math"/>
                <w:szCs w:val="21"/>
              </w:rPr>
              <w:t>⑤</w:t>
            </w:r>
            <w:r>
              <w:rPr>
                <w:szCs w:val="21"/>
              </w:rPr>
              <w:t>贮存点设置门锁，以免闲杂人等进入。危险废物定期清运，分别委托有资质的单位统一</w:t>
            </w:r>
            <w:r>
              <w:rPr>
                <w:rFonts w:hint="eastAsia"/>
                <w:szCs w:val="21"/>
              </w:rPr>
              <w:t>安全</w:t>
            </w:r>
            <w:r>
              <w:rPr>
                <w:szCs w:val="21"/>
              </w:rPr>
              <w:t>处置，对危险废物的全过程管理定期报生态环境管理部门备查。</w:t>
            </w:r>
          </w:p>
          <w:p w14:paraId="66131A73">
            <w:pPr>
              <w:adjustRightInd w:val="0"/>
              <w:snapToGrid w:val="0"/>
              <w:rPr>
                <w:szCs w:val="21"/>
              </w:rPr>
            </w:pPr>
            <w:r>
              <w:rPr>
                <w:rFonts w:ascii="Cambria Math" w:hAnsi="Cambria Math" w:cs="Cambria Math"/>
                <w:szCs w:val="21"/>
              </w:rPr>
              <w:t>⑥</w:t>
            </w:r>
            <w:bookmarkStart w:id="52" w:name="OLE_LINK32"/>
            <w:r>
              <w:rPr>
                <w:szCs w:val="21"/>
              </w:rPr>
              <w:t>严格按照防雷和防静电等安全设计要求对项目有机废气收集系统进行设计和施工，采取有效措施防止电气线路和电气设施在开关断开、接触不良、短路、漏电时产生火花，防止静电放电火花；采取防雷接地措施，防止雷电放电火花。</w:t>
            </w:r>
            <w:r>
              <w:rPr>
                <w:rFonts w:hint="eastAsia"/>
                <w:szCs w:val="21"/>
              </w:rPr>
              <w:t>严格按照《关于做好生态环境和应急管理部门联动工作的意见》（苏环办〔2020〕101号），开展安全风险辨识管控，要健全内部污染防治设施稳定运行和管理责任制度，严格依据标准规范建设环境治理设施，确保环境治理设施安全、稳定、有效运行。</w:t>
            </w:r>
            <w:bookmarkEnd w:id="52"/>
          </w:p>
          <w:p w14:paraId="7D68F03A">
            <w:pPr>
              <w:adjustRightInd w:val="0"/>
              <w:snapToGrid w:val="0"/>
              <w:rPr>
                <w:szCs w:val="21"/>
              </w:rPr>
            </w:pPr>
            <w:r>
              <w:rPr>
                <w:rFonts w:ascii="Cambria Math" w:hAnsi="Cambria Math" w:cs="Cambria Math"/>
                <w:szCs w:val="21"/>
              </w:rPr>
              <w:t>⑦</w:t>
            </w:r>
            <w:r>
              <w:rPr>
                <w:szCs w:val="21"/>
              </w:rPr>
              <w:t>每班员工对废气处理设施及管道进行巡查、观测；定期检查废气处理设施的处理情况，发现故障及时维修等。原料桶不得露天堆放，储存于阴凉通风仓间内。搬运时轻装轻卸，防止原料桶破损或倾倒。划定禁火区，在明显地点设有警示标志，输配电线、灯具、火灾事故照明和疏散指示标志均应符合安全要求；严禁未安装灭火装置的车辆出入生产装置区。</w:t>
            </w:r>
          </w:p>
        </w:tc>
      </w:tr>
      <w:tr w14:paraId="4FB716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609" w:type="pct"/>
            <w:vAlign w:val="center"/>
          </w:tcPr>
          <w:p w14:paraId="29579D40">
            <w:pPr>
              <w:adjustRightInd w:val="0"/>
              <w:snapToGrid w:val="0"/>
              <w:jc w:val="center"/>
              <w:rPr>
                <w:spacing w:val="-8"/>
                <w:szCs w:val="21"/>
              </w:rPr>
            </w:pPr>
            <w:r>
              <w:rPr>
                <w:spacing w:val="-8"/>
                <w:szCs w:val="21"/>
              </w:rPr>
              <w:t>其他环境</w:t>
            </w:r>
          </w:p>
          <w:p w14:paraId="21386124">
            <w:pPr>
              <w:adjustRightInd w:val="0"/>
              <w:snapToGrid w:val="0"/>
              <w:jc w:val="center"/>
              <w:rPr>
                <w:spacing w:val="-8"/>
                <w:szCs w:val="21"/>
              </w:rPr>
            </w:pPr>
            <w:r>
              <w:rPr>
                <w:spacing w:val="-8"/>
                <w:szCs w:val="21"/>
              </w:rPr>
              <w:t>管理要求</w:t>
            </w:r>
          </w:p>
        </w:tc>
        <w:tc>
          <w:tcPr>
            <w:tcW w:w="4391" w:type="pct"/>
            <w:gridSpan w:val="4"/>
            <w:vAlign w:val="center"/>
          </w:tcPr>
          <w:p w14:paraId="0AF36119">
            <w:pPr>
              <w:adjustRightInd w:val="0"/>
              <w:snapToGrid w:val="0"/>
              <w:jc w:val="left"/>
              <w:rPr>
                <w:szCs w:val="21"/>
              </w:rPr>
            </w:pPr>
            <w:r>
              <w:rPr>
                <w:rFonts w:ascii="Cambria Math" w:hAnsi="Cambria Math" w:cs="Cambria Math"/>
                <w:szCs w:val="21"/>
              </w:rPr>
              <w:t>①</w:t>
            </w:r>
            <w:r>
              <w:rPr>
                <w:szCs w:val="21"/>
              </w:rPr>
              <w:t>固废监测数据所有记录均由专人建档保管。</w:t>
            </w:r>
          </w:p>
          <w:p w14:paraId="35E0A658">
            <w:pPr>
              <w:adjustRightInd w:val="0"/>
              <w:snapToGrid w:val="0"/>
              <w:jc w:val="left"/>
              <w:rPr>
                <w:szCs w:val="21"/>
              </w:rPr>
            </w:pPr>
            <w:r>
              <w:rPr>
                <w:rFonts w:ascii="Cambria Math" w:hAnsi="Cambria Math" w:cs="Cambria Math"/>
                <w:szCs w:val="21"/>
              </w:rPr>
              <w:t>②</w:t>
            </w:r>
            <w:r>
              <w:rPr>
                <w:szCs w:val="21"/>
              </w:rPr>
              <w:t>记录形式：电子台账+纸质台账。</w:t>
            </w:r>
          </w:p>
          <w:p w14:paraId="065A4288">
            <w:pPr>
              <w:adjustRightInd w:val="0"/>
              <w:snapToGrid w:val="0"/>
              <w:jc w:val="left"/>
              <w:rPr>
                <w:szCs w:val="21"/>
              </w:rPr>
            </w:pPr>
            <w:r>
              <w:rPr>
                <w:rFonts w:ascii="Cambria Math" w:hAnsi="Cambria Math" w:cs="Cambria Math"/>
                <w:szCs w:val="21"/>
              </w:rPr>
              <w:t>③</w:t>
            </w:r>
            <w:r>
              <w:rPr>
                <w:szCs w:val="21"/>
              </w:rPr>
              <w:t>台账保存期限不小于5年。</w:t>
            </w:r>
          </w:p>
        </w:tc>
      </w:tr>
    </w:tbl>
    <w:p w14:paraId="3DEAD874">
      <w:pPr>
        <w:pStyle w:val="285"/>
        <w:ind w:firstLine="0" w:firstLineChars="0"/>
        <w:rPr>
          <w:snapToGrid w:val="0"/>
        </w:rPr>
      </w:pPr>
    </w:p>
    <w:p w14:paraId="280F44AF">
      <w:pPr>
        <w:pStyle w:val="42"/>
        <w:jc w:val="center"/>
        <w:outlineLvl w:val="0"/>
        <w:rPr>
          <w:rFonts w:ascii="Times New Roman" w:hAnsi="Times New Roman"/>
          <w:b/>
          <w:snapToGrid w:val="0"/>
          <w:sz w:val="30"/>
          <w:szCs w:val="30"/>
        </w:rPr>
      </w:pPr>
      <w:r>
        <w:rPr>
          <w:rFonts w:ascii="Times New Roman" w:hAnsi="Times New Roman"/>
        </w:rPr>
        <w:br w:type="page"/>
      </w:r>
      <w:r>
        <w:rPr>
          <w:rFonts w:ascii="Times New Roman" w:hAnsi="Times New Roman"/>
          <w:b/>
          <w:snapToGrid w:val="0"/>
          <w:sz w:val="30"/>
          <w:szCs w:val="30"/>
        </w:rPr>
        <w:t>六、结论</w:t>
      </w:r>
    </w:p>
    <w:tbl>
      <w:tblPr>
        <w:tblStyle w:val="4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6600C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88" w:hRule="atLeast"/>
          <w:jc w:val="center"/>
        </w:trPr>
        <w:tc>
          <w:tcPr>
            <w:tcW w:w="8865" w:type="dxa"/>
            <w:vAlign w:val="center"/>
          </w:tcPr>
          <w:p w14:paraId="6CCAAD1C">
            <w:pPr>
              <w:spacing w:line="360" w:lineRule="auto"/>
              <w:ind w:firstLine="480" w:firstLineChars="200"/>
              <w:contextualSpacing/>
              <w:rPr>
                <w:sz w:val="24"/>
                <w:lang w:val="zh-CN"/>
              </w:rPr>
            </w:pPr>
            <w:r>
              <w:rPr>
                <w:rFonts w:hint="eastAsia"/>
                <w:sz w:val="24"/>
                <w:lang w:val="zh-CN"/>
              </w:rPr>
              <w:t>本项目符合国家和地方有关环境保护法律法规、标准、政策及规范要求；生产过程中遵循清洁生产理念，所采用的各项污染防治措施技术可行、经济合理，能保证各类污染物长期稳定达标排放；预测结果表明项目所排放的污染物对周围环境和环境保护目标影响较小；通过采取有针对性的风险防范措施并落实应急预案，项目的环境风险可防可控。</w:t>
            </w:r>
            <w:r>
              <w:rPr>
                <w:sz w:val="24"/>
                <w:lang w:val="zh-CN"/>
              </w:rPr>
              <w:t>在</w:t>
            </w:r>
            <w:r>
              <w:rPr>
                <w:rFonts w:hint="eastAsia"/>
                <w:sz w:val="24"/>
                <w:lang w:val="zh-CN"/>
              </w:rPr>
              <w:t>国望高科纤维（宿迁）有限公司水煤浆锅炉停用且</w:t>
            </w:r>
            <w:r>
              <w:rPr>
                <w:sz w:val="24"/>
                <w:lang w:val="zh-CN"/>
              </w:rPr>
              <w:t>泗阳意杨环保能源有限公司建成</w:t>
            </w:r>
            <w:r>
              <w:rPr>
                <w:rFonts w:hint="eastAsia"/>
                <w:sz w:val="24"/>
                <w:lang w:val="zh-CN"/>
              </w:rPr>
              <w:t>的前提下</w:t>
            </w:r>
            <w:r>
              <w:rPr>
                <w:sz w:val="24"/>
                <w:lang w:val="zh-CN"/>
              </w:rPr>
              <w:t>，从环保角度</w:t>
            </w:r>
            <w:r>
              <w:rPr>
                <w:rFonts w:hint="eastAsia"/>
                <w:sz w:val="24"/>
                <w:lang w:val="zh-CN"/>
              </w:rPr>
              <w:t>分析</w:t>
            </w:r>
            <w:r>
              <w:rPr>
                <w:sz w:val="24"/>
                <w:lang w:val="zh-CN"/>
              </w:rPr>
              <w:t>，本项目的建设具有环境可行性。</w:t>
            </w:r>
          </w:p>
        </w:tc>
      </w:tr>
    </w:tbl>
    <w:p w14:paraId="620E51AA">
      <w:pPr>
        <w:pStyle w:val="42"/>
        <w:jc w:val="center"/>
        <w:outlineLvl w:val="0"/>
        <w:rPr>
          <w:rFonts w:ascii="Times New Roman" w:hAnsi="Times New Roman"/>
        </w:rPr>
        <w:sectPr>
          <w:pgSz w:w="11906" w:h="16838"/>
          <w:pgMar w:top="1701" w:right="1531" w:bottom="1701" w:left="1531" w:header="851" w:footer="851" w:gutter="0"/>
          <w:cols w:space="720" w:num="1"/>
          <w:docGrid w:linePitch="312" w:charSpace="0"/>
        </w:sectPr>
      </w:pPr>
    </w:p>
    <w:p w14:paraId="3F04083D">
      <w:pPr>
        <w:pStyle w:val="42"/>
        <w:adjustRightInd w:val="0"/>
        <w:snapToGrid w:val="0"/>
        <w:spacing w:before="0" w:beforeAutospacing="0" w:after="0" w:afterAutospacing="0" w:line="648" w:lineRule="auto"/>
        <w:outlineLvl w:val="0"/>
        <w:rPr>
          <w:rFonts w:ascii="Times New Roman" w:hAnsi="Times New Roman" w:eastAsia="黑体"/>
          <w:snapToGrid w:val="0"/>
          <w:sz w:val="32"/>
          <w:szCs w:val="32"/>
        </w:rPr>
      </w:pPr>
      <w:r>
        <w:rPr>
          <w:rFonts w:ascii="Times New Roman" w:hAnsi="Times New Roman" w:eastAsia="黑体"/>
          <w:snapToGrid w:val="0"/>
          <w:sz w:val="32"/>
          <w:szCs w:val="32"/>
        </w:rPr>
        <w:t>附表</w:t>
      </w:r>
    </w:p>
    <w:p w14:paraId="18BCF177">
      <w:pPr>
        <w:pStyle w:val="70"/>
        <w:spacing w:beforeLines="0" w:afterLines="0" w:line="240" w:lineRule="auto"/>
        <w:rPr>
          <w:rFonts w:ascii="Times New Roman"/>
          <w:snapToGrid w:val="0"/>
          <w:spacing w:val="-6"/>
          <w:kern w:val="21"/>
          <w:sz w:val="40"/>
          <w:szCs w:val="40"/>
        </w:rPr>
      </w:pPr>
      <w:r>
        <w:rPr>
          <w:rFonts w:ascii="Times New Roman"/>
          <w:snapToGrid w:val="0"/>
          <w:spacing w:val="-6"/>
          <w:kern w:val="21"/>
          <w:sz w:val="40"/>
          <w:szCs w:val="40"/>
        </w:rPr>
        <w:t>建设项目污染物排放量汇总表（t/a）</w:t>
      </w:r>
    </w:p>
    <w:tbl>
      <w:tblPr>
        <w:tblStyle w:val="46"/>
        <w:tblW w:w="1364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1"/>
        <w:gridCol w:w="2410"/>
        <w:gridCol w:w="1405"/>
        <w:gridCol w:w="1263"/>
        <w:gridCol w:w="1683"/>
        <w:gridCol w:w="1543"/>
        <w:gridCol w:w="1743"/>
        <w:gridCol w:w="1727"/>
        <w:gridCol w:w="1029"/>
      </w:tblGrid>
      <w:tr w14:paraId="44BA9A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tcBorders>
              <w:tl2br w:val="single" w:color="auto" w:sz="4" w:space="0"/>
            </w:tcBorders>
            <w:tcMar>
              <w:left w:w="28" w:type="dxa"/>
              <w:right w:w="28" w:type="dxa"/>
            </w:tcMar>
            <w:vAlign w:val="center"/>
          </w:tcPr>
          <w:p w14:paraId="23882BE3">
            <w:pPr>
              <w:pStyle w:val="70"/>
              <w:spacing w:beforeLines="0" w:afterLines="0" w:line="240" w:lineRule="auto"/>
              <w:rPr>
                <w:rFonts w:ascii="Times New Roman"/>
                <w:b/>
                <w:bCs/>
                <w:snapToGrid w:val="0"/>
                <w:spacing w:val="-6"/>
                <w:kern w:val="21"/>
                <w:szCs w:val="21"/>
              </w:rPr>
            </w:pPr>
            <w:r>
              <w:rPr>
                <w:rFonts w:ascii="Times New Roman"/>
                <w:b/>
                <w:bCs/>
                <w:snapToGrid w:val="0"/>
                <w:spacing w:val="-6"/>
                <w:kern w:val="21"/>
                <w:szCs w:val="21"/>
              </w:rPr>
              <w:t xml:space="preserve">   项目</w:t>
            </w:r>
          </w:p>
          <w:p w14:paraId="3A086C25">
            <w:pPr>
              <w:pStyle w:val="70"/>
              <w:spacing w:beforeLines="0" w:afterLines="0" w:line="240" w:lineRule="auto"/>
              <w:jc w:val="both"/>
              <w:rPr>
                <w:rFonts w:ascii="Times New Roman"/>
                <w:snapToGrid w:val="0"/>
                <w:spacing w:val="-6"/>
                <w:kern w:val="21"/>
                <w:szCs w:val="21"/>
              </w:rPr>
            </w:pPr>
            <w:r>
              <w:rPr>
                <w:rFonts w:ascii="Times New Roman"/>
                <w:b/>
                <w:bCs/>
                <w:snapToGrid w:val="0"/>
                <w:spacing w:val="-6"/>
                <w:kern w:val="21"/>
                <w:szCs w:val="21"/>
              </w:rPr>
              <w:t>分类</w:t>
            </w:r>
          </w:p>
        </w:tc>
        <w:tc>
          <w:tcPr>
            <w:tcW w:w="2410" w:type="dxa"/>
            <w:tcMar>
              <w:left w:w="28" w:type="dxa"/>
              <w:right w:w="28" w:type="dxa"/>
            </w:tcMar>
            <w:vAlign w:val="center"/>
          </w:tcPr>
          <w:p w14:paraId="7029A89F">
            <w:pPr>
              <w:pStyle w:val="70"/>
              <w:spacing w:beforeLines="0" w:afterLines="0" w:line="240" w:lineRule="auto"/>
              <w:rPr>
                <w:rFonts w:ascii="Times New Roman"/>
                <w:b/>
                <w:bCs/>
                <w:snapToGrid w:val="0"/>
                <w:spacing w:val="-6"/>
                <w:kern w:val="21"/>
                <w:szCs w:val="21"/>
              </w:rPr>
            </w:pPr>
            <w:r>
              <w:rPr>
                <w:rFonts w:ascii="Times New Roman"/>
                <w:b/>
                <w:bCs/>
                <w:snapToGrid w:val="0"/>
                <w:spacing w:val="-6"/>
                <w:kern w:val="21"/>
                <w:szCs w:val="21"/>
              </w:rPr>
              <w:t>污染物名称</w:t>
            </w:r>
          </w:p>
        </w:tc>
        <w:tc>
          <w:tcPr>
            <w:tcW w:w="1405" w:type="dxa"/>
            <w:tcMar>
              <w:left w:w="28" w:type="dxa"/>
              <w:right w:w="28" w:type="dxa"/>
            </w:tcMar>
            <w:vAlign w:val="center"/>
          </w:tcPr>
          <w:p w14:paraId="0936CC28">
            <w:pPr>
              <w:pStyle w:val="70"/>
              <w:spacing w:beforeLines="0" w:afterLines="0" w:line="240" w:lineRule="auto"/>
              <w:rPr>
                <w:rFonts w:ascii="Times New Roman"/>
                <w:b/>
                <w:bCs/>
                <w:snapToGrid w:val="0"/>
                <w:spacing w:val="-6"/>
                <w:kern w:val="21"/>
                <w:szCs w:val="21"/>
              </w:rPr>
            </w:pPr>
            <w:r>
              <w:rPr>
                <w:rFonts w:ascii="Times New Roman"/>
                <w:b/>
                <w:bCs/>
                <w:snapToGrid w:val="0"/>
                <w:spacing w:val="-6"/>
                <w:kern w:val="21"/>
                <w:szCs w:val="21"/>
              </w:rPr>
              <w:t>现有工程</w:t>
            </w:r>
          </w:p>
          <w:p w14:paraId="1642DFB1">
            <w:pPr>
              <w:pStyle w:val="70"/>
              <w:spacing w:beforeLines="0" w:afterLines="0" w:line="240" w:lineRule="auto"/>
              <w:rPr>
                <w:rFonts w:ascii="Times New Roman"/>
                <w:b/>
                <w:bCs/>
                <w:snapToGrid w:val="0"/>
                <w:spacing w:val="-6"/>
                <w:kern w:val="21"/>
                <w:szCs w:val="21"/>
              </w:rPr>
            </w:pPr>
            <w:r>
              <w:rPr>
                <w:rFonts w:ascii="Times New Roman"/>
                <w:b/>
                <w:bCs/>
                <w:snapToGrid w:val="0"/>
                <w:spacing w:val="-6"/>
                <w:kern w:val="21"/>
                <w:szCs w:val="21"/>
              </w:rPr>
              <w:t>排放量（固体废物产生量）</w:t>
            </w:r>
            <w:r>
              <w:rPr>
                <w:rFonts w:ascii="Cambria Math" w:hAnsi="Cambria Math" w:cs="Cambria Math"/>
                <w:b/>
                <w:bCs/>
                <w:snapToGrid w:val="0"/>
                <w:spacing w:val="-6"/>
                <w:kern w:val="21"/>
                <w:szCs w:val="21"/>
              </w:rPr>
              <w:t>①</w:t>
            </w:r>
          </w:p>
        </w:tc>
        <w:tc>
          <w:tcPr>
            <w:tcW w:w="1263" w:type="dxa"/>
            <w:tcMar>
              <w:left w:w="28" w:type="dxa"/>
              <w:right w:w="28" w:type="dxa"/>
            </w:tcMar>
            <w:vAlign w:val="center"/>
          </w:tcPr>
          <w:p w14:paraId="1E8C55E1">
            <w:pPr>
              <w:pStyle w:val="70"/>
              <w:spacing w:beforeLines="0" w:afterLines="0" w:line="240" w:lineRule="auto"/>
              <w:rPr>
                <w:rFonts w:ascii="Times New Roman"/>
                <w:b/>
                <w:bCs/>
                <w:snapToGrid w:val="0"/>
                <w:spacing w:val="-6"/>
                <w:kern w:val="21"/>
                <w:szCs w:val="21"/>
              </w:rPr>
            </w:pPr>
            <w:r>
              <w:rPr>
                <w:rFonts w:ascii="Times New Roman"/>
                <w:b/>
                <w:bCs/>
                <w:snapToGrid w:val="0"/>
                <w:spacing w:val="-6"/>
                <w:kern w:val="21"/>
                <w:szCs w:val="21"/>
              </w:rPr>
              <w:t>现有工程</w:t>
            </w:r>
          </w:p>
          <w:p w14:paraId="08C764A5">
            <w:pPr>
              <w:pStyle w:val="70"/>
              <w:spacing w:beforeLines="0" w:afterLines="0" w:line="240" w:lineRule="auto"/>
              <w:rPr>
                <w:rFonts w:ascii="Times New Roman"/>
                <w:b/>
                <w:bCs/>
                <w:snapToGrid w:val="0"/>
                <w:spacing w:val="-6"/>
                <w:kern w:val="21"/>
                <w:szCs w:val="21"/>
              </w:rPr>
            </w:pPr>
            <w:r>
              <w:rPr>
                <w:rFonts w:ascii="Times New Roman"/>
                <w:b/>
                <w:bCs/>
                <w:snapToGrid w:val="0"/>
                <w:spacing w:val="-6"/>
                <w:kern w:val="21"/>
                <w:szCs w:val="21"/>
              </w:rPr>
              <w:t>许可排放量</w:t>
            </w:r>
          </w:p>
          <w:p w14:paraId="646CC17D">
            <w:pPr>
              <w:pStyle w:val="70"/>
              <w:spacing w:beforeLines="0" w:afterLines="0"/>
              <w:rPr>
                <w:rFonts w:ascii="Times New Roman"/>
                <w:b/>
                <w:bCs/>
                <w:snapToGrid w:val="0"/>
                <w:spacing w:val="-6"/>
                <w:kern w:val="21"/>
                <w:szCs w:val="21"/>
              </w:rPr>
            </w:pPr>
            <w:r>
              <w:rPr>
                <w:rFonts w:ascii="Times New Roman"/>
                <w:b/>
                <w:bCs/>
                <w:snapToGrid w:val="0"/>
                <w:spacing w:val="-6"/>
                <w:kern w:val="21"/>
                <w:szCs w:val="21"/>
              </w:rPr>
              <w:fldChar w:fldCharType="begin"/>
            </w:r>
            <w:r>
              <w:rPr>
                <w:rFonts w:ascii="Times New Roman"/>
                <w:b/>
                <w:bCs/>
                <w:snapToGrid w:val="0"/>
                <w:spacing w:val="-6"/>
                <w:kern w:val="21"/>
                <w:szCs w:val="21"/>
              </w:rPr>
              <w:instrText xml:space="preserve"> = 2 \* GB3 \* MERGEFORMAT </w:instrText>
            </w:r>
            <w:r>
              <w:rPr>
                <w:rFonts w:ascii="Times New Roman"/>
                <w:b/>
                <w:bCs/>
                <w:snapToGrid w:val="0"/>
                <w:spacing w:val="-6"/>
                <w:kern w:val="21"/>
                <w:szCs w:val="21"/>
              </w:rPr>
              <w:fldChar w:fldCharType="separate"/>
            </w:r>
            <w:r>
              <w:rPr>
                <w:rFonts w:ascii="Cambria Math" w:hAnsi="Cambria Math" w:cs="Cambria Math"/>
                <w:b/>
                <w:bCs/>
                <w:snapToGrid w:val="0"/>
                <w:spacing w:val="-6"/>
                <w:kern w:val="21"/>
                <w:szCs w:val="21"/>
              </w:rPr>
              <w:t>②</w:t>
            </w:r>
            <w:r>
              <w:rPr>
                <w:rFonts w:ascii="Times New Roman"/>
                <w:b/>
                <w:bCs/>
                <w:snapToGrid w:val="0"/>
                <w:spacing w:val="-6"/>
                <w:kern w:val="21"/>
                <w:szCs w:val="21"/>
              </w:rPr>
              <w:fldChar w:fldCharType="end"/>
            </w:r>
          </w:p>
        </w:tc>
        <w:tc>
          <w:tcPr>
            <w:tcW w:w="1683" w:type="dxa"/>
            <w:tcMar>
              <w:left w:w="28" w:type="dxa"/>
              <w:right w:w="28" w:type="dxa"/>
            </w:tcMar>
            <w:vAlign w:val="center"/>
          </w:tcPr>
          <w:p w14:paraId="3B47D76A">
            <w:pPr>
              <w:pStyle w:val="70"/>
              <w:spacing w:beforeLines="0" w:afterLines="0" w:line="240" w:lineRule="auto"/>
              <w:rPr>
                <w:rFonts w:ascii="Times New Roman"/>
                <w:b/>
                <w:bCs/>
                <w:snapToGrid w:val="0"/>
                <w:spacing w:val="-6"/>
                <w:kern w:val="21"/>
                <w:szCs w:val="21"/>
              </w:rPr>
            </w:pPr>
            <w:r>
              <w:rPr>
                <w:rFonts w:ascii="Times New Roman"/>
                <w:b/>
                <w:bCs/>
                <w:snapToGrid w:val="0"/>
                <w:spacing w:val="-6"/>
                <w:kern w:val="21"/>
                <w:szCs w:val="21"/>
              </w:rPr>
              <w:t>在建工程</w:t>
            </w:r>
          </w:p>
          <w:p w14:paraId="4E1FD2C7">
            <w:pPr>
              <w:pStyle w:val="70"/>
              <w:spacing w:beforeLines="0" w:afterLines="0" w:line="240" w:lineRule="auto"/>
              <w:rPr>
                <w:rFonts w:ascii="Times New Roman"/>
                <w:b/>
                <w:bCs/>
                <w:snapToGrid w:val="0"/>
                <w:spacing w:val="-6"/>
                <w:kern w:val="21"/>
                <w:szCs w:val="21"/>
              </w:rPr>
            </w:pPr>
            <w:r>
              <w:rPr>
                <w:rFonts w:ascii="Times New Roman"/>
                <w:b/>
                <w:bCs/>
                <w:snapToGrid w:val="0"/>
                <w:spacing w:val="-6"/>
                <w:kern w:val="21"/>
                <w:szCs w:val="21"/>
              </w:rPr>
              <w:t>排放量（固体废物产生量）</w:t>
            </w:r>
            <w:r>
              <w:rPr>
                <w:rFonts w:ascii="Times New Roman"/>
                <w:b/>
                <w:bCs/>
                <w:snapToGrid w:val="0"/>
                <w:spacing w:val="-6"/>
                <w:kern w:val="21"/>
                <w:szCs w:val="21"/>
              </w:rPr>
              <w:fldChar w:fldCharType="begin"/>
            </w:r>
            <w:r>
              <w:rPr>
                <w:rFonts w:ascii="Times New Roman"/>
                <w:b/>
                <w:bCs/>
                <w:snapToGrid w:val="0"/>
                <w:spacing w:val="-6"/>
                <w:kern w:val="21"/>
                <w:szCs w:val="21"/>
              </w:rPr>
              <w:instrText xml:space="preserve"> = 3 \* GB3 \* MERGEFORMAT </w:instrText>
            </w:r>
            <w:r>
              <w:rPr>
                <w:rFonts w:ascii="Times New Roman"/>
                <w:b/>
                <w:bCs/>
                <w:snapToGrid w:val="0"/>
                <w:spacing w:val="-6"/>
                <w:kern w:val="21"/>
                <w:szCs w:val="21"/>
              </w:rPr>
              <w:fldChar w:fldCharType="separate"/>
            </w:r>
            <w:r>
              <w:rPr>
                <w:rFonts w:ascii="Cambria Math" w:hAnsi="Cambria Math" w:cs="Cambria Math"/>
                <w:b/>
                <w:bCs/>
                <w:kern w:val="2"/>
                <w:szCs w:val="21"/>
              </w:rPr>
              <w:t>③</w:t>
            </w:r>
            <w:r>
              <w:rPr>
                <w:rFonts w:ascii="Times New Roman"/>
                <w:b/>
                <w:bCs/>
                <w:snapToGrid w:val="0"/>
                <w:spacing w:val="-6"/>
                <w:kern w:val="21"/>
                <w:szCs w:val="21"/>
              </w:rPr>
              <w:fldChar w:fldCharType="end"/>
            </w:r>
          </w:p>
        </w:tc>
        <w:tc>
          <w:tcPr>
            <w:tcW w:w="1543" w:type="dxa"/>
            <w:tcMar>
              <w:left w:w="28" w:type="dxa"/>
              <w:right w:w="28" w:type="dxa"/>
            </w:tcMar>
            <w:vAlign w:val="center"/>
          </w:tcPr>
          <w:p w14:paraId="35E5EAE5">
            <w:pPr>
              <w:pStyle w:val="70"/>
              <w:spacing w:beforeLines="0" w:afterLines="0" w:line="240" w:lineRule="auto"/>
              <w:rPr>
                <w:rFonts w:ascii="Times New Roman"/>
                <w:b/>
                <w:bCs/>
                <w:snapToGrid w:val="0"/>
                <w:spacing w:val="-6"/>
                <w:kern w:val="21"/>
                <w:szCs w:val="21"/>
              </w:rPr>
            </w:pPr>
            <w:r>
              <w:rPr>
                <w:rFonts w:ascii="Times New Roman"/>
                <w:b/>
                <w:bCs/>
                <w:snapToGrid w:val="0"/>
                <w:spacing w:val="-6"/>
                <w:kern w:val="21"/>
                <w:szCs w:val="21"/>
              </w:rPr>
              <w:t>本项目</w:t>
            </w:r>
          </w:p>
          <w:p w14:paraId="50711B6C">
            <w:pPr>
              <w:pStyle w:val="70"/>
              <w:spacing w:beforeLines="0" w:afterLines="0" w:line="240" w:lineRule="auto"/>
              <w:rPr>
                <w:rFonts w:ascii="Times New Roman"/>
                <w:b/>
                <w:bCs/>
                <w:snapToGrid w:val="0"/>
                <w:spacing w:val="-6"/>
                <w:kern w:val="21"/>
                <w:szCs w:val="21"/>
              </w:rPr>
            </w:pPr>
            <w:r>
              <w:rPr>
                <w:rFonts w:ascii="Times New Roman"/>
                <w:b/>
                <w:bCs/>
                <w:snapToGrid w:val="0"/>
                <w:spacing w:val="-6"/>
                <w:kern w:val="21"/>
                <w:szCs w:val="21"/>
              </w:rPr>
              <w:t>排放量（固体废物产生量）</w:t>
            </w:r>
            <w:r>
              <w:rPr>
                <w:rFonts w:ascii="Times New Roman"/>
                <w:b/>
                <w:bCs/>
                <w:snapToGrid w:val="0"/>
                <w:spacing w:val="-6"/>
                <w:kern w:val="21"/>
                <w:szCs w:val="21"/>
              </w:rPr>
              <w:fldChar w:fldCharType="begin"/>
            </w:r>
            <w:r>
              <w:rPr>
                <w:rFonts w:ascii="Times New Roman"/>
                <w:b/>
                <w:bCs/>
                <w:snapToGrid w:val="0"/>
                <w:spacing w:val="-6"/>
                <w:kern w:val="21"/>
                <w:szCs w:val="21"/>
              </w:rPr>
              <w:instrText xml:space="preserve"> = 4 \* GB3 \* MERGEFORMAT </w:instrText>
            </w:r>
            <w:r>
              <w:rPr>
                <w:rFonts w:ascii="Times New Roman"/>
                <w:b/>
                <w:bCs/>
                <w:snapToGrid w:val="0"/>
                <w:spacing w:val="-6"/>
                <w:kern w:val="21"/>
                <w:szCs w:val="21"/>
              </w:rPr>
              <w:fldChar w:fldCharType="separate"/>
            </w:r>
            <w:r>
              <w:rPr>
                <w:rFonts w:ascii="Cambria Math" w:hAnsi="Cambria Math" w:cs="Cambria Math"/>
                <w:b/>
                <w:bCs/>
                <w:kern w:val="2"/>
                <w:szCs w:val="21"/>
              </w:rPr>
              <w:t>④</w:t>
            </w:r>
            <w:r>
              <w:rPr>
                <w:rFonts w:ascii="Times New Roman"/>
                <w:b/>
                <w:bCs/>
                <w:snapToGrid w:val="0"/>
                <w:spacing w:val="-6"/>
                <w:kern w:val="21"/>
                <w:szCs w:val="21"/>
              </w:rPr>
              <w:fldChar w:fldCharType="end"/>
            </w:r>
          </w:p>
        </w:tc>
        <w:tc>
          <w:tcPr>
            <w:tcW w:w="1743" w:type="dxa"/>
            <w:tcMar>
              <w:left w:w="28" w:type="dxa"/>
              <w:right w:w="28" w:type="dxa"/>
            </w:tcMar>
            <w:vAlign w:val="center"/>
          </w:tcPr>
          <w:p w14:paraId="1E35DBF9">
            <w:pPr>
              <w:pStyle w:val="70"/>
              <w:spacing w:beforeLines="0" w:afterLines="0" w:line="240" w:lineRule="auto"/>
              <w:rPr>
                <w:rFonts w:ascii="Times New Roman"/>
                <w:b/>
                <w:bCs/>
                <w:snapToGrid w:val="0"/>
                <w:spacing w:val="-16"/>
                <w:kern w:val="21"/>
                <w:szCs w:val="21"/>
              </w:rPr>
            </w:pPr>
            <w:r>
              <w:rPr>
                <w:rFonts w:ascii="Times New Roman"/>
                <w:b/>
                <w:bCs/>
                <w:snapToGrid w:val="0"/>
                <w:spacing w:val="-16"/>
                <w:kern w:val="21"/>
                <w:szCs w:val="21"/>
              </w:rPr>
              <w:t>以新带老削减量</w:t>
            </w:r>
          </w:p>
          <w:p w14:paraId="13449BDA">
            <w:pPr>
              <w:pStyle w:val="70"/>
              <w:spacing w:beforeLines="0" w:afterLines="0" w:line="240" w:lineRule="auto"/>
              <w:rPr>
                <w:rFonts w:ascii="Times New Roman"/>
                <w:b/>
                <w:bCs/>
                <w:snapToGrid w:val="0"/>
                <w:spacing w:val="-16"/>
                <w:kern w:val="21"/>
                <w:szCs w:val="21"/>
              </w:rPr>
            </w:pPr>
            <w:r>
              <w:rPr>
                <w:rFonts w:ascii="Times New Roman"/>
                <w:b/>
                <w:bCs/>
                <w:snapToGrid w:val="0"/>
                <w:spacing w:val="-16"/>
                <w:kern w:val="21"/>
                <w:szCs w:val="21"/>
              </w:rPr>
              <w:t>（新建项目不填）</w:t>
            </w:r>
            <w:r>
              <w:rPr>
                <w:rFonts w:ascii="Times New Roman"/>
                <w:b/>
                <w:bCs/>
                <w:snapToGrid w:val="0"/>
                <w:spacing w:val="-16"/>
                <w:kern w:val="21"/>
                <w:szCs w:val="21"/>
              </w:rPr>
              <w:fldChar w:fldCharType="begin"/>
            </w:r>
            <w:r>
              <w:rPr>
                <w:rFonts w:ascii="Times New Roman"/>
                <w:b/>
                <w:bCs/>
                <w:snapToGrid w:val="0"/>
                <w:spacing w:val="-16"/>
                <w:kern w:val="21"/>
                <w:szCs w:val="21"/>
              </w:rPr>
              <w:instrText xml:space="preserve"> = 5 \* GB3 \* MERGEFORMAT </w:instrText>
            </w:r>
            <w:r>
              <w:rPr>
                <w:rFonts w:ascii="Times New Roman"/>
                <w:b/>
                <w:bCs/>
                <w:snapToGrid w:val="0"/>
                <w:spacing w:val="-16"/>
                <w:kern w:val="21"/>
                <w:szCs w:val="21"/>
              </w:rPr>
              <w:fldChar w:fldCharType="separate"/>
            </w:r>
            <w:r>
              <w:rPr>
                <w:rFonts w:ascii="Cambria Math" w:hAnsi="Cambria Math" w:cs="Cambria Math"/>
                <w:b/>
                <w:bCs/>
                <w:kern w:val="2"/>
                <w:szCs w:val="21"/>
              </w:rPr>
              <w:t>⑤</w:t>
            </w:r>
            <w:r>
              <w:rPr>
                <w:rFonts w:ascii="Times New Roman"/>
                <w:b/>
                <w:bCs/>
                <w:snapToGrid w:val="0"/>
                <w:spacing w:val="-16"/>
                <w:kern w:val="21"/>
                <w:szCs w:val="21"/>
              </w:rPr>
              <w:fldChar w:fldCharType="end"/>
            </w:r>
          </w:p>
        </w:tc>
        <w:tc>
          <w:tcPr>
            <w:tcW w:w="1727" w:type="dxa"/>
            <w:tcMar>
              <w:left w:w="28" w:type="dxa"/>
              <w:right w:w="28" w:type="dxa"/>
            </w:tcMar>
            <w:vAlign w:val="center"/>
          </w:tcPr>
          <w:p w14:paraId="4A1BBD1B">
            <w:pPr>
              <w:pStyle w:val="70"/>
              <w:spacing w:beforeLines="0" w:afterLines="0" w:line="240" w:lineRule="auto"/>
              <w:rPr>
                <w:rFonts w:ascii="Times New Roman"/>
                <w:b/>
                <w:bCs/>
                <w:snapToGrid w:val="0"/>
                <w:spacing w:val="-16"/>
                <w:kern w:val="21"/>
                <w:szCs w:val="21"/>
              </w:rPr>
            </w:pPr>
            <w:r>
              <w:rPr>
                <w:rFonts w:ascii="Times New Roman"/>
                <w:b/>
                <w:bCs/>
                <w:snapToGrid w:val="0"/>
                <w:spacing w:val="-16"/>
                <w:kern w:val="21"/>
                <w:szCs w:val="21"/>
              </w:rPr>
              <w:t>本项目建成后</w:t>
            </w:r>
          </w:p>
          <w:p w14:paraId="25329684">
            <w:pPr>
              <w:pStyle w:val="70"/>
              <w:spacing w:beforeLines="0" w:afterLines="0" w:line="240" w:lineRule="auto"/>
              <w:rPr>
                <w:rFonts w:ascii="Times New Roman"/>
                <w:b/>
                <w:bCs/>
                <w:snapToGrid w:val="0"/>
                <w:spacing w:val="-16"/>
                <w:kern w:val="21"/>
                <w:szCs w:val="21"/>
              </w:rPr>
            </w:pPr>
            <w:r>
              <w:rPr>
                <w:rFonts w:ascii="Times New Roman"/>
                <w:b/>
                <w:bCs/>
                <w:snapToGrid w:val="0"/>
                <w:spacing w:val="-16"/>
                <w:kern w:val="21"/>
                <w:szCs w:val="21"/>
              </w:rPr>
              <w:t>全厂排放量（固体废物产生量）</w:t>
            </w:r>
            <w:r>
              <w:rPr>
                <w:rFonts w:ascii="Times New Roman"/>
                <w:b/>
                <w:bCs/>
                <w:snapToGrid w:val="0"/>
                <w:spacing w:val="-16"/>
                <w:kern w:val="21"/>
                <w:szCs w:val="21"/>
              </w:rPr>
              <w:fldChar w:fldCharType="begin"/>
            </w:r>
            <w:r>
              <w:rPr>
                <w:rFonts w:ascii="Times New Roman"/>
                <w:b/>
                <w:bCs/>
                <w:snapToGrid w:val="0"/>
                <w:spacing w:val="-16"/>
                <w:kern w:val="21"/>
                <w:szCs w:val="21"/>
              </w:rPr>
              <w:instrText xml:space="preserve"> = 6 \* GB3 \* MERGEFORMAT </w:instrText>
            </w:r>
            <w:r>
              <w:rPr>
                <w:rFonts w:ascii="Times New Roman"/>
                <w:b/>
                <w:bCs/>
                <w:snapToGrid w:val="0"/>
                <w:spacing w:val="-16"/>
                <w:kern w:val="21"/>
                <w:szCs w:val="21"/>
              </w:rPr>
              <w:fldChar w:fldCharType="separate"/>
            </w:r>
            <w:r>
              <w:rPr>
                <w:rFonts w:ascii="Cambria Math" w:hAnsi="Cambria Math" w:cs="Cambria Math"/>
                <w:b/>
                <w:bCs/>
                <w:kern w:val="2"/>
                <w:szCs w:val="21"/>
              </w:rPr>
              <w:t>⑥</w:t>
            </w:r>
            <w:r>
              <w:rPr>
                <w:rFonts w:ascii="Times New Roman"/>
                <w:b/>
                <w:bCs/>
                <w:snapToGrid w:val="0"/>
                <w:spacing w:val="-16"/>
                <w:kern w:val="21"/>
                <w:szCs w:val="21"/>
              </w:rPr>
              <w:fldChar w:fldCharType="end"/>
            </w:r>
          </w:p>
        </w:tc>
        <w:tc>
          <w:tcPr>
            <w:tcW w:w="1029" w:type="dxa"/>
            <w:tcMar>
              <w:left w:w="28" w:type="dxa"/>
              <w:right w:w="28" w:type="dxa"/>
            </w:tcMar>
            <w:vAlign w:val="center"/>
          </w:tcPr>
          <w:p w14:paraId="20C51A66">
            <w:pPr>
              <w:pStyle w:val="70"/>
              <w:spacing w:beforeLines="0" w:afterLines="0" w:line="240" w:lineRule="auto"/>
              <w:rPr>
                <w:rFonts w:ascii="Times New Roman"/>
                <w:b/>
                <w:bCs/>
                <w:snapToGrid w:val="0"/>
                <w:spacing w:val="-6"/>
                <w:kern w:val="21"/>
                <w:szCs w:val="21"/>
              </w:rPr>
            </w:pPr>
            <w:r>
              <w:rPr>
                <w:rFonts w:ascii="Times New Roman"/>
                <w:b/>
                <w:bCs/>
                <w:snapToGrid w:val="0"/>
                <w:spacing w:val="-6"/>
                <w:kern w:val="21"/>
                <w:szCs w:val="21"/>
              </w:rPr>
              <w:t>变化量</w:t>
            </w:r>
          </w:p>
          <w:p w14:paraId="449289BB">
            <w:pPr>
              <w:pStyle w:val="70"/>
              <w:spacing w:beforeLines="0" w:afterLines="0" w:line="240" w:lineRule="auto"/>
              <w:rPr>
                <w:rFonts w:ascii="Times New Roman"/>
                <w:b/>
                <w:bCs/>
                <w:snapToGrid w:val="0"/>
                <w:spacing w:val="-6"/>
                <w:kern w:val="21"/>
                <w:szCs w:val="21"/>
              </w:rPr>
            </w:pPr>
            <w:r>
              <w:rPr>
                <w:rFonts w:ascii="Times New Roman"/>
                <w:b/>
                <w:bCs/>
                <w:snapToGrid w:val="0"/>
                <w:spacing w:val="-6"/>
                <w:kern w:val="21"/>
                <w:szCs w:val="21"/>
              </w:rPr>
              <w:fldChar w:fldCharType="begin"/>
            </w:r>
            <w:r>
              <w:rPr>
                <w:rFonts w:ascii="Times New Roman"/>
                <w:b/>
                <w:bCs/>
                <w:snapToGrid w:val="0"/>
                <w:spacing w:val="-6"/>
                <w:kern w:val="21"/>
                <w:szCs w:val="21"/>
              </w:rPr>
              <w:instrText xml:space="preserve"> = 7 \* GB3 \* MERGEFORMAT </w:instrText>
            </w:r>
            <w:r>
              <w:rPr>
                <w:rFonts w:ascii="Times New Roman"/>
                <w:b/>
                <w:bCs/>
                <w:snapToGrid w:val="0"/>
                <w:spacing w:val="-6"/>
                <w:kern w:val="21"/>
                <w:szCs w:val="21"/>
              </w:rPr>
              <w:fldChar w:fldCharType="separate"/>
            </w:r>
            <w:r>
              <w:rPr>
                <w:rFonts w:ascii="Cambria Math" w:hAnsi="Cambria Math" w:cs="Cambria Math"/>
                <w:b/>
                <w:bCs/>
                <w:kern w:val="2"/>
                <w:szCs w:val="21"/>
              </w:rPr>
              <w:t>⑦</w:t>
            </w:r>
            <w:r>
              <w:rPr>
                <w:rFonts w:ascii="Times New Roman"/>
                <w:b/>
                <w:bCs/>
                <w:snapToGrid w:val="0"/>
                <w:spacing w:val="-6"/>
                <w:kern w:val="21"/>
                <w:szCs w:val="21"/>
              </w:rPr>
              <w:fldChar w:fldCharType="end"/>
            </w:r>
          </w:p>
        </w:tc>
      </w:tr>
      <w:tr w14:paraId="58AD73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restart"/>
            <w:vAlign w:val="center"/>
          </w:tcPr>
          <w:p w14:paraId="45B7E3F7">
            <w:pPr>
              <w:pStyle w:val="70"/>
              <w:spacing w:beforeLines="0" w:afterLines="0" w:line="240" w:lineRule="auto"/>
              <w:rPr>
                <w:rFonts w:ascii="Times New Roman"/>
                <w:snapToGrid w:val="0"/>
                <w:kern w:val="21"/>
                <w:szCs w:val="21"/>
              </w:rPr>
            </w:pPr>
            <w:bookmarkStart w:id="53" w:name="_Hlk195195342"/>
            <w:r>
              <w:rPr>
                <w:rFonts w:ascii="Times New Roman"/>
                <w:snapToGrid w:val="0"/>
                <w:kern w:val="21"/>
                <w:szCs w:val="21"/>
              </w:rPr>
              <w:t>废气</w:t>
            </w:r>
          </w:p>
        </w:tc>
        <w:tc>
          <w:tcPr>
            <w:tcW w:w="2410" w:type="dxa"/>
            <w:vAlign w:val="center"/>
          </w:tcPr>
          <w:p w14:paraId="3AB15DDC">
            <w:pPr>
              <w:jc w:val="center"/>
              <w:rPr>
                <w:szCs w:val="21"/>
              </w:rPr>
            </w:pPr>
            <w:r>
              <w:rPr>
                <w:szCs w:val="21"/>
              </w:rPr>
              <w:t>SO</w:t>
            </w:r>
            <w:r>
              <w:rPr>
                <w:szCs w:val="21"/>
                <w:vertAlign w:val="subscript"/>
              </w:rPr>
              <w:t>2</w:t>
            </w:r>
          </w:p>
        </w:tc>
        <w:tc>
          <w:tcPr>
            <w:tcW w:w="1405" w:type="dxa"/>
            <w:vAlign w:val="center"/>
          </w:tcPr>
          <w:p w14:paraId="416AA6AD">
            <w:pPr>
              <w:pStyle w:val="70"/>
              <w:spacing w:beforeLines="0" w:afterLines="0" w:line="240" w:lineRule="auto"/>
              <w:rPr>
                <w:rFonts w:ascii="Times New Roman"/>
                <w:snapToGrid w:val="0"/>
                <w:kern w:val="21"/>
                <w:szCs w:val="21"/>
              </w:rPr>
            </w:pPr>
            <w:r>
              <w:rPr>
                <w:rFonts w:ascii="Times New Roman"/>
                <w:szCs w:val="21"/>
              </w:rPr>
              <w:t>72.66</w:t>
            </w:r>
          </w:p>
        </w:tc>
        <w:tc>
          <w:tcPr>
            <w:tcW w:w="1263" w:type="dxa"/>
            <w:vAlign w:val="center"/>
          </w:tcPr>
          <w:p w14:paraId="338907F3">
            <w:pPr>
              <w:pStyle w:val="70"/>
              <w:spacing w:beforeLines="0" w:afterLines="0" w:line="240" w:lineRule="auto"/>
              <w:rPr>
                <w:rFonts w:ascii="Times New Roman"/>
                <w:snapToGrid w:val="0"/>
                <w:szCs w:val="21"/>
              </w:rPr>
            </w:pPr>
            <w:r>
              <w:rPr>
                <w:rFonts w:ascii="Times New Roman"/>
                <w:szCs w:val="21"/>
              </w:rPr>
              <w:t>72.66</w:t>
            </w:r>
          </w:p>
        </w:tc>
        <w:tc>
          <w:tcPr>
            <w:tcW w:w="1683" w:type="dxa"/>
            <w:vAlign w:val="center"/>
          </w:tcPr>
          <w:p w14:paraId="2B02CB99">
            <w:pPr>
              <w:pStyle w:val="70"/>
              <w:spacing w:beforeLines="0" w:afterLines="0" w:line="240" w:lineRule="auto"/>
              <w:rPr>
                <w:rFonts w:ascii="Times New Roman"/>
                <w:snapToGrid w:val="0"/>
                <w:szCs w:val="21"/>
              </w:rPr>
            </w:pPr>
            <w:r>
              <w:rPr>
                <w:rFonts w:ascii="Times New Roman"/>
                <w:szCs w:val="21"/>
              </w:rPr>
              <w:t>0</w:t>
            </w:r>
          </w:p>
        </w:tc>
        <w:tc>
          <w:tcPr>
            <w:tcW w:w="1543" w:type="dxa"/>
            <w:vAlign w:val="center"/>
          </w:tcPr>
          <w:p w14:paraId="254969A7">
            <w:pPr>
              <w:jc w:val="center"/>
              <w:rPr>
                <w:szCs w:val="21"/>
              </w:rPr>
            </w:pPr>
            <w:r>
              <w:rPr>
                <w:szCs w:val="21"/>
              </w:rPr>
              <w:t>0</w:t>
            </w:r>
          </w:p>
        </w:tc>
        <w:tc>
          <w:tcPr>
            <w:tcW w:w="1743" w:type="dxa"/>
            <w:vAlign w:val="center"/>
          </w:tcPr>
          <w:p w14:paraId="0C66E092">
            <w:pPr>
              <w:pStyle w:val="70"/>
              <w:spacing w:beforeLines="0" w:afterLines="0" w:line="240" w:lineRule="auto"/>
              <w:rPr>
                <w:rFonts w:ascii="Times New Roman"/>
                <w:snapToGrid w:val="0"/>
                <w:kern w:val="21"/>
                <w:szCs w:val="21"/>
              </w:rPr>
            </w:pPr>
            <w:r>
              <w:rPr>
                <w:rFonts w:ascii="Times New Roman"/>
                <w:szCs w:val="21"/>
              </w:rPr>
              <w:t>0</w:t>
            </w:r>
          </w:p>
        </w:tc>
        <w:tc>
          <w:tcPr>
            <w:tcW w:w="1727" w:type="dxa"/>
            <w:vAlign w:val="center"/>
          </w:tcPr>
          <w:p w14:paraId="61C1FDA8">
            <w:pPr>
              <w:pStyle w:val="70"/>
              <w:spacing w:beforeLines="0" w:afterLines="0" w:line="240" w:lineRule="auto"/>
              <w:rPr>
                <w:rFonts w:ascii="Times New Roman"/>
                <w:snapToGrid w:val="0"/>
                <w:szCs w:val="21"/>
              </w:rPr>
            </w:pPr>
            <w:r>
              <w:rPr>
                <w:rFonts w:ascii="Times New Roman"/>
                <w:szCs w:val="21"/>
              </w:rPr>
              <w:t>72.66</w:t>
            </w:r>
          </w:p>
        </w:tc>
        <w:tc>
          <w:tcPr>
            <w:tcW w:w="1029" w:type="dxa"/>
            <w:vAlign w:val="center"/>
          </w:tcPr>
          <w:p w14:paraId="6A2CEDD8">
            <w:pPr>
              <w:jc w:val="center"/>
              <w:rPr>
                <w:szCs w:val="21"/>
              </w:rPr>
            </w:pPr>
            <w:r>
              <w:rPr>
                <w:szCs w:val="21"/>
              </w:rPr>
              <w:t>0</w:t>
            </w:r>
          </w:p>
        </w:tc>
      </w:tr>
      <w:tr w14:paraId="367BA7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11285AEB">
            <w:pPr>
              <w:pStyle w:val="70"/>
              <w:spacing w:beforeLines="0" w:afterLines="0" w:line="240" w:lineRule="auto"/>
              <w:rPr>
                <w:rFonts w:ascii="Times New Roman"/>
                <w:snapToGrid w:val="0"/>
                <w:kern w:val="21"/>
                <w:szCs w:val="21"/>
              </w:rPr>
            </w:pPr>
          </w:p>
        </w:tc>
        <w:tc>
          <w:tcPr>
            <w:tcW w:w="2410" w:type="dxa"/>
            <w:vAlign w:val="center"/>
          </w:tcPr>
          <w:p w14:paraId="5434AD7B">
            <w:pPr>
              <w:jc w:val="center"/>
              <w:rPr>
                <w:szCs w:val="21"/>
              </w:rPr>
            </w:pPr>
            <w:r>
              <w:rPr>
                <w:szCs w:val="21"/>
              </w:rPr>
              <w:t>NOx</w:t>
            </w:r>
          </w:p>
        </w:tc>
        <w:tc>
          <w:tcPr>
            <w:tcW w:w="1405" w:type="dxa"/>
            <w:vAlign w:val="center"/>
          </w:tcPr>
          <w:p w14:paraId="03F025CC">
            <w:pPr>
              <w:pStyle w:val="70"/>
              <w:spacing w:beforeLines="0" w:afterLines="0" w:line="240" w:lineRule="auto"/>
              <w:rPr>
                <w:rFonts w:ascii="Times New Roman"/>
                <w:snapToGrid w:val="0"/>
                <w:kern w:val="21"/>
                <w:szCs w:val="21"/>
              </w:rPr>
            </w:pPr>
            <w:r>
              <w:rPr>
                <w:rFonts w:ascii="Times New Roman"/>
                <w:szCs w:val="21"/>
              </w:rPr>
              <w:t>90.74</w:t>
            </w:r>
          </w:p>
        </w:tc>
        <w:tc>
          <w:tcPr>
            <w:tcW w:w="1263" w:type="dxa"/>
            <w:vAlign w:val="center"/>
          </w:tcPr>
          <w:p w14:paraId="2EE6BBFB">
            <w:pPr>
              <w:pStyle w:val="70"/>
              <w:spacing w:beforeLines="0" w:afterLines="0" w:line="240" w:lineRule="auto"/>
              <w:rPr>
                <w:rFonts w:ascii="Times New Roman"/>
                <w:snapToGrid w:val="0"/>
                <w:szCs w:val="21"/>
              </w:rPr>
            </w:pPr>
            <w:r>
              <w:rPr>
                <w:rFonts w:ascii="Times New Roman"/>
                <w:szCs w:val="21"/>
              </w:rPr>
              <w:t>90.74</w:t>
            </w:r>
          </w:p>
        </w:tc>
        <w:tc>
          <w:tcPr>
            <w:tcW w:w="1683" w:type="dxa"/>
            <w:vAlign w:val="center"/>
          </w:tcPr>
          <w:p w14:paraId="64C660DA">
            <w:pPr>
              <w:pStyle w:val="70"/>
              <w:spacing w:beforeLines="0" w:afterLines="0" w:line="240" w:lineRule="auto"/>
              <w:rPr>
                <w:rFonts w:ascii="Times New Roman"/>
                <w:snapToGrid w:val="0"/>
                <w:szCs w:val="21"/>
              </w:rPr>
            </w:pPr>
            <w:r>
              <w:rPr>
                <w:rFonts w:ascii="Times New Roman"/>
                <w:szCs w:val="21"/>
              </w:rPr>
              <w:t>0</w:t>
            </w:r>
          </w:p>
        </w:tc>
        <w:tc>
          <w:tcPr>
            <w:tcW w:w="1543" w:type="dxa"/>
            <w:vAlign w:val="center"/>
          </w:tcPr>
          <w:p w14:paraId="297E6EC7">
            <w:pPr>
              <w:jc w:val="center"/>
              <w:rPr>
                <w:szCs w:val="21"/>
              </w:rPr>
            </w:pPr>
            <w:r>
              <w:rPr>
                <w:szCs w:val="21"/>
              </w:rPr>
              <w:t>0</w:t>
            </w:r>
          </w:p>
        </w:tc>
        <w:tc>
          <w:tcPr>
            <w:tcW w:w="1743" w:type="dxa"/>
            <w:vAlign w:val="center"/>
          </w:tcPr>
          <w:p w14:paraId="726C8B20">
            <w:pPr>
              <w:pStyle w:val="70"/>
              <w:spacing w:beforeLines="0" w:afterLines="0" w:line="240" w:lineRule="auto"/>
              <w:rPr>
                <w:rFonts w:ascii="Times New Roman"/>
                <w:snapToGrid w:val="0"/>
                <w:kern w:val="21"/>
                <w:szCs w:val="21"/>
              </w:rPr>
            </w:pPr>
            <w:r>
              <w:rPr>
                <w:rFonts w:ascii="Times New Roman"/>
                <w:szCs w:val="21"/>
              </w:rPr>
              <w:t>0</w:t>
            </w:r>
          </w:p>
        </w:tc>
        <w:tc>
          <w:tcPr>
            <w:tcW w:w="1727" w:type="dxa"/>
            <w:vAlign w:val="center"/>
          </w:tcPr>
          <w:p w14:paraId="49224BBA">
            <w:pPr>
              <w:pStyle w:val="70"/>
              <w:spacing w:beforeLines="0" w:afterLines="0" w:line="240" w:lineRule="auto"/>
              <w:rPr>
                <w:rFonts w:ascii="Times New Roman"/>
                <w:snapToGrid w:val="0"/>
                <w:szCs w:val="21"/>
              </w:rPr>
            </w:pPr>
            <w:r>
              <w:rPr>
                <w:rFonts w:ascii="Times New Roman"/>
                <w:szCs w:val="21"/>
              </w:rPr>
              <w:t>90.74</w:t>
            </w:r>
          </w:p>
        </w:tc>
        <w:tc>
          <w:tcPr>
            <w:tcW w:w="1029" w:type="dxa"/>
            <w:vAlign w:val="center"/>
          </w:tcPr>
          <w:p w14:paraId="43BFF736">
            <w:pPr>
              <w:jc w:val="center"/>
              <w:rPr>
                <w:szCs w:val="21"/>
              </w:rPr>
            </w:pPr>
            <w:r>
              <w:rPr>
                <w:szCs w:val="21"/>
              </w:rPr>
              <w:t>0</w:t>
            </w:r>
          </w:p>
        </w:tc>
      </w:tr>
      <w:tr w14:paraId="39924A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40E47E11">
            <w:pPr>
              <w:pStyle w:val="70"/>
              <w:spacing w:beforeLines="0" w:afterLines="0" w:line="240" w:lineRule="auto"/>
              <w:rPr>
                <w:rFonts w:ascii="Times New Roman"/>
                <w:snapToGrid w:val="0"/>
                <w:kern w:val="21"/>
                <w:szCs w:val="21"/>
              </w:rPr>
            </w:pPr>
          </w:p>
        </w:tc>
        <w:tc>
          <w:tcPr>
            <w:tcW w:w="2410" w:type="dxa"/>
            <w:vAlign w:val="center"/>
          </w:tcPr>
          <w:p w14:paraId="18C51A69">
            <w:pPr>
              <w:jc w:val="center"/>
              <w:rPr>
                <w:szCs w:val="21"/>
              </w:rPr>
            </w:pPr>
            <w:r>
              <w:rPr>
                <w:szCs w:val="21"/>
              </w:rPr>
              <w:t>颗粒物</w:t>
            </w:r>
          </w:p>
        </w:tc>
        <w:tc>
          <w:tcPr>
            <w:tcW w:w="1405" w:type="dxa"/>
            <w:vAlign w:val="center"/>
          </w:tcPr>
          <w:p w14:paraId="5C92E584">
            <w:pPr>
              <w:widowControl/>
              <w:jc w:val="center"/>
              <w:rPr>
                <w:snapToGrid w:val="0"/>
                <w:kern w:val="21"/>
                <w:szCs w:val="21"/>
              </w:rPr>
            </w:pPr>
            <w:r>
              <w:rPr>
                <w:kern w:val="0"/>
                <w:szCs w:val="21"/>
              </w:rPr>
              <w:t>13.63</w:t>
            </w:r>
          </w:p>
        </w:tc>
        <w:tc>
          <w:tcPr>
            <w:tcW w:w="1263" w:type="dxa"/>
            <w:vAlign w:val="center"/>
          </w:tcPr>
          <w:p w14:paraId="0A7BDBB6">
            <w:pPr>
              <w:widowControl/>
              <w:jc w:val="center"/>
              <w:rPr>
                <w:snapToGrid w:val="0"/>
                <w:szCs w:val="21"/>
              </w:rPr>
            </w:pPr>
            <w:r>
              <w:rPr>
                <w:kern w:val="0"/>
                <w:szCs w:val="21"/>
              </w:rPr>
              <w:t>17.46</w:t>
            </w:r>
          </w:p>
        </w:tc>
        <w:tc>
          <w:tcPr>
            <w:tcW w:w="1683" w:type="dxa"/>
            <w:vAlign w:val="center"/>
          </w:tcPr>
          <w:p w14:paraId="4CA89807">
            <w:pPr>
              <w:pStyle w:val="70"/>
              <w:spacing w:beforeLines="0" w:afterLines="0" w:line="240" w:lineRule="auto"/>
              <w:rPr>
                <w:rFonts w:ascii="Times New Roman"/>
                <w:snapToGrid w:val="0"/>
                <w:szCs w:val="21"/>
              </w:rPr>
            </w:pPr>
            <w:r>
              <w:rPr>
                <w:rFonts w:ascii="Times New Roman"/>
                <w:szCs w:val="21"/>
              </w:rPr>
              <w:t>0</w:t>
            </w:r>
          </w:p>
        </w:tc>
        <w:tc>
          <w:tcPr>
            <w:tcW w:w="1543" w:type="dxa"/>
            <w:vAlign w:val="center"/>
          </w:tcPr>
          <w:p w14:paraId="7ADD263F">
            <w:pPr>
              <w:jc w:val="center"/>
              <w:rPr>
                <w:szCs w:val="21"/>
              </w:rPr>
            </w:pPr>
            <w:r>
              <w:rPr>
                <w:szCs w:val="21"/>
              </w:rPr>
              <w:t>1.147</w:t>
            </w:r>
          </w:p>
        </w:tc>
        <w:tc>
          <w:tcPr>
            <w:tcW w:w="1743" w:type="dxa"/>
            <w:vAlign w:val="center"/>
          </w:tcPr>
          <w:p w14:paraId="111139B3">
            <w:pPr>
              <w:pStyle w:val="70"/>
              <w:spacing w:beforeLines="0" w:afterLines="0" w:line="240" w:lineRule="auto"/>
              <w:rPr>
                <w:rFonts w:ascii="Times New Roman"/>
                <w:snapToGrid w:val="0"/>
                <w:kern w:val="21"/>
                <w:szCs w:val="21"/>
              </w:rPr>
            </w:pPr>
            <w:r>
              <w:rPr>
                <w:rFonts w:ascii="Times New Roman"/>
                <w:szCs w:val="21"/>
              </w:rPr>
              <w:t>0</w:t>
            </w:r>
          </w:p>
        </w:tc>
        <w:tc>
          <w:tcPr>
            <w:tcW w:w="1727" w:type="dxa"/>
            <w:vAlign w:val="center"/>
          </w:tcPr>
          <w:p w14:paraId="5CDF306A">
            <w:pPr>
              <w:widowControl/>
              <w:jc w:val="center"/>
              <w:rPr>
                <w:snapToGrid w:val="0"/>
                <w:szCs w:val="21"/>
              </w:rPr>
            </w:pPr>
            <w:r>
              <w:rPr>
                <w:kern w:val="0"/>
                <w:szCs w:val="21"/>
              </w:rPr>
              <w:t>17.46</w:t>
            </w:r>
          </w:p>
        </w:tc>
        <w:tc>
          <w:tcPr>
            <w:tcW w:w="1029" w:type="dxa"/>
            <w:vAlign w:val="center"/>
          </w:tcPr>
          <w:p w14:paraId="795128AC">
            <w:pPr>
              <w:jc w:val="center"/>
              <w:rPr>
                <w:szCs w:val="21"/>
              </w:rPr>
            </w:pPr>
            <w:r>
              <w:rPr>
                <w:rFonts w:hint="eastAsia"/>
                <w:szCs w:val="21"/>
              </w:rPr>
              <w:t>0</w:t>
            </w:r>
          </w:p>
        </w:tc>
      </w:tr>
      <w:tr w14:paraId="251043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3C3ACF30">
            <w:pPr>
              <w:pStyle w:val="70"/>
              <w:spacing w:beforeLines="0" w:afterLines="0" w:line="240" w:lineRule="auto"/>
              <w:rPr>
                <w:rFonts w:ascii="Times New Roman"/>
                <w:snapToGrid w:val="0"/>
                <w:kern w:val="21"/>
                <w:szCs w:val="21"/>
              </w:rPr>
            </w:pPr>
          </w:p>
        </w:tc>
        <w:tc>
          <w:tcPr>
            <w:tcW w:w="2410" w:type="dxa"/>
            <w:vAlign w:val="center"/>
          </w:tcPr>
          <w:p w14:paraId="372B2746">
            <w:pPr>
              <w:jc w:val="center"/>
              <w:rPr>
                <w:szCs w:val="21"/>
              </w:rPr>
            </w:pPr>
            <w:r>
              <w:rPr>
                <w:szCs w:val="21"/>
              </w:rPr>
              <w:t>汞及其化合物</w:t>
            </w:r>
          </w:p>
        </w:tc>
        <w:tc>
          <w:tcPr>
            <w:tcW w:w="1405" w:type="dxa"/>
            <w:vAlign w:val="center"/>
          </w:tcPr>
          <w:p w14:paraId="0D8E832C">
            <w:pPr>
              <w:pStyle w:val="70"/>
              <w:spacing w:beforeLines="0" w:afterLines="0" w:line="240" w:lineRule="auto"/>
              <w:rPr>
                <w:rFonts w:ascii="Times New Roman"/>
                <w:szCs w:val="21"/>
              </w:rPr>
            </w:pPr>
            <w:r>
              <w:rPr>
                <w:rFonts w:ascii="Times New Roman"/>
                <w:szCs w:val="21"/>
              </w:rPr>
              <w:t>0.016</w:t>
            </w:r>
          </w:p>
        </w:tc>
        <w:tc>
          <w:tcPr>
            <w:tcW w:w="1263" w:type="dxa"/>
            <w:vAlign w:val="center"/>
          </w:tcPr>
          <w:p w14:paraId="2F4AE130">
            <w:pPr>
              <w:pStyle w:val="70"/>
              <w:spacing w:beforeLines="0" w:afterLines="0" w:line="240" w:lineRule="auto"/>
              <w:rPr>
                <w:rFonts w:ascii="Times New Roman"/>
                <w:snapToGrid w:val="0"/>
                <w:szCs w:val="21"/>
              </w:rPr>
            </w:pPr>
            <w:r>
              <w:rPr>
                <w:rFonts w:ascii="Times New Roman"/>
                <w:szCs w:val="21"/>
              </w:rPr>
              <w:t>0.016</w:t>
            </w:r>
          </w:p>
        </w:tc>
        <w:tc>
          <w:tcPr>
            <w:tcW w:w="1683" w:type="dxa"/>
            <w:vAlign w:val="center"/>
          </w:tcPr>
          <w:p w14:paraId="66ADBCBC">
            <w:pPr>
              <w:pStyle w:val="70"/>
              <w:spacing w:beforeLines="0" w:afterLines="0" w:line="240" w:lineRule="auto"/>
              <w:rPr>
                <w:rFonts w:ascii="Times New Roman"/>
                <w:snapToGrid w:val="0"/>
                <w:szCs w:val="21"/>
              </w:rPr>
            </w:pPr>
            <w:r>
              <w:rPr>
                <w:rFonts w:ascii="Times New Roman"/>
                <w:szCs w:val="21"/>
              </w:rPr>
              <w:t>0</w:t>
            </w:r>
          </w:p>
        </w:tc>
        <w:tc>
          <w:tcPr>
            <w:tcW w:w="1543" w:type="dxa"/>
            <w:vAlign w:val="center"/>
          </w:tcPr>
          <w:p w14:paraId="322E7162">
            <w:pPr>
              <w:jc w:val="center"/>
              <w:rPr>
                <w:szCs w:val="21"/>
              </w:rPr>
            </w:pPr>
            <w:r>
              <w:rPr>
                <w:szCs w:val="21"/>
              </w:rPr>
              <w:t>0</w:t>
            </w:r>
          </w:p>
        </w:tc>
        <w:tc>
          <w:tcPr>
            <w:tcW w:w="1743" w:type="dxa"/>
            <w:vAlign w:val="center"/>
          </w:tcPr>
          <w:p w14:paraId="3AC08475">
            <w:pPr>
              <w:pStyle w:val="70"/>
              <w:spacing w:beforeLines="0" w:afterLines="0" w:line="240" w:lineRule="auto"/>
              <w:rPr>
                <w:rFonts w:ascii="Times New Roman"/>
                <w:snapToGrid w:val="0"/>
                <w:kern w:val="21"/>
                <w:szCs w:val="21"/>
              </w:rPr>
            </w:pPr>
            <w:r>
              <w:rPr>
                <w:rFonts w:ascii="Times New Roman"/>
                <w:szCs w:val="21"/>
              </w:rPr>
              <w:t>0</w:t>
            </w:r>
          </w:p>
        </w:tc>
        <w:tc>
          <w:tcPr>
            <w:tcW w:w="1727" w:type="dxa"/>
            <w:vAlign w:val="center"/>
          </w:tcPr>
          <w:p w14:paraId="06A65DC4">
            <w:pPr>
              <w:pStyle w:val="70"/>
              <w:spacing w:beforeLines="0" w:afterLines="0" w:line="240" w:lineRule="auto"/>
              <w:rPr>
                <w:rFonts w:ascii="Times New Roman"/>
                <w:snapToGrid w:val="0"/>
                <w:szCs w:val="21"/>
              </w:rPr>
            </w:pPr>
            <w:r>
              <w:rPr>
                <w:rFonts w:ascii="Times New Roman"/>
                <w:szCs w:val="21"/>
              </w:rPr>
              <w:t>0.016</w:t>
            </w:r>
          </w:p>
        </w:tc>
        <w:tc>
          <w:tcPr>
            <w:tcW w:w="1029" w:type="dxa"/>
            <w:vAlign w:val="center"/>
          </w:tcPr>
          <w:p w14:paraId="3767D2D7">
            <w:pPr>
              <w:jc w:val="center"/>
              <w:rPr>
                <w:szCs w:val="21"/>
              </w:rPr>
            </w:pPr>
            <w:r>
              <w:rPr>
                <w:szCs w:val="21"/>
              </w:rPr>
              <w:t>0</w:t>
            </w:r>
          </w:p>
        </w:tc>
      </w:tr>
      <w:tr w14:paraId="140AFB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7BECAF64">
            <w:pPr>
              <w:pStyle w:val="70"/>
              <w:spacing w:beforeLines="0" w:afterLines="0" w:line="240" w:lineRule="auto"/>
              <w:rPr>
                <w:rFonts w:ascii="Times New Roman"/>
                <w:snapToGrid w:val="0"/>
                <w:kern w:val="21"/>
                <w:szCs w:val="21"/>
              </w:rPr>
            </w:pPr>
          </w:p>
        </w:tc>
        <w:tc>
          <w:tcPr>
            <w:tcW w:w="2410" w:type="dxa"/>
            <w:vAlign w:val="center"/>
          </w:tcPr>
          <w:p w14:paraId="42117E13">
            <w:pPr>
              <w:jc w:val="center"/>
              <w:rPr>
                <w:szCs w:val="21"/>
              </w:rPr>
            </w:pPr>
            <w:r>
              <w:rPr>
                <w:szCs w:val="21"/>
              </w:rPr>
              <w:t>非甲烷总烃</w:t>
            </w:r>
          </w:p>
        </w:tc>
        <w:tc>
          <w:tcPr>
            <w:tcW w:w="1405" w:type="dxa"/>
            <w:vAlign w:val="center"/>
          </w:tcPr>
          <w:p w14:paraId="341E645D">
            <w:pPr>
              <w:pStyle w:val="70"/>
              <w:spacing w:beforeLines="0" w:afterLines="0" w:line="240" w:lineRule="auto"/>
              <w:rPr>
                <w:rFonts w:ascii="Times New Roman"/>
                <w:szCs w:val="21"/>
              </w:rPr>
            </w:pPr>
            <w:r>
              <w:rPr>
                <w:rFonts w:ascii="Times New Roman"/>
                <w:szCs w:val="21"/>
              </w:rPr>
              <w:t>6.977</w:t>
            </w:r>
          </w:p>
        </w:tc>
        <w:tc>
          <w:tcPr>
            <w:tcW w:w="1263" w:type="dxa"/>
            <w:vAlign w:val="center"/>
          </w:tcPr>
          <w:p w14:paraId="0CFD05E0">
            <w:pPr>
              <w:pStyle w:val="70"/>
              <w:spacing w:beforeLines="0" w:afterLines="0" w:line="240" w:lineRule="auto"/>
              <w:rPr>
                <w:rFonts w:ascii="Times New Roman"/>
                <w:snapToGrid w:val="0"/>
                <w:szCs w:val="21"/>
              </w:rPr>
            </w:pPr>
            <w:r>
              <w:rPr>
                <w:rFonts w:ascii="Times New Roman"/>
                <w:szCs w:val="21"/>
              </w:rPr>
              <w:t>92.99</w:t>
            </w:r>
          </w:p>
        </w:tc>
        <w:tc>
          <w:tcPr>
            <w:tcW w:w="1683" w:type="dxa"/>
            <w:vAlign w:val="center"/>
          </w:tcPr>
          <w:p w14:paraId="61D71DCB">
            <w:pPr>
              <w:pStyle w:val="70"/>
              <w:spacing w:beforeLines="0" w:afterLines="0" w:line="240" w:lineRule="auto"/>
              <w:rPr>
                <w:rFonts w:ascii="Times New Roman"/>
                <w:snapToGrid w:val="0"/>
                <w:szCs w:val="21"/>
              </w:rPr>
            </w:pPr>
            <w:r>
              <w:rPr>
                <w:rFonts w:ascii="Times New Roman"/>
                <w:szCs w:val="21"/>
              </w:rPr>
              <w:t>0</w:t>
            </w:r>
          </w:p>
        </w:tc>
        <w:tc>
          <w:tcPr>
            <w:tcW w:w="1543" w:type="dxa"/>
            <w:vAlign w:val="center"/>
          </w:tcPr>
          <w:p w14:paraId="149ED029">
            <w:pPr>
              <w:jc w:val="center"/>
              <w:rPr>
                <w:szCs w:val="21"/>
              </w:rPr>
            </w:pPr>
            <w:r>
              <w:rPr>
                <w:szCs w:val="21"/>
              </w:rPr>
              <w:t>17.09</w:t>
            </w:r>
          </w:p>
        </w:tc>
        <w:tc>
          <w:tcPr>
            <w:tcW w:w="1743" w:type="dxa"/>
            <w:vAlign w:val="center"/>
          </w:tcPr>
          <w:p w14:paraId="2BA47F73">
            <w:pPr>
              <w:pStyle w:val="70"/>
              <w:spacing w:beforeLines="0" w:afterLines="0" w:line="240" w:lineRule="auto"/>
              <w:rPr>
                <w:rFonts w:ascii="Times New Roman"/>
                <w:snapToGrid w:val="0"/>
                <w:kern w:val="21"/>
                <w:szCs w:val="21"/>
              </w:rPr>
            </w:pPr>
            <w:r>
              <w:rPr>
                <w:rFonts w:ascii="Times New Roman"/>
                <w:szCs w:val="21"/>
              </w:rPr>
              <w:t>12.04</w:t>
            </w:r>
          </w:p>
        </w:tc>
        <w:tc>
          <w:tcPr>
            <w:tcW w:w="1727" w:type="dxa"/>
            <w:vAlign w:val="center"/>
          </w:tcPr>
          <w:p w14:paraId="60BA2E59">
            <w:pPr>
              <w:pStyle w:val="70"/>
              <w:spacing w:beforeLines="0" w:afterLines="0" w:line="240" w:lineRule="auto"/>
              <w:rPr>
                <w:rFonts w:ascii="Times New Roman"/>
                <w:snapToGrid w:val="0"/>
                <w:szCs w:val="21"/>
              </w:rPr>
            </w:pPr>
            <w:r>
              <w:rPr>
                <w:rFonts w:ascii="Times New Roman"/>
                <w:szCs w:val="21"/>
              </w:rPr>
              <w:t>92.99</w:t>
            </w:r>
          </w:p>
        </w:tc>
        <w:tc>
          <w:tcPr>
            <w:tcW w:w="1029" w:type="dxa"/>
            <w:vAlign w:val="center"/>
          </w:tcPr>
          <w:p w14:paraId="619108C9">
            <w:pPr>
              <w:jc w:val="center"/>
              <w:rPr>
                <w:szCs w:val="21"/>
              </w:rPr>
            </w:pPr>
            <w:r>
              <w:rPr>
                <w:rFonts w:hint="eastAsia"/>
                <w:szCs w:val="21"/>
              </w:rPr>
              <w:t>0</w:t>
            </w:r>
          </w:p>
        </w:tc>
      </w:tr>
      <w:tr w14:paraId="7692DC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046EDAE9">
            <w:pPr>
              <w:pStyle w:val="70"/>
              <w:spacing w:beforeLines="0" w:afterLines="0" w:line="240" w:lineRule="auto"/>
              <w:rPr>
                <w:rFonts w:ascii="Times New Roman"/>
                <w:snapToGrid w:val="0"/>
                <w:kern w:val="21"/>
                <w:szCs w:val="21"/>
              </w:rPr>
            </w:pPr>
          </w:p>
        </w:tc>
        <w:tc>
          <w:tcPr>
            <w:tcW w:w="2410" w:type="dxa"/>
            <w:vAlign w:val="center"/>
          </w:tcPr>
          <w:p w14:paraId="2BD0D824">
            <w:pPr>
              <w:jc w:val="center"/>
              <w:rPr>
                <w:szCs w:val="21"/>
              </w:rPr>
            </w:pPr>
            <w:r>
              <w:rPr>
                <w:szCs w:val="21"/>
              </w:rPr>
              <w:t>乙醛</w:t>
            </w:r>
          </w:p>
        </w:tc>
        <w:tc>
          <w:tcPr>
            <w:tcW w:w="1405" w:type="dxa"/>
            <w:vAlign w:val="center"/>
          </w:tcPr>
          <w:p w14:paraId="06009919">
            <w:pPr>
              <w:pStyle w:val="70"/>
              <w:spacing w:beforeLines="0" w:afterLines="0" w:line="240" w:lineRule="auto"/>
              <w:rPr>
                <w:rFonts w:ascii="Times New Roman"/>
                <w:szCs w:val="21"/>
              </w:rPr>
            </w:pPr>
            <w:r>
              <w:rPr>
                <w:rFonts w:ascii="Times New Roman"/>
                <w:szCs w:val="21"/>
              </w:rPr>
              <w:t>0.1307</w:t>
            </w:r>
          </w:p>
        </w:tc>
        <w:tc>
          <w:tcPr>
            <w:tcW w:w="1263" w:type="dxa"/>
            <w:vAlign w:val="center"/>
          </w:tcPr>
          <w:p w14:paraId="5FFE1A83">
            <w:pPr>
              <w:pStyle w:val="70"/>
              <w:spacing w:beforeLines="0" w:afterLines="0" w:line="240" w:lineRule="auto"/>
              <w:rPr>
                <w:rFonts w:ascii="Times New Roman"/>
                <w:snapToGrid w:val="0"/>
                <w:szCs w:val="21"/>
              </w:rPr>
            </w:pPr>
            <w:r>
              <w:rPr>
                <w:rFonts w:ascii="Times New Roman"/>
                <w:szCs w:val="21"/>
              </w:rPr>
              <w:t>0.3</w:t>
            </w:r>
          </w:p>
        </w:tc>
        <w:tc>
          <w:tcPr>
            <w:tcW w:w="1683" w:type="dxa"/>
            <w:vAlign w:val="center"/>
          </w:tcPr>
          <w:p w14:paraId="324C09E7">
            <w:pPr>
              <w:pStyle w:val="70"/>
              <w:spacing w:beforeLines="0" w:afterLines="0" w:line="240" w:lineRule="auto"/>
              <w:rPr>
                <w:rFonts w:ascii="Times New Roman"/>
                <w:snapToGrid w:val="0"/>
                <w:kern w:val="21"/>
                <w:szCs w:val="21"/>
              </w:rPr>
            </w:pPr>
            <w:r>
              <w:rPr>
                <w:rFonts w:ascii="Times New Roman"/>
                <w:szCs w:val="21"/>
              </w:rPr>
              <w:t>0</w:t>
            </w:r>
          </w:p>
        </w:tc>
        <w:tc>
          <w:tcPr>
            <w:tcW w:w="1543" w:type="dxa"/>
            <w:vAlign w:val="center"/>
          </w:tcPr>
          <w:p w14:paraId="2A24B57E">
            <w:pPr>
              <w:jc w:val="center"/>
              <w:rPr>
                <w:szCs w:val="21"/>
              </w:rPr>
            </w:pPr>
            <w:r>
              <w:rPr>
                <w:szCs w:val="21"/>
              </w:rPr>
              <w:t>0</w:t>
            </w:r>
          </w:p>
        </w:tc>
        <w:tc>
          <w:tcPr>
            <w:tcW w:w="1743" w:type="dxa"/>
            <w:vAlign w:val="center"/>
          </w:tcPr>
          <w:p w14:paraId="5D535CB1">
            <w:pPr>
              <w:pStyle w:val="70"/>
              <w:spacing w:beforeLines="0" w:afterLines="0" w:line="240" w:lineRule="auto"/>
              <w:rPr>
                <w:rFonts w:ascii="Times New Roman"/>
                <w:snapToGrid w:val="0"/>
                <w:kern w:val="21"/>
                <w:szCs w:val="21"/>
              </w:rPr>
            </w:pPr>
            <w:r>
              <w:rPr>
                <w:rFonts w:ascii="Times New Roman"/>
                <w:szCs w:val="21"/>
              </w:rPr>
              <w:t>0</w:t>
            </w:r>
          </w:p>
        </w:tc>
        <w:tc>
          <w:tcPr>
            <w:tcW w:w="1727" w:type="dxa"/>
            <w:vAlign w:val="center"/>
          </w:tcPr>
          <w:p w14:paraId="6217DBCC">
            <w:pPr>
              <w:pStyle w:val="70"/>
              <w:spacing w:beforeLines="0" w:afterLines="0" w:line="240" w:lineRule="auto"/>
              <w:rPr>
                <w:rFonts w:ascii="Times New Roman"/>
                <w:snapToGrid w:val="0"/>
                <w:szCs w:val="21"/>
              </w:rPr>
            </w:pPr>
            <w:r>
              <w:rPr>
                <w:rFonts w:ascii="Times New Roman"/>
                <w:szCs w:val="21"/>
              </w:rPr>
              <w:t>0.3</w:t>
            </w:r>
          </w:p>
        </w:tc>
        <w:tc>
          <w:tcPr>
            <w:tcW w:w="1029" w:type="dxa"/>
            <w:vAlign w:val="center"/>
          </w:tcPr>
          <w:p w14:paraId="485817B8">
            <w:pPr>
              <w:jc w:val="center"/>
              <w:rPr>
                <w:szCs w:val="21"/>
              </w:rPr>
            </w:pPr>
            <w:r>
              <w:rPr>
                <w:szCs w:val="21"/>
              </w:rPr>
              <w:t>0</w:t>
            </w:r>
          </w:p>
        </w:tc>
      </w:tr>
      <w:tr w14:paraId="6925E7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7B19D2AE">
            <w:pPr>
              <w:pStyle w:val="70"/>
              <w:spacing w:beforeLines="0" w:afterLines="0" w:line="240" w:lineRule="auto"/>
              <w:rPr>
                <w:rFonts w:ascii="Times New Roman"/>
                <w:snapToGrid w:val="0"/>
                <w:kern w:val="21"/>
                <w:szCs w:val="21"/>
              </w:rPr>
            </w:pPr>
          </w:p>
        </w:tc>
        <w:tc>
          <w:tcPr>
            <w:tcW w:w="2410" w:type="dxa"/>
            <w:vAlign w:val="center"/>
          </w:tcPr>
          <w:p w14:paraId="28B44849">
            <w:pPr>
              <w:jc w:val="center"/>
              <w:rPr>
                <w:szCs w:val="21"/>
              </w:rPr>
            </w:pPr>
            <w:r>
              <w:rPr>
                <w:szCs w:val="21"/>
              </w:rPr>
              <w:t>乙二醇</w:t>
            </w:r>
          </w:p>
        </w:tc>
        <w:tc>
          <w:tcPr>
            <w:tcW w:w="1405" w:type="dxa"/>
            <w:vAlign w:val="center"/>
          </w:tcPr>
          <w:p w14:paraId="2745E1BA">
            <w:pPr>
              <w:pStyle w:val="70"/>
              <w:spacing w:beforeLines="0" w:afterLines="0" w:line="240" w:lineRule="auto"/>
              <w:rPr>
                <w:rFonts w:ascii="Times New Roman"/>
                <w:snapToGrid w:val="0"/>
                <w:kern w:val="21"/>
                <w:szCs w:val="21"/>
              </w:rPr>
            </w:pPr>
            <w:r>
              <w:rPr>
                <w:rFonts w:ascii="Times New Roman"/>
                <w:szCs w:val="21"/>
              </w:rPr>
              <w:t>0.076</w:t>
            </w:r>
          </w:p>
        </w:tc>
        <w:tc>
          <w:tcPr>
            <w:tcW w:w="1263" w:type="dxa"/>
            <w:vAlign w:val="center"/>
          </w:tcPr>
          <w:p w14:paraId="3EF161CE">
            <w:pPr>
              <w:pStyle w:val="70"/>
              <w:spacing w:beforeLines="0" w:afterLines="0" w:line="240" w:lineRule="auto"/>
              <w:rPr>
                <w:rFonts w:ascii="Times New Roman"/>
                <w:snapToGrid w:val="0"/>
                <w:szCs w:val="21"/>
              </w:rPr>
            </w:pPr>
            <w:r>
              <w:rPr>
                <w:rFonts w:ascii="Times New Roman"/>
                <w:szCs w:val="21"/>
              </w:rPr>
              <w:t>0.175</w:t>
            </w:r>
          </w:p>
        </w:tc>
        <w:tc>
          <w:tcPr>
            <w:tcW w:w="1683" w:type="dxa"/>
            <w:vAlign w:val="center"/>
          </w:tcPr>
          <w:p w14:paraId="4D41EF61">
            <w:pPr>
              <w:pStyle w:val="70"/>
              <w:spacing w:beforeLines="0" w:afterLines="0" w:line="240" w:lineRule="auto"/>
              <w:rPr>
                <w:rFonts w:ascii="Times New Roman"/>
                <w:snapToGrid w:val="0"/>
                <w:kern w:val="21"/>
                <w:szCs w:val="21"/>
              </w:rPr>
            </w:pPr>
            <w:r>
              <w:rPr>
                <w:rFonts w:ascii="Times New Roman"/>
                <w:szCs w:val="21"/>
              </w:rPr>
              <w:t>0</w:t>
            </w:r>
          </w:p>
        </w:tc>
        <w:tc>
          <w:tcPr>
            <w:tcW w:w="1543" w:type="dxa"/>
            <w:vAlign w:val="center"/>
          </w:tcPr>
          <w:p w14:paraId="75894A61">
            <w:pPr>
              <w:jc w:val="center"/>
              <w:rPr>
                <w:szCs w:val="21"/>
              </w:rPr>
            </w:pPr>
            <w:r>
              <w:rPr>
                <w:szCs w:val="21"/>
              </w:rPr>
              <w:t>0</w:t>
            </w:r>
          </w:p>
        </w:tc>
        <w:tc>
          <w:tcPr>
            <w:tcW w:w="1743" w:type="dxa"/>
            <w:vAlign w:val="center"/>
          </w:tcPr>
          <w:p w14:paraId="2EF76BE4">
            <w:pPr>
              <w:pStyle w:val="70"/>
              <w:spacing w:beforeLines="0" w:afterLines="0" w:line="240" w:lineRule="auto"/>
              <w:rPr>
                <w:rFonts w:ascii="Times New Roman"/>
                <w:snapToGrid w:val="0"/>
                <w:kern w:val="21"/>
                <w:szCs w:val="21"/>
              </w:rPr>
            </w:pPr>
            <w:r>
              <w:rPr>
                <w:rFonts w:ascii="Times New Roman"/>
                <w:szCs w:val="21"/>
              </w:rPr>
              <w:t>0</w:t>
            </w:r>
          </w:p>
        </w:tc>
        <w:tc>
          <w:tcPr>
            <w:tcW w:w="1727" w:type="dxa"/>
            <w:vAlign w:val="center"/>
          </w:tcPr>
          <w:p w14:paraId="64F2DF05">
            <w:pPr>
              <w:pStyle w:val="70"/>
              <w:spacing w:beforeLines="0" w:afterLines="0" w:line="240" w:lineRule="auto"/>
              <w:rPr>
                <w:rFonts w:ascii="Times New Roman"/>
                <w:snapToGrid w:val="0"/>
                <w:szCs w:val="21"/>
              </w:rPr>
            </w:pPr>
            <w:r>
              <w:rPr>
                <w:rFonts w:ascii="Times New Roman"/>
                <w:szCs w:val="21"/>
              </w:rPr>
              <w:t>0.175</w:t>
            </w:r>
          </w:p>
        </w:tc>
        <w:tc>
          <w:tcPr>
            <w:tcW w:w="1029" w:type="dxa"/>
            <w:vAlign w:val="center"/>
          </w:tcPr>
          <w:p w14:paraId="5462B0CF">
            <w:pPr>
              <w:jc w:val="center"/>
              <w:rPr>
                <w:szCs w:val="21"/>
              </w:rPr>
            </w:pPr>
            <w:r>
              <w:rPr>
                <w:szCs w:val="21"/>
              </w:rPr>
              <w:t>0</w:t>
            </w:r>
          </w:p>
        </w:tc>
      </w:tr>
      <w:tr w14:paraId="11578F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6E3ED95E">
            <w:pPr>
              <w:pStyle w:val="70"/>
              <w:spacing w:beforeLines="0" w:afterLines="0" w:line="240" w:lineRule="auto"/>
              <w:rPr>
                <w:rFonts w:ascii="Times New Roman"/>
                <w:snapToGrid w:val="0"/>
                <w:kern w:val="21"/>
                <w:szCs w:val="21"/>
              </w:rPr>
            </w:pPr>
          </w:p>
        </w:tc>
        <w:tc>
          <w:tcPr>
            <w:tcW w:w="2410" w:type="dxa"/>
            <w:vAlign w:val="center"/>
          </w:tcPr>
          <w:p w14:paraId="7C25D16C">
            <w:pPr>
              <w:jc w:val="center"/>
              <w:rPr>
                <w:szCs w:val="21"/>
              </w:rPr>
            </w:pPr>
            <w:r>
              <w:rPr>
                <w:szCs w:val="21"/>
              </w:rPr>
              <w:t>合计（以VOCs计）</w:t>
            </w:r>
          </w:p>
        </w:tc>
        <w:tc>
          <w:tcPr>
            <w:tcW w:w="1405" w:type="dxa"/>
            <w:vAlign w:val="center"/>
          </w:tcPr>
          <w:p w14:paraId="51E01A30">
            <w:pPr>
              <w:pStyle w:val="70"/>
              <w:spacing w:beforeLines="0" w:afterLines="0" w:line="240" w:lineRule="auto"/>
              <w:rPr>
                <w:rFonts w:ascii="Times New Roman"/>
                <w:szCs w:val="21"/>
              </w:rPr>
            </w:pPr>
            <w:r>
              <w:rPr>
                <w:rFonts w:ascii="Times New Roman"/>
                <w:szCs w:val="21"/>
              </w:rPr>
              <w:t>6.977</w:t>
            </w:r>
          </w:p>
        </w:tc>
        <w:tc>
          <w:tcPr>
            <w:tcW w:w="1263" w:type="dxa"/>
            <w:vAlign w:val="center"/>
          </w:tcPr>
          <w:p w14:paraId="1D598A51">
            <w:pPr>
              <w:pStyle w:val="70"/>
              <w:spacing w:beforeLines="0" w:afterLines="0" w:line="240" w:lineRule="auto"/>
              <w:rPr>
                <w:rFonts w:ascii="Times New Roman"/>
                <w:snapToGrid w:val="0"/>
                <w:szCs w:val="21"/>
              </w:rPr>
            </w:pPr>
            <w:r>
              <w:rPr>
                <w:rFonts w:ascii="Times New Roman"/>
                <w:szCs w:val="21"/>
              </w:rPr>
              <w:t>92.99</w:t>
            </w:r>
          </w:p>
        </w:tc>
        <w:tc>
          <w:tcPr>
            <w:tcW w:w="1683" w:type="dxa"/>
            <w:vAlign w:val="center"/>
          </w:tcPr>
          <w:p w14:paraId="0F1C07F7">
            <w:pPr>
              <w:pStyle w:val="70"/>
              <w:spacing w:beforeLines="0" w:afterLines="0" w:line="240" w:lineRule="auto"/>
              <w:rPr>
                <w:rFonts w:ascii="Times New Roman"/>
                <w:snapToGrid w:val="0"/>
                <w:kern w:val="21"/>
                <w:szCs w:val="21"/>
              </w:rPr>
            </w:pPr>
            <w:r>
              <w:rPr>
                <w:rFonts w:ascii="Times New Roman"/>
                <w:szCs w:val="21"/>
              </w:rPr>
              <w:t>0</w:t>
            </w:r>
          </w:p>
        </w:tc>
        <w:tc>
          <w:tcPr>
            <w:tcW w:w="1543" w:type="dxa"/>
            <w:vAlign w:val="center"/>
          </w:tcPr>
          <w:p w14:paraId="416A4D98">
            <w:pPr>
              <w:jc w:val="center"/>
              <w:rPr>
                <w:szCs w:val="21"/>
              </w:rPr>
            </w:pPr>
            <w:r>
              <w:rPr>
                <w:szCs w:val="21"/>
              </w:rPr>
              <w:t>17.09</w:t>
            </w:r>
          </w:p>
        </w:tc>
        <w:tc>
          <w:tcPr>
            <w:tcW w:w="1743" w:type="dxa"/>
            <w:vAlign w:val="center"/>
          </w:tcPr>
          <w:p w14:paraId="262FA945">
            <w:pPr>
              <w:pStyle w:val="70"/>
              <w:spacing w:beforeLines="0" w:afterLines="0" w:line="240" w:lineRule="auto"/>
              <w:rPr>
                <w:rFonts w:ascii="Times New Roman"/>
                <w:snapToGrid w:val="0"/>
                <w:kern w:val="21"/>
                <w:szCs w:val="21"/>
              </w:rPr>
            </w:pPr>
            <w:r>
              <w:rPr>
                <w:rFonts w:ascii="Times New Roman"/>
                <w:szCs w:val="21"/>
              </w:rPr>
              <w:t>12.04</w:t>
            </w:r>
          </w:p>
        </w:tc>
        <w:tc>
          <w:tcPr>
            <w:tcW w:w="1727" w:type="dxa"/>
            <w:vAlign w:val="center"/>
          </w:tcPr>
          <w:p w14:paraId="0D7D88DF">
            <w:pPr>
              <w:pStyle w:val="70"/>
              <w:spacing w:beforeLines="0" w:afterLines="0" w:line="240" w:lineRule="auto"/>
              <w:rPr>
                <w:rFonts w:ascii="Times New Roman"/>
                <w:snapToGrid w:val="0"/>
                <w:szCs w:val="21"/>
              </w:rPr>
            </w:pPr>
            <w:r>
              <w:rPr>
                <w:rFonts w:ascii="Times New Roman"/>
                <w:szCs w:val="21"/>
              </w:rPr>
              <w:t>92.99</w:t>
            </w:r>
          </w:p>
        </w:tc>
        <w:tc>
          <w:tcPr>
            <w:tcW w:w="1029" w:type="dxa"/>
            <w:vAlign w:val="center"/>
          </w:tcPr>
          <w:p w14:paraId="23F88D75">
            <w:pPr>
              <w:jc w:val="center"/>
              <w:rPr>
                <w:szCs w:val="21"/>
              </w:rPr>
            </w:pPr>
            <w:r>
              <w:rPr>
                <w:rFonts w:hint="eastAsia"/>
                <w:szCs w:val="21"/>
              </w:rPr>
              <w:t>0</w:t>
            </w:r>
          </w:p>
        </w:tc>
      </w:tr>
      <w:tr w14:paraId="296464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restart"/>
            <w:vAlign w:val="center"/>
          </w:tcPr>
          <w:p w14:paraId="6717E5D9">
            <w:pPr>
              <w:pStyle w:val="70"/>
              <w:spacing w:beforeLines="0" w:afterLines="0" w:line="240" w:lineRule="auto"/>
              <w:rPr>
                <w:rFonts w:ascii="Times New Roman"/>
                <w:snapToGrid w:val="0"/>
                <w:kern w:val="21"/>
                <w:szCs w:val="21"/>
              </w:rPr>
            </w:pPr>
            <w:r>
              <w:rPr>
                <w:rFonts w:ascii="Times New Roman"/>
                <w:snapToGrid w:val="0"/>
                <w:kern w:val="21"/>
                <w:szCs w:val="21"/>
              </w:rPr>
              <w:t>废水</w:t>
            </w:r>
          </w:p>
        </w:tc>
        <w:tc>
          <w:tcPr>
            <w:tcW w:w="2410" w:type="dxa"/>
            <w:vAlign w:val="center"/>
          </w:tcPr>
          <w:p w14:paraId="1AD9A6E7">
            <w:pPr>
              <w:jc w:val="center"/>
              <w:rPr>
                <w:szCs w:val="21"/>
              </w:rPr>
            </w:pPr>
            <w:r>
              <w:rPr>
                <w:szCs w:val="21"/>
              </w:rPr>
              <w:t>COD</w:t>
            </w:r>
          </w:p>
        </w:tc>
        <w:tc>
          <w:tcPr>
            <w:tcW w:w="1405" w:type="dxa"/>
            <w:vAlign w:val="center"/>
          </w:tcPr>
          <w:p w14:paraId="2AE4A311">
            <w:pPr>
              <w:pStyle w:val="70"/>
              <w:spacing w:beforeLines="0" w:afterLines="0" w:line="240" w:lineRule="auto"/>
              <w:rPr>
                <w:rFonts w:ascii="Times New Roman"/>
                <w:szCs w:val="21"/>
              </w:rPr>
            </w:pPr>
            <w:r>
              <w:rPr>
                <w:rFonts w:ascii="Times New Roman"/>
                <w:szCs w:val="21"/>
              </w:rPr>
              <w:t>40.976</w:t>
            </w:r>
          </w:p>
        </w:tc>
        <w:tc>
          <w:tcPr>
            <w:tcW w:w="1263" w:type="dxa"/>
            <w:vAlign w:val="center"/>
          </w:tcPr>
          <w:p w14:paraId="20509107">
            <w:pPr>
              <w:pStyle w:val="70"/>
              <w:spacing w:beforeLines="0" w:afterLines="0" w:line="240" w:lineRule="auto"/>
              <w:rPr>
                <w:rFonts w:ascii="Times New Roman"/>
                <w:snapToGrid w:val="0"/>
                <w:szCs w:val="21"/>
              </w:rPr>
            </w:pPr>
            <w:r>
              <w:rPr>
                <w:rFonts w:ascii="Times New Roman"/>
                <w:szCs w:val="21"/>
              </w:rPr>
              <w:t>244.51</w:t>
            </w:r>
          </w:p>
        </w:tc>
        <w:tc>
          <w:tcPr>
            <w:tcW w:w="1683" w:type="dxa"/>
            <w:vAlign w:val="center"/>
          </w:tcPr>
          <w:p w14:paraId="4DD888D1">
            <w:pPr>
              <w:pStyle w:val="70"/>
              <w:spacing w:beforeLines="0" w:afterLines="0" w:line="240" w:lineRule="auto"/>
              <w:rPr>
                <w:rFonts w:ascii="Times New Roman"/>
                <w:snapToGrid w:val="0"/>
                <w:szCs w:val="21"/>
              </w:rPr>
            </w:pPr>
            <w:r>
              <w:rPr>
                <w:rFonts w:ascii="Times New Roman"/>
                <w:szCs w:val="21"/>
              </w:rPr>
              <w:t>0</w:t>
            </w:r>
          </w:p>
        </w:tc>
        <w:tc>
          <w:tcPr>
            <w:tcW w:w="1543" w:type="dxa"/>
            <w:vAlign w:val="center"/>
          </w:tcPr>
          <w:p w14:paraId="07059A83">
            <w:pPr>
              <w:jc w:val="center"/>
              <w:rPr>
                <w:szCs w:val="21"/>
              </w:rPr>
            </w:pPr>
            <w:r>
              <w:rPr>
                <w:sz w:val="20"/>
                <w:szCs w:val="20"/>
              </w:rPr>
              <w:t>1.47</w:t>
            </w:r>
          </w:p>
        </w:tc>
        <w:tc>
          <w:tcPr>
            <w:tcW w:w="1743" w:type="dxa"/>
            <w:vAlign w:val="center"/>
          </w:tcPr>
          <w:p w14:paraId="7D054C3B">
            <w:pPr>
              <w:pStyle w:val="70"/>
              <w:spacing w:beforeLines="0" w:afterLines="0" w:line="240" w:lineRule="auto"/>
              <w:rPr>
                <w:rFonts w:ascii="Times New Roman"/>
                <w:snapToGrid w:val="0"/>
                <w:kern w:val="21"/>
                <w:szCs w:val="21"/>
              </w:rPr>
            </w:pPr>
            <w:r>
              <w:rPr>
                <w:rFonts w:ascii="Times New Roman"/>
                <w:sz w:val="20"/>
              </w:rPr>
              <w:t>1.47</w:t>
            </w:r>
          </w:p>
        </w:tc>
        <w:tc>
          <w:tcPr>
            <w:tcW w:w="1727" w:type="dxa"/>
            <w:vAlign w:val="center"/>
          </w:tcPr>
          <w:p w14:paraId="4F4A7FEC">
            <w:pPr>
              <w:pStyle w:val="70"/>
              <w:spacing w:beforeLines="0" w:afterLines="0" w:line="240" w:lineRule="auto"/>
              <w:rPr>
                <w:rFonts w:ascii="Times New Roman"/>
                <w:snapToGrid w:val="0"/>
                <w:szCs w:val="21"/>
              </w:rPr>
            </w:pPr>
            <w:r>
              <w:rPr>
                <w:rFonts w:ascii="Times New Roman"/>
                <w:szCs w:val="21"/>
              </w:rPr>
              <w:t>244.51</w:t>
            </w:r>
          </w:p>
        </w:tc>
        <w:tc>
          <w:tcPr>
            <w:tcW w:w="1029" w:type="dxa"/>
            <w:vAlign w:val="center"/>
          </w:tcPr>
          <w:p w14:paraId="781A70C0">
            <w:pPr>
              <w:jc w:val="center"/>
              <w:rPr>
                <w:szCs w:val="21"/>
              </w:rPr>
            </w:pPr>
            <w:r>
              <w:rPr>
                <w:szCs w:val="21"/>
              </w:rPr>
              <w:t>0</w:t>
            </w:r>
          </w:p>
        </w:tc>
      </w:tr>
      <w:tr w14:paraId="5E7742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0B7BA115">
            <w:pPr>
              <w:pStyle w:val="70"/>
              <w:spacing w:beforeLines="0" w:afterLines="0" w:line="240" w:lineRule="auto"/>
              <w:rPr>
                <w:rFonts w:ascii="Times New Roman"/>
                <w:snapToGrid w:val="0"/>
                <w:kern w:val="21"/>
                <w:szCs w:val="21"/>
              </w:rPr>
            </w:pPr>
          </w:p>
        </w:tc>
        <w:tc>
          <w:tcPr>
            <w:tcW w:w="2410" w:type="dxa"/>
            <w:vAlign w:val="center"/>
          </w:tcPr>
          <w:p w14:paraId="20DF543C">
            <w:pPr>
              <w:jc w:val="center"/>
              <w:rPr>
                <w:szCs w:val="21"/>
              </w:rPr>
            </w:pPr>
            <w:r>
              <w:rPr>
                <w:szCs w:val="21"/>
              </w:rPr>
              <w:t>SS</w:t>
            </w:r>
          </w:p>
        </w:tc>
        <w:tc>
          <w:tcPr>
            <w:tcW w:w="1405" w:type="dxa"/>
            <w:vAlign w:val="center"/>
          </w:tcPr>
          <w:p w14:paraId="32AF3EB7">
            <w:pPr>
              <w:pStyle w:val="70"/>
              <w:spacing w:beforeLines="0" w:afterLines="0" w:line="240" w:lineRule="auto"/>
              <w:rPr>
                <w:rFonts w:ascii="Times New Roman"/>
                <w:szCs w:val="21"/>
              </w:rPr>
            </w:pPr>
            <w:r>
              <w:rPr>
                <w:rFonts w:ascii="Times New Roman"/>
                <w:szCs w:val="21"/>
              </w:rPr>
              <w:t>28.624</w:t>
            </w:r>
          </w:p>
        </w:tc>
        <w:tc>
          <w:tcPr>
            <w:tcW w:w="1263" w:type="dxa"/>
            <w:vAlign w:val="center"/>
          </w:tcPr>
          <w:p w14:paraId="0805BFCF">
            <w:pPr>
              <w:pStyle w:val="70"/>
              <w:spacing w:beforeLines="0" w:afterLines="0" w:line="240" w:lineRule="auto"/>
              <w:rPr>
                <w:rFonts w:ascii="Times New Roman"/>
                <w:szCs w:val="21"/>
              </w:rPr>
            </w:pPr>
            <w:r>
              <w:rPr>
                <w:rFonts w:ascii="Times New Roman"/>
                <w:szCs w:val="21"/>
              </w:rPr>
              <w:t>171.075</w:t>
            </w:r>
          </w:p>
        </w:tc>
        <w:tc>
          <w:tcPr>
            <w:tcW w:w="1683" w:type="dxa"/>
            <w:vAlign w:val="center"/>
          </w:tcPr>
          <w:p w14:paraId="5F9C2D0F">
            <w:pPr>
              <w:pStyle w:val="70"/>
              <w:spacing w:beforeLines="0" w:afterLines="0" w:line="240" w:lineRule="auto"/>
              <w:rPr>
                <w:rFonts w:ascii="Times New Roman"/>
                <w:snapToGrid w:val="0"/>
                <w:szCs w:val="21"/>
              </w:rPr>
            </w:pPr>
            <w:r>
              <w:rPr>
                <w:rFonts w:ascii="Times New Roman"/>
                <w:szCs w:val="21"/>
              </w:rPr>
              <w:t>0</w:t>
            </w:r>
          </w:p>
        </w:tc>
        <w:tc>
          <w:tcPr>
            <w:tcW w:w="1543" w:type="dxa"/>
            <w:vAlign w:val="center"/>
          </w:tcPr>
          <w:p w14:paraId="05796F85">
            <w:pPr>
              <w:widowControl/>
              <w:jc w:val="center"/>
              <w:rPr>
                <w:kern w:val="0"/>
                <w:szCs w:val="21"/>
              </w:rPr>
            </w:pPr>
            <w:r>
              <w:rPr>
                <w:sz w:val="20"/>
                <w:szCs w:val="20"/>
              </w:rPr>
              <w:t>1.03</w:t>
            </w:r>
          </w:p>
        </w:tc>
        <w:tc>
          <w:tcPr>
            <w:tcW w:w="1743" w:type="dxa"/>
            <w:vAlign w:val="center"/>
          </w:tcPr>
          <w:p w14:paraId="1EB7F758">
            <w:pPr>
              <w:pStyle w:val="70"/>
              <w:spacing w:beforeLines="0" w:afterLines="0" w:line="240" w:lineRule="auto"/>
              <w:rPr>
                <w:rFonts w:ascii="Times New Roman"/>
                <w:snapToGrid w:val="0"/>
                <w:kern w:val="21"/>
                <w:szCs w:val="21"/>
              </w:rPr>
            </w:pPr>
            <w:r>
              <w:rPr>
                <w:rFonts w:ascii="Times New Roman"/>
                <w:sz w:val="20"/>
              </w:rPr>
              <w:t>1.03</w:t>
            </w:r>
          </w:p>
        </w:tc>
        <w:tc>
          <w:tcPr>
            <w:tcW w:w="1727" w:type="dxa"/>
            <w:vAlign w:val="center"/>
          </w:tcPr>
          <w:p w14:paraId="12989D06">
            <w:pPr>
              <w:pStyle w:val="70"/>
              <w:spacing w:beforeLines="0" w:afterLines="0" w:line="240" w:lineRule="auto"/>
              <w:rPr>
                <w:rFonts w:ascii="Times New Roman"/>
                <w:snapToGrid w:val="0"/>
                <w:szCs w:val="21"/>
              </w:rPr>
            </w:pPr>
            <w:r>
              <w:rPr>
                <w:rFonts w:ascii="Times New Roman"/>
                <w:szCs w:val="21"/>
              </w:rPr>
              <w:t>171.075</w:t>
            </w:r>
          </w:p>
        </w:tc>
        <w:tc>
          <w:tcPr>
            <w:tcW w:w="1029" w:type="dxa"/>
            <w:vAlign w:val="center"/>
          </w:tcPr>
          <w:p w14:paraId="03CCAF8C">
            <w:pPr>
              <w:widowControl/>
              <w:jc w:val="center"/>
              <w:rPr>
                <w:szCs w:val="21"/>
              </w:rPr>
            </w:pPr>
            <w:r>
              <w:rPr>
                <w:szCs w:val="21"/>
              </w:rPr>
              <w:t>0</w:t>
            </w:r>
          </w:p>
        </w:tc>
      </w:tr>
      <w:tr w14:paraId="231EF3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203D6FFA">
            <w:pPr>
              <w:pStyle w:val="70"/>
              <w:spacing w:beforeLines="0" w:afterLines="0" w:line="240" w:lineRule="auto"/>
              <w:rPr>
                <w:rFonts w:ascii="Times New Roman"/>
                <w:snapToGrid w:val="0"/>
                <w:kern w:val="21"/>
                <w:szCs w:val="21"/>
              </w:rPr>
            </w:pPr>
          </w:p>
        </w:tc>
        <w:tc>
          <w:tcPr>
            <w:tcW w:w="2410" w:type="dxa"/>
            <w:vAlign w:val="center"/>
          </w:tcPr>
          <w:p w14:paraId="6FFD8BC1">
            <w:pPr>
              <w:jc w:val="center"/>
              <w:rPr>
                <w:szCs w:val="21"/>
              </w:rPr>
            </w:pPr>
            <w:r>
              <w:rPr>
                <w:szCs w:val="21"/>
              </w:rPr>
              <w:t>NH</w:t>
            </w:r>
            <w:r>
              <w:rPr>
                <w:szCs w:val="21"/>
                <w:vertAlign w:val="subscript"/>
              </w:rPr>
              <w:t>3</w:t>
            </w:r>
            <w:r>
              <w:rPr>
                <w:szCs w:val="21"/>
              </w:rPr>
              <w:t>-N</w:t>
            </w:r>
          </w:p>
        </w:tc>
        <w:tc>
          <w:tcPr>
            <w:tcW w:w="1405" w:type="dxa"/>
            <w:vAlign w:val="center"/>
          </w:tcPr>
          <w:p w14:paraId="6CE76552">
            <w:pPr>
              <w:pStyle w:val="70"/>
              <w:spacing w:beforeLines="0" w:afterLines="0" w:line="240" w:lineRule="auto"/>
              <w:rPr>
                <w:rFonts w:ascii="Times New Roman"/>
                <w:szCs w:val="21"/>
              </w:rPr>
            </w:pPr>
            <w:r>
              <w:rPr>
                <w:rFonts w:ascii="Times New Roman"/>
                <w:szCs w:val="21"/>
              </w:rPr>
              <w:t>2.561</w:t>
            </w:r>
          </w:p>
        </w:tc>
        <w:tc>
          <w:tcPr>
            <w:tcW w:w="1263" w:type="dxa"/>
            <w:vAlign w:val="center"/>
          </w:tcPr>
          <w:p w14:paraId="0426DE86">
            <w:pPr>
              <w:pStyle w:val="70"/>
              <w:spacing w:beforeLines="0" w:afterLines="0" w:line="240" w:lineRule="auto"/>
              <w:rPr>
                <w:rFonts w:ascii="Times New Roman"/>
                <w:szCs w:val="21"/>
              </w:rPr>
            </w:pPr>
            <w:r>
              <w:rPr>
                <w:rFonts w:ascii="Times New Roman"/>
                <w:szCs w:val="21"/>
              </w:rPr>
              <w:t>15.284</w:t>
            </w:r>
          </w:p>
        </w:tc>
        <w:tc>
          <w:tcPr>
            <w:tcW w:w="1683" w:type="dxa"/>
            <w:vAlign w:val="center"/>
          </w:tcPr>
          <w:p w14:paraId="6233652A">
            <w:pPr>
              <w:pStyle w:val="70"/>
              <w:spacing w:beforeLines="0" w:afterLines="0" w:line="240" w:lineRule="auto"/>
              <w:rPr>
                <w:rFonts w:ascii="Times New Roman"/>
                <w:snapToGrid w:val="0"/>
                <w:szCs w:val="21"/>
              </w:rPr>
            </w:pPr>
            <w:r>
              <w:rPr>
                <w:rFonts w:ascii="Times New Roman"/>
                <w:szCs w:val="21"/>
              </w:rPr>
              <w:t>0</w:t>
            </w:r>
          </w:p>
        </w:tc>
        <w:tc>
          <w:tcPr>
            <w:tcW w:w="1543" w:type="dxa"/>
            <w:vAlign w:val="center"/>
          </w:tcPr>
          <w:p w14:paraId="68BCD5B8">
            <w:pPr>
              <w:jc w:val="center"/>
              <w:rPr>
                <w:szCs w:val="21"/>
              </w:rPr>
            </w:pPr>
            <w:r>
              <w:rPr>
                <w:sz w:val="20"/>
                <w:szCs w:val="20"/>
              </w:rPr>
              <w:t>0.09</w:t>
            </w:r>
          </w:p>
        </w:tc>
        <w:tc>
          <w:tcPr>
            <w:tcW w:w="1743" w:type="dxa"/>
            <w:vAlign w:val="center"/>
          </w:tcPr>
          <w:p w14:paraId="2F5FEF67">
            <w:pPr>
              <w:pStyle w:val="70"/>
              <w:spacing w:beforeLines="0" w:afterLines="0" w:line="240" w:lineRule="auto"/>
              <w:rPr>
                <w:rFonts w:ascii="Times New Roman"/>
                <w:snapToGrid w:val="0"/>
                <w:kern w:val="21"/>
                <w:szCs w:val="21"/>
              </w:rPr>
            </w:pPr>
            <w:r>
              <w:rPr>
                <w:rFonts w:ascii="Times New Roman"/>
                <w:sz w:val="20"/>
              </w:rPr>
              <w:t>0.09</w:t>
            </w:r>
          </w:p>
        </w:tc>
        <w:tc>
          <w:tcPr>
            <w:tcW w:w="1727" w:type="dxa"/>
            <w:vAlign w:val="center"/>
          </w:tcPr>
          <w:p w14:paraId="0E700A0E">
            <w:pPr>
              <w:pStyle w:val="70"/>
              <w:spacing w:beforeLines="0" w:afterLines="0" w:line="240" w:lineRule="auto"/>
              <w:rPr>
                <w:rFonts w:ascii="Times New Roman"/>
                <w:snapToGrid w:val="0"/>
                <w:szCs w:val="21"/>
              </w:rPr>
            </w:pPr>
            <w:r>
              <w:rPr>
                <w:rFonts w:ascii="Times New Roman"/>
                <w:szCs w:val="21"/>
              </w:rPr>
              <w:t>15.284</w:t>
            </w:r>
          </w:p>
        </w:tc>
        <w:tc>
          <w:tcPr>
            <w:tcW w:w="1029" w:type="dxa"/>
            <w:vAlign w:val="center"/>
          </w:tcPr>
          <w:p w14:paraId="7B3E6112">
            <w:pPr>
              <w:jc w:val="center"/>
              <w:rPr>
                <w:szCs w:val="21"/>
              </w:rPr>
            </w:pPr>
            <w:r>
              <w:rPr>
                <w:szCs w:val="21"/>
              </w:rPr>
              <w:t>0</w:t>
            </w:r>
          </w:p>
        </w:tc>
      </w:tr>
      <w:tr w14:paraId="5CF943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756737C4">
            <w:pPr>
              <w:pStyle w:val="70"/>
              <w:spacing w:beforeLines="0" w:afterLines="0" w:line="240" w:lineRule="auto"/>
              <w:rPr>
                <w:rFonts w:ascii="Times New Roman"/>
                <w:snapToGrid w:val="0"/>
                <w:kern w:val="21"/>
                <w:szCs w:val="21"/>
              </w:rPr>
            </w:pPr>
          </w:p>
        </w:tc>
        <w:tc>
          <w:tcPr>
            <w:tcW w:w="2410" w:type="dxa"/>
            <w:vAlign w:val="center"/>
          </w:tcPr>
          <w:p w14:paraId="13D33FA9">
            <w:pPr>
              <w:jc w:val="center"/>
              <w:rPr>
                <w:szCs w:val="21"/>
              </w:rPr>
            </w:pPr>
            <w:r>
              <w:rPr>
                <w:szCs w:val="21"/>
              </w:rPr>
              <w:t>TP</w:t>
            </w:r>
          </w:p>
        </w:tc>
        <w:tc>
          <w:tcPr>
            <w:tcW w:w="1405" w:type="dxa"/>
            <w:vAlign w:val="center"/>
          </w:tcPr>
          <w:p w14:paraId="2A3DE7C6">
            <w:pPr>
              <w:pStyle w:val="70"/>
              <w:spacing w:beforeLines="0" w:afterLines="0" w:line="240" w:lineRule="auto"/>
              <w:rPr>
                <w:rFonts w:ascii="Times New Roman"/>
                <w:szCs w:val="21"/>
              </w:rPr>
            </w:pPr>
            <w:r>
              <w:rPr>
                <w:rFonts w:ascii="Times New Roman"/>
                <w:szCs w:val="21"/>
              </w:rPr>
              <w:t>0.206</w:t>
            </w:r>
          </w:p>
        </w:tc>
        <w:tc>
          <w:tcPr>
            <w:tcW w:w="1263" w:type="dxa"/>
            <w:vAlign w:val="center"/>
          </w:tcPr>
          <w:p w14:paraId="23F1654F">
            <w:pPr>
              <w:pStyle w:val="70"/>
              <w:spacing w:beforeLines="0" w:afterLines="0" w:line="240" w:lineRule="auto"/>
              <w:rPr>
                <w:rFonts w:ascii="Times New Roman"/>
                <w:szCs w:val="21"/>
              </w:rPr>
            </w:pPr>
            <w:r>
              <w:rPr>
                <w:rFonts w:ascii="Times New Roman"/>
                <w:szCs w:val="21"/>
              </w:rPr>
              <w:t>1.224</w:t>
            </w:r>
          </w:p>
        </w:tc>
        <w:tc>
          <w:tcPr>
            <w:tcW w:w="1683" w:type="dxa"/>
            <w:vAlign w:val="center"/>
          </w:tcPr>
          <w:p w14:paraId="7EC83B06">
            <w:pPr>
              <w:pStyle w:val="70"/>
              <w:spacing w:beforeLines="0" w:afterLines="0" w:line="240" w:lineRule="auto"/>
              <w:rPr>
                <w:rFonts w:ascii="Times New Roman"/>
                <w:snapToGrid w:val="0"/>
                <w:szCs w:val="21"/>
              </w:rPr>
            </w:pPr>
            <w:r>
              <w:rPr>
                <w:rFonts w:ascii="Times New Roman"/>
                <w:szCs w:val="21"/>
              </w:rPr>
              <w:t>0</w:t>
            </w:r>
          </w:p>
        </w:tc>
        <w:tc>
          <w:tcPr>
            <w:tcW w:w="1543" w:type="dxa"/>
            <w:vAlign w:val="center"/>
          </w:tcPr>
          <w:p w14:paraId="628D3F47">
            <w:pPr>
              <w:jc w:val="center"/>
              <w:rPr>
                <w:szCs w:val="21"/>
              </w:rPr>
            </w:pPr>
            <w:r>
              <w:rPr>
                <w:sz w:val="20"/>
                <w:szCs w:val="20"/>
              </w:rPr>
              <w:t>0.01</w:t>
            </w:r>
          </w:p>
        </w:tc>
        <w:tc>
          <w:tcPr>
            <w:tcW w:w="1743" w:type="dxa"/>
            <w:vAlign w:val="center"/>
          </w:tcPr>
          <w:p w14:paraId="5FC1686C">
            <w:pPr>
              <w:pStyle w:val="70"/>
              <w:spacing w:beforeLines="0" w:afterLines="0" w:line="240" w:lineRule="auto"/>
              <w:rPr>
                <w:rFonts w:ascii="Times New Roman"/>
                <w:snapToGrid w:val="0"/>
                <w:kern w:val="21"/>
                <w:szCs w:val="21"/>
              </w:rPr>
            </w:pPr>
            <w:r>
              <w:rPr>
                <w:rFonts w:ascii="Times New Roman"/>
                <w:sz w:val="20"/>
              </w:rPr>
              <w:t>0.01</w:t>
            </w:r>
          </w:p>
        </w:tc>
        <w:tc>
          <w:tcPr>
            <w:tcW w:w="1727" w:type="dxa"/>
            <w:vAlign w:val="center"/>
          </w:tcPr>
          <w:p w14:paraId="19CFEB13">
            <w:pPr>
              <w:pStyle w:val="70"/>
              <w:spacing w:beforeLines="0" w:afterLines="0" w:line="240" w:lineRule="auto"/>
              <w:rPr>
                <w:rFonts w:ascii="Times New Roman"/>
                <w:snapToGrid w:val="0"/>
                <w:szCs w:val="21"/>
              </w:rPr>
            </w:pPr>
            <w:r>
              <w:rPr>
                <w:rFonts w:ascii="Times New Roman"/>
                <w:szCs w:val="21"/>
              </w:rPr>
              <w:t>1.224</w:t>
            </w:r>
          </w:p>
        </w:tc>
        <w:tc>
          <w:tcPr>
            <w:tcW w:w="1029" w:type="dxa"/>
            <w:vAlign w:val="center"/>
          </w:tcPr>
          <w:p w14:paraId="587A0AB2">
            <w:pPr>
              <w:jc w:val="center"/>
              <w:rPr>
                <w:szCs w:val="21"/>
              </w:rPr>
            </w:pPr>
            <w:r>
              <w:rPr>
                <w:szCs w:val="21"/>
              </w:rPr>
              <w:t>0</w:t>
            </w:r>
          </w:p>
        </w:tc>
      </w:tr>
      <w:tr w14:paraId="2EADE2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61ACDF54">
            <w:pPr>
              <w:pStyle w:val="70"/>
              <w:spacing w:beforeLines="0" w:afterLines="0" w:line="240" w:lineRule="auto"/>
              <w:rPr>
                <w:rFonts w:ascii="Times New Roman"/>
                <w:snapToGrid w:val="0"/>
                <w:kern w:val="21"/>
                <w:szCs w:val="21"/>
              </w:rPr>
            </w:pPr>
          </w:p>
        </w:tc>
        <w:tc>
          <w:tcPr>
            <w:tcW w:w="2410" w:type="dxa"/>
            <w:vAlign w:val="center"/>
          </w:tcPr>
          <w:p w14:paraId="40009140">
            <w:pPr>
              <w:jc w:val="center"/>
              <w:rPr>
                <w:szCs w:val="21"/>
              </w:rPr>
            </w:pPr>
            <w:r>
              <w:rPr>
                <w:szCs w:val="21"/>
              </w:rPr>
              <w:t>总氮</w:t>
            </w:r>
          </w:p>
        </w:tc>
        <w:tc>
          <w:tcPr>
            <w:tcW w:w="1405" w:type="dxa"/>
            <w:vAlign w:val="center"/>
          </w:tcPr>
          <w:p w14:paraId="70D12820">
            <w:pPr>
              <w:pStyle w:val="70"/>
              <w:spacing w:beforeLines="0" w:afterLines="0" w:line="240" w:lineRule="auto"/>
              <w:rPr>
                <w:rFonts w:ascii="Times New Roman"/>
                <w:szCs w:val="21"/>
              </w:rPr>
            </w:pPr>
            <w:r>
              <w:rPr>
                <w:rFonts w:ascii="Times New Roman"/>
                <w:szCs w:val="21"/>
              </w:rPr>
              <w:t>3.58</w:t>
            </w:r>
          </w:p>
        </w:tc>
        <w:tc>
          <w:tcPr>
            <w:tcW w:w="1263" w:type="dxa"/>
            <w:vAlign w:val="center"/>
          </w:tcPr>
          <w:p w14:paraId="22FD58B3">
            <w:pPr>
              <w:pStyle w:val="70"/>
              <w:spacing w:beforeLines="0" w:afterLines="0" w:line="240" w:lineRule="auto"/>
              <w:rPr>
                <w:rFonts w:ascii="Times New Roman"/>
                <w:szCs w:val="21"/>
              </w:rPr>
            </w:pPr>
            <w:r>
              <w:rPr>
                <w:rFonts w:ascii="Times New Roman"/>
                <w:szCs w:val="21"/>
              </w:rPr>
              <w:t>21.36</w:t>
            </w:r>
          </w:p>
        </w:tc>
        <w:tc>
          <w:tcPr>
            <w:tcW w:w="1683" w:type="dxa"/>
            <w:vAlign w:val="center"/>
          </w:tcPr>
          <w:p w14:paraId="6C409547">
            <w:pPr>
              <w:pStyle w:val="70"/>
              <w:spacing w:beforeLines="0" w:afterLines="0" w:line="240" w:lineRule="auto"/>
              <w:rPr>
                <w:rFonts w:ascii="Times New Roman"/>
                <w:snapToGrid w:val="0"/>
                <w:szCs w:val="21"/>
              </w:rPr>
            </w:pPr>
            <w:r>
              <w:rPr>
                <w:rFonts w:ascii="Times New Roman"/>
                <w:szCs w:val="21"/>
              </w:rPr>
              <w:t>0</w:t>
            </w:r>
          </w:p>
        </w:tc>
        <w:tc>
          <w:tcPr>
            <w:tcW w:w="1543" w:type="dxa"/>
            <w:vAlign w:val="center"/>
          </w:tcPr>
          <w:p w14:paraId="04ABC539">
            <w:pPr>
              <w:jc w:val="center"/>
              <w:rPr>
                <w:szCs w:val="21"/>
              </w:rPr>
            </w:pPr>
            <w:r>
              <w:rPr>
                <w:sz w:val="20"/>
                <w:szCs w:val="20"/>
              </w:rPr>
              <w:t>0.13</w:t>
            </w:r>
          </w:p>
        </w:tc>
        <w:tc>
          <w:tcPr>
            <w:tcW w:w="1743" w:type="dxa"/>
            <w:vAlign w:val="center"/>
          </w:tcPr>
          <w:p w14:paraId="4CB9DC12">
            <w:pPr>
              <w:pStyle w:val="70"/>
              <w:spacing w:beforeLines="0" w:afterLines="0" w:line="240" w:lineRule="auto"/>
              <w:rPr>
                <w:rFonts w:ascii="Times New Roman"/>
                <w:snapToGrid w:val="0"/>
                <w:kern w:val="21"/>
                <w:szCs w:val="21"/>
              </w:rPr>
            </w:pPr>
            <w:r>
              <w:rPr>
                <w:rFonts w:ascii="Times New Roman"/>
                <w:sz w:val="20"/>
              </w:rPr>
              <w:t>0.13</w:t>
            </w:r>
          </w:p>
        </w:tc>
        <w:tc>
          <w:tcPr>
            <w:tcW w:w="1727" w:type="dxa"/>
            <w:vAlign w:val="center"/>
          </w:tcPr>
          <w:p w14:paraId="113C7981">
            <w:pPr>
              <w:pStyle w:val="70"/>
              <w:spacing w:beforeLines="0" w:afterLines="0" w:line="240" w:lineRule="auto"/>
              <w:rPr>
                <w:rFonts w:ascii="Times New Roman"/>
                <w:snapToGrid w:val="0"/>
                <w:szCs w:val="21"/>
              </w:rPr>
            </w:pPr>
            <w:r>
              <w:rPr>
                <w:rFonts w:ascii="Times New Roman"/>
                <w:szCs w:val="21"/>
              </w:rPr>
              <w:t>21.36</w:t>
            </w:r>
          </w:p>
        </w:tc>
        <w:tc>
          <w:tcPr>
            <w:tcW w:w="1029" w:type="dxa"/>
            <w:vAlign w:val="center"/>
          </w:tcPr>
          <w:p w14:paraId="580E10F8">
            <w:pPr>
              <w:jc w:val="center"/>
              <w:rPr>
                <w:szCs w:val="21"/>
              </w:rPr>
            </w:pPr>
            <w:r>
              <w:rPr>
                <w:szCs w:val="21"/>
              </w:rPr>
              <w:t>0</w:t>
            </w:r>
          </w:p>
        </w:tc>
      </w:tr>
      <w:tr w14:paraId="3EB92F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5FD31089">
            <w:pPr>
              <w:pStyle w:val="70"/>
              <w:spacing w:beforeLines="0" w:afterLines="0" w:line="240" w:lineRule="auto"/>
              <w:rPr>
                <w:rFonts w:ascii="Times New Roman"/>
                <w:snapToGrid w:val="0"/>
                <w:kern w:val="21"/>
                <w:szCs w:val="21"/>
              </w:rPr>
            </w:pPr>
          </w:p>
        </w:tc>
        <w:tc>
          <w:tcPr>
            <w:tcW w:w="2410" w:type="dxa"/>
            <w:vAlign w:val="center"/>
          </w:tcPr>
          <w:p w14:paraId="3F2E3B6D">
            <w:pPr>
              <w:jc w:val="center"/>
              <w:rPr>
                <w:szCs w:val="21"/>
              </w:rPr>
            </w:pPr>
            <w:r>
              <w:rPr>
                <w:szCs w:val="21"/>
              </w:rPr>
              <w:t>石油类</w:t>
            </w:r>
          </w:p>
        </w:tc>
        <w:tc>
          <w:tcPr>
            <w:tcW w:w="1405" w:type="dxa"/>
            <w:vAlign w:val="center"/>
          </w:tcPr>
          <w:p w14:paraId="6BAA8E66">
            <w:pPr>
              <w:pStyle w:val="70"/>
              <w:spacing w:beforeLines="0" w:afterLines="0" w:line="240" w:lineRule="auto"/>
              <w:rPr>
                <w:rFonts w:ascii="Times New Roman"/>
                <w:szCs w:val="21"/>
              </w:rPr>
            </w:pPr>
            <w:r>
              <w:rPr>
                <w:rFonts w:ascii="Times New Roman"/>
                <w:szCs w:val="21"/>
              </w:rPr>
              <w:t>3.05</w:t>
            </w:r>
          </w:p>
        </w:tc>
        <w:tc>
          <w:tcPr>
            <w:tcW w:w="1263" w:type="dxa"/>
            <w:vAlign w:val="center"/>
          </w:tcPr>
          <w:p w14:paraId="0925DC0A">
            <w:pPr>
              <w:pStyle w:val="70"/>
              <w:spacing w:beforeLines="0" w:afterLines="0" w:line="240" w:lineRule="auto"/>
              <w:rPr>
                <w:rFonts w:ascii="Times New Roman"/>
                <w:szCs w:val="21"/>
              </w:rPr>
            </w:pPr>
            <w:r>
              <w:rPr>
                <w:rFonts w:ascii="Times New Roman"/>
                <w:szCs w:val="21"/>
              </w:rPr>
              <w:t>3.05</w:t>
            </w:r>
          </w:p>
        </w:tc>
        <w:tc>
          <w:tcPr>
            <w:tcW w:w="1683" w:type="dxa"/>
            <w:vAlign w:val="center"/>
          </w:tcPr>
          <w:p w14:paraId="0C771E36">
            <w:pPr>
              <w:pStyle w:val="70"/>
              <w:spacing w:beforeLines="0" w:afterLines="0" w:line="240" w:lineRule="auto"/>
              <w:rPr>
                <w:rFonts w:ascii="Times New Roman"/>
                <w:snapToGrid w:val="0"/>
                <w:szCs w:val="21"/>
              </w:rPr>
            </w:pPr>
            <w:r>
              <w:rPr>
                <w:rFonts w:ascii="Times New Roman"/>
                <w:szCs w:val="21"/>
              </w:rPr>
              <w:t>0</w:t>
            </w:r>
          </w:p>
        </w:tc>
        <w:tc>
          <w:tcPr>
            <w:tcW w:w="1543" w:type="dxa"/>
            <w:vAlign w:val="center"/>
          </w:tcPr>
          <w:p w14:paraId="50CEC865">
            <w:pPr>
              <w:jc w:val="center"/>
              <w:rPr>
                <w:szCs w:val="21"/>
              </w:rPr>
            </w:pPr>
            <w:r>
              <w:rPr>
                <w:sz w:val="20"/>
                <w:szCs w:val="20"/>
              </w:rPr>
              <w:t>0.02</w:t>
            </w:r>
          </w:p>
        </w:tc>
        <w:tc>
          <w:tcPr>
            <w:tcW w:w="1743" w:type="dxa"/>
            <w:vAlign w:val="center"/>
          </w:tcPr>
          <w:p w14:paraId="27EAAF2C">
            <w:pPr>
              <w:pStyle w:val="70"/>
              <w:spacing w:beforeLines="0" w:afterLines="0" w:line="240" w:lineRule="auto"/>
              <w:rPr>
                <w:rFonts w:ascii="Times New Roman"/>
                <w:snapToGrid w:val="0"/>
                <w:kern w:val="21"/>
                <w:szCs w:val="21"/>
              </w:rPr>
            </w:pPr>
            <w:r>
              <w:rPr>
                <w:rFonts w:ascii="Times New Roman"/>
                <w:sz w:val="20"/>
              </w:rPr>
              <w:t>0.02</w:t>
            </w:r>
          </w:p>
        </w:tc>
        <w:tc>
          <w:tcPr>
            <w:tcW w:w="1727" w:type="dxa"/>
            <w:vAlign w:val="center"/>
          </w:tcPr>
          <w:p w14:paraId="714EF4B6">
            <w:pPr>
              <w:pStyle w:val="70"/>
              <w:spacing w:beforeLines="0" w:afterLines="0" w:line="240" w:lineRule="auto"/>
              <w:rPr>
                <w:rFonts w:ascii="Times New Roman"/>
                <w:snapToGrid w:val="0"/>
                <w:szCs w:val="21"/>
              </w:rPr>
            </w:pPr>
            <w:r>
              <w:rPr>
                <w:rFonts w:ascii="Times New Roman"/>
                <w:szCs w:val="21"/>
              </w:rPr>
              <w:t>3.05</w:t>
            </w:r>
          </w:p>
        </w:tc>
        <w:tc>
          <w:tcPr>
            <w:tcW w:w="1029" w:type="dxa"/>
            <w:vAlign w:val="center"/>
          </w:tcPr>
          <w:p w14:paraId="7D0EE020">
            <w:pPr>
              <w:jc w:val="center"/>
              <w:rPr>
                <w:szCs w:val="21"/>
              </w:rPr>
            </w:pPr>
            <w:r>
              <w:rPr>
                <w:szCs w:val="21"/>
              </w:rPr>
              <w:t>0</w:t>
            </w:r>
          </w:p>
        </w:tc>
      </w:tr>
      <w:tr w14:paraId="35D4E2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6151B012">
            <w:pPr>
              <w:pStyle w:val="70"/>
              <w:spacing w:beforeLines="0" w:afterLines="0" w:line="240" w:lineRule="auto"/>
              <w:rPr>
                <w:rFonts w:ascii="Times New Roman"/>
                <w:snapToGrid w:val="0"/>
                <w:kern w:val="21"/>
                <w:szCs w:val="21"/>
              </w:rPr>
            </w:pPr>
          </w:p>
        </w:tc>
        <w:tc>
          <w:tcPr>
            <w:tcW w:w="2410" w:type="dxa"/>
            <w:vAlign w:val="center"/>
          </w:tcPr>
          <w:p w14:paraId="15DC8D64">
            <w:pPr>
              <w:jc w:val="center"/>
              <w:rPr>
                <w:szCs w:val="21"/>
              </w:rPr>
            </w:pPr>
            <w:r>
              <w:rPr>
                <w:szCs w:val="21"/>
              </w:rPr>
              <w:t>动植物油</w:t>
            </w:r>
          </w:p>
        </w:tc>
        <w:tc>
          <w:tcPr>
            <w:tcW w:w="1405" w:type="dxa"/>
            <w:vAlign w:val="center"/>
          </w:tcPr>
          <w:p w14:paraId="4928E98E">
            <w:pPr>
              <w:pStyle w:val="70"/>
              <w:spacing w:beforeLines="0" w:afterLines="0" w:line="240" w:lineRule="auto"/>
              <w:rPr>
                <w:rFonts w:ascii="Times New Roman"/>
                <w:szCs w:val="21"/>
              </w:rPr>
            </w:pPr>
            <w:r>
              <w:rPr>
                <w:rFonts w:ascii="Times New Roman"/>
                <w:szCs w:val="21"/>
              </w:rPr>
              <w:t>3.05</w:t>
            </w:r>
          </w:p>
        </w:tc>
        <w:tc>
          <w:tcPr>
            <w:tcW w:w="1263" w:type="dxa"/>
            <w:vAlign w:val="center"/>
          </w:tcPr>
          <w:p w14:paraId="4194B737">
            <w:pPr>
              <w:pStyle w:val="70"/>
              <w:spacing w:beforeLines="0" w:afterLines="0" w:line="240" w:lineRule="auto"/>
              <w:rPr>
                <w:rFonts w:ascii="Times New Roman"/>
                <w:szCs w:val="21"/>
              </w:rPr>
            </w:pPr>
            <w:r>
              <w:rPr>
                <w:rFonts w:ascii="Times New Roman"/>
                <w:szCs w:val="21"/>
              </w:rPr>
              <w:t>3.05</w:t>
            </w:r>
          </w:p>
        </w:tc>
        <w:tc>
          <w:tcPr>
            <w:tcW w:w="1683" w:type="dxa"/>
            <w:vAlign w:val="center"/>
          </w:tcPr>
          <w:p w14:paraId="01458F87">
            <w:pPr>
              <w:pStyle w:val="70"/>
              <w:spacing w:beforeLines="0" w:afterLines="0" w:line="240" w:lineRule="auto"/>
              <w:rPr>
                <w:rFonts w:ascii="Times New Roman"/>
                <w:snapToGrid w:val="0"/>
                <w:szCs w:val="21"/>
              </w:rPr>
            </w:pPr>
            <w:r>
              <w:rPr>
                <w:rFonts w:ascii="Times New Roman"/>
                <w:szCs w:val="21"/>
              </w:rPr>
              <w:t>0</w:t>
            </w:r>
          </w:p>
        </w:tc>
        <w:tc>
          <w:tcPr>
            <w:tcW w:w="1543" w:type="dxa"/>
            <w:vAlign w:val="center"/>
          </w:tcPr>
          <w:p w14:paraId="649FD9A6">
            <w:pPr>
              <w:jc w:val="center"/>
              <w:rPr>
                <w:szCs w:val="21"/>
              </w:rPr>
            </w:pPr>
            <w:r>
              <w:rPr>
                <w:sz w:val="20"/>
                <w:szCs w:val="20"/>
              </w:rPr>
              <w:t>0.02</w:t>
            </w:r>
          </w:p>
        </w:tc>
        <w:tc>
          <w:tcPr>
            <w:tcW w:w="1743" w:type="dxa"/>
            <w:vAlign w:val="center"/>
          </w:tcPr>
          <w:p w14:paraId="636DAA91">
            <w:pPr>
              <w:pStyle w:val="70"/>
              <w:spacing w:beforeLines="0" w:afterLines="0" w:line="240" w:lineRule="auto"/>
              <w:rPr>
                <w:rFonts w:ascii="Times New Roman"/>
                <w:snapToGrid w:val="0"/>
                <w:kern w:val="21"/>
                <w:szCs w:val="21"/>
              </w:rPr>
            </w:pPr>
            <w:r>
              <w:rPr>
                <w:rFonts w:ascii="Times New Roman"/>
                <w:sz w:val="20"/>
              </w:rPr>
              <w:t>0.02</w:t>
            </w:r>
          </w:p>
        </w:tc>
        <w:tc>
          <w:tcPr>
            <w:tcW w:w="1727" w:type="dxa"/>
            <w:vAlign w:val="center"/>
          </w:tcPr>
          <w:p w14:paraId="01356C40">
            <w:pPr>
              <w:pStyle w:val="70"/>
              <w:spacing w:beforeLines="0" w:afterLines="0" w:line="240" w:lineRule="auto"/>
              <w:rPr>
                <w:rFonts w:ascii="Times New Roman"/>
                <w:snapToGrid w:val="0"/>
                <w:szCs w:val="21"/>
              </w:rPr>
            </w:pPr>
            <w:r>
              <w:rPr>
                <w:rFonts w:ascii="Times New Roman"/>
                <w:szCs w:val="21"/>
              </w:rPr>
              <w:t>3.05</w:t>
            </w:r>
          </w:p>
        </w:tc>
        <w:tc>
          <w:tcPr>
            <w:tcW w:w="1029" w:type="dxa"/>
            <w:vAlign w:val="center"/>
          </w:tcPr>
          <w:p w14:paraId="7986721E">
            <w:pPr>
              <w:jc w:val="center"/>
              <w:rPr>
                <w:snapToGrid w:val="0"/>
                <w:kern w:val="0"/>
                <w:szCs w:val="21"/>
              </w:rPr>
            </w:pPr>
            <w:r>
              <w:rPr>
                <w:szCs w:val="21"/>
              </w:rPr>
              <w:t>0</w:t>
            </w:r>
          </w:p>
        </w:tc>
      </w:tr>
      <w:tr w14:paraId="60E62D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430DF298">
            <w:pPr>
              <w:pStyle w:val="70"/>
              <w:spacing w:beforeLines="0" w:afterLines="0" w:line="240" w:lineRule="auto"/>
              <w:rPr>
                <w:rFonts w:ascii="Times New Roman"/>
                <w:snapToGrid w:val="0"/>
                <w:kern w:val="21"/>
                <w:szCs w:val="21"/>
              </w:rPr>
            </w:pPr>
          </w:p>
        </w:tc>
        <w:tc>
          <w:tcPr>
            <w:tcW w:w="2410" w:type="dxa"/>
            <w:vAlign w:val="center"/>
          </w:tcPr>
          <w:p w14:paraId="0920916E">
            <w:pPr>
              <w:jc w:val="center"/>
              <w:rPr>
                <w:szCs w:val="21"/>
              </w:rPr>
            </w:pPr>
            <w:r>
              <w:rPr>
                <w:szCs w:val="21"/>
              </w:rPr>
              <w:t>总锑</w:t>
            </w:r>
          </w:p>
        </w:tc>
        <w:tc>
          <w:tcPr>
            <w:tcW w:w="1405" w:type="dxa"/>
            <w:vAlign w:val="center"/>
          </w:tcPr>
          <w:p w14:paraId="4177E521">
            <w:pPr>
              <w:pStyle w:val="70"/>
              <w:spacing w:beforeLines="0" w:afterLines="0" w:line="240" w:lineRule="auto"/>
              <w:rPr>
                <w:rFonts w:ascii="Times New Roman"/>
                <w:szCs w:val="21"/>
              </w:rPr>
            </w:pPr>
            <w:r>
              <w:rPr>
                <w:rFonts w:ascii="Times New Roman"/>
                <w:szCs w:val="21"/>
              </w:rPr>
              <w:t>0.01</w:t>
            </w:r>
          </w:p>
        </w:tc>
        <w:tc>
          <w:tcPr>
            <w:tcW w:w="1263" w:type="dxa"/>
            <w:vAlign w:val="center"/>
          </w:tcPr>
          <w:p w14:paraId="2F9DF75C">
            <w:pPr>
              <w:pStyle w:val="70"/>
              <w:spacing w:beforeLines="0" w:afterLines="0" w:line="240" w:lineRule="auto"/>
              <w:rPr>
                <w:rFonts w:ascii="Times New Roman"/>
                <w:szCs w:val="21"/>
              </w:rPr>
            </w:pPr>
            <w:r>
              <w:rPr>
                <w:rFonts w:ascii="Times New Roman"/>
                <w:szCs w:val="21"/>
              </w:rPr>
              <w:t>0.06</w:t>
            </w:r>
          </w:p>
        </w:tc>
        <w:tc>
          <w:tcPr>
            <w:tcW w:w="1683" w:type="dxa"/>
            <w:vAlign w:val="center"/>
          </w:tcPr>
          <w:p w14:paraId="5A274C21">
            <w:pPr>
              <w:pStyle w:val="70"/>
              <w:spacing w:beforeLines="0" w:afterLines="0" w:line="240" w:lineRule="auto"/>
              <w:rPr>
                <w:rFonts w:ascii="Times New Roman"/>
                <w:snapToGrid w:val="0"/>
                <w:szCs w:val="21"/>
              </w:rPr>
            </w:pPr>
            <w:r>
              <w:rPr>
                <w:rFonts w:ascii="Times New Roman"/>
                <w:szCs w:val="21"/>
              </w:rPr>
              <w:t>0</w:t>
            </w:r>
          </w:p>
        </w:tc>
        <w:tc>
          <w:tcPr>
            <w:tcW w:w="1543" w:type="dxa"/>
            <w:vAlign w:val="center"/>
          </w:tcPr>
          <w:p w14:paraId="30A0614F">
            <w:pPr>
              <w:jc w:val="center"/>
              <w:rPr>
                <w:szCs w:val="21"/>
              </w:rPr>
            </w:pPr>
            <w:r>
              <w:rPr>
                <w:sz w:val="20"/>
                <w:szCs w:val="20"/>
              </w:rPr>
              <w:t>0.001</w:t>
            </w:r>
          </w:p>
        </w:tc>
        <w:tc>
          <w:tcPr>
            <w:tcW w:w="1743" w:type="dxa"/>
            <w:vAlign w:val="center"/>
          </w:tcPr>
          <w:p w14:paraId="13C1ECF1">
            <w:pPr>
              <w:pStyle w:val="70"/>
              <w:spacing w:beforeLines="0" w:afterLines="0" w:line="240" w:lineRule="auto"/>
              <w:rPr>
                <w:rFonts w:ascii="Times New Roman"/>
                <w:snapToGrid w:val="0"/>
                <w:kern w:val="21"/>
                <w:szCs w:val="21"/>
              </w:rPr>
            </w:pPr>
            <w:r>
              <w:rPr>
                <w:rFonts w:ascii="Times New Roman"/>
                <w:sz w:val="20"/>
              </w:rPr>
              <w:t>0.001</w:t>
            </w:r>
          </w:p>
        </w:tc>
        <w:tc>
          <w:tcPr>
            <w:tcW w:w="1727" w:type="dxa"/>
            <w:vAlign w:val="center"/>
          </w:tcPr>
          <w:p w14:paraId="11AB99D8">
            <w:pPr>
              <w:pStyle w:val="70"/>
              <w:spacing w:beforeLines="0" w:afterLines="0" w:line="240" w:lineRule="auto"/>
              <w:rPr>
                <w:rFonts w:ascii="Times New Roman"/>
                <w:snapToGrid w:val="0"/>
                <w:szCs w:val="21"/>
              </w:rPr>
            </w:pPr>
            <w:r>
              <w:rPr>
                <w:rFonts w:ascii="Times New Roman"/>
                <w:szCs w:val="21"/>
              </w:rPr>
              <w:t>0.06</w:t>
            </w:r>
          </w:p>
        </w:tc>
        <w:tc>
          <w:tcPr>
            <w:tcW w:w="1029" w:type="dxa"/>
            <w:vAlign w:val="center"/>
          </w:tcPr>
          <w:p w14:paraId="7F39A119">
            <w:pPr>
              <w:jc w:val="center"/>
              <w:rPr>
                <w:snapToGrid w:val="0"/>
                <w:kern w:val="0"/>
                <w:szCs w:val="21"/>
              </w:rPr>
            </w:pPr>
            <w:r>
              <w:rPr>
                <w:szCs w:val="21"/>
              </w:rPr>
              <w:t>0</w:t>
            </w:r>
          </w:p>
        </w:tc>
      </w:tr>
      <w:bookmarkEnd w:id="53"/>
      <w:tr w14:paraId="2B7E8F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restart"/>
            <w:vAlign w:val="center"/>
          </w:tcPr>
          <w:p w14:paraId="79730768">
            <w:pPr>
              <w:pStyle w:val="70"/>
              <w:spacing w:beforeLines="0" w:afterLines="0" w:line="240" w:lineRule="auto"/>
              <w:rPr>
                <w:rFonts w:ascii="Times New Roman"/>
                <w:snapToGrid w:val="0"/>
                <w:kern w:val="21"/>
                <w:szCs w:val="21"/>
              </w:rPr>
            </w:pPr>
            <w:r>
              <w:rPr>
                <w:rFonts w:ascii="Times New Roman"/>
                <w:snapToGrid w:val="0"/>
                <w:kern w:val="21"/>
                <w:szCs w:val="21"/>
              </w:rPr>
              <w:t>一般工业</w:t>
            </w:r>
          </w:p>
          <w:p w14:paraId="4CF01E83">
            <w:pPr>
              <w:pStyle w:val="70"/>
              <w:spacing w:beforeLines="0" w:afterLines="0" w:line="240" w:lineRule="auto"/>
              <w:rPr>
                <w:rFonts w:ascii="Times New Roman"/>
                <w:snapToGrid w:val="0"/>
                <w:kern w:val="21"/>
                <w:szCs w:val="21"/>
              </w:rPr>
            </w:pPr>
            <w:r>
              <w:rPr>
                <w:rFonts w:ascii="Times New Roman"/>
                <w:snapToGrid w:val="0"/>
                <w:kern w:val="21"/>
                <w:szCs w:val="21"/>
              </w:rPr>
              <w:t>固体废物</w:t>
            </w:r>
          </w:p>
        </w:tc>
        <w:tc>
          <w:tcPr>
            <w:tcW w:w="2410" w:type="dxa"/>
            <w:vAlign w:val="center"/>
          </w:tcPr>
          <w:p w14:paraId="32CF59A3">
            <w:pPr>
              <w:widowControl/>
              <w:jc w:val="center"/>
              <w:rPr>
                <w:bCs/>
                <w:kern w:val="21"/>
                <w:szCs w:val="21"/>
              </w:rPr>
            </w:pPr>
            <w:r>
              <w:rPr>
                <w:szCs w:val="21"/>
              </w:rPr>
              <w:t>聚酯废渣</w:t>
            </w:r>
          </w:p>
        </w:tc>
        <w:tc>
          <w:tcPr>
            <w:tcW w:w="1405" w:type="dxa"/>
            <w:vAlign w:val="center"/>
          </w:tcPr>
          <w:p w14:paraId="57AE9815">
            <w:pPr>
              <w:pStyle w:val="70"/>
              <w:spacing w:beforeLines="0" w:afterLines="0" w:line="240" w:lineRule="auto"/>
              <w:rPr>
                <w:rFonts w:ascii="Times New Roman"/>
                <w:szCs w:val="21"/>
              </w:rPr>
            </w:pPr>
            <w:r>
              <w:rPr>
                <w:rFonts w:ascii="Times New Roman"/>
                <w:szCs w:val="21"/>
              </w:rPr>
              <w:t>8584.65</w:t>
            </w:r>
          </w:p>
        </w:tc>
        <w:tc>
          <w:tcPr>
            <w:tcW w:w="1263" w:type="dxa"/>
            <w:vAlign w:val="center"/>
          </w:tcPr>
          <w:p w14:paraId="600D3D9C">
            <w:pPr>
              <w:pStyle w:val="70"/>
              <w:spacing w:beforeLines="0" w:afterLines="0" w:line="240" w:lineRule="auto"/>
              <w:rPr>
                <w:rFonts w:ascii="Times New Roman"/>
                <w:szCs w:val="21"/>
              </w:rPr>
            </w:pPr>
            <w:r>
              <w:rPr>
                <w:rFonts w:ascii="Times New Roman"/>
                <w:szCs w:val="21"/>
              </w:rPr>
              <w:t>0</w:t>
            </w:r>
          </w:p>
        </w:tc>
        <w:tc>
          <w:tcPr>
            <w:tcW w:w="1683" w:type="dxa"/>
            <w:vAlign w:val="center"/>
          </w:tcPr>
          <w:p w14:paraId="77017DA8">
            <w:pPr>
              <w:pStyle w:val="70"/>
              <w:spacing w:beforeLines="0" w:afterLines="0" w:line="240" w:lineRule="auto"/>
              <w:rPr>
                <w:rFonts w:ascii="Times New Roman"/>
                <w:szCs w:val="21"/>
              </w:rPr>
            </w:pPr>
            <w:r>
              <w:rPr>
                <w:rFonts w:ascii="Times New Roman"/>
                <w:szCs w:val="21"/>
              </w:rPr>
              <w:t>0</w:t>
            </w:r>
          </w:p>
        </w:tc>
        <w:tc>
          <w:tcPr>
            <w:tcW w:w="1543" w:type="dxa"/>
            <w:vAlign w:val="center"/>
          </w:tcPr>
          <w:p w14:paraId="0F3E9D21">
            <w:pPr>
              <w:pStyle w:val="70"/>
              <w:spacing w:beforeLines="0" w:afterLines="0" w:line="240" w:lineRule="auto"/>
              <w:rPr>
                <w:rFonts w:ascii="Times New Roman"/>
                <w:snapToGrid w:val="0"/>
                <w:kern w:val="21"/>
                <w:szCs w:val="21"/>
              </w:rPr>
            </w:pPr>
            <w:r>
              <w:rPr>
                <w:rFonts w:ascii="Times New Roman"/>
                <w:szCs w:val="21"/>
              </w:rPr>
              <w:t>0</w:t>
            </w:r>
          </w:p>
        </w:tc>
        <w:tc>
          <w:tcPr>
            <w:tcW w:w="1743" w:type="dxa"/>
            <w:vAlign w:val="center"/>
          </w:tcPr>
          <w:p w14:paraId="701EC1A5">
            <w:pPr>
              <w:pStyle w:val="70"/>
              <w:spacing w:beforeLines="0" w:afterLines="0" w:line="240" w:lineRule="auto"/>
              <w:rPr>
                <w:rFonts w:ascii="Times New Roman"/>
                <w:snapToGrid w:val="0"/>
                <w:kern w:val="21"/>
                <w:szCs w:val="21"/>
              </w:rPr>
            </w:pPr>
            <w:r>
              <w:rPr>
                <w:rFonts w:ascii="Times New Roman"/>
                <w:szCs w:val="21"/>
              </w:rPr>
              <w:t>0</w:t>
            </w:r>
          </w:p>
        </w:tc>
        <w:tc>
          <w:tcPr>
            <w:tcW w:w="1727" w:type="dxa"/>
            <w:vAlign w:val="center"/>
          </w:tcPr>
          <w:p w14:paraId="66F7BBCB">
            <w:pPr>
              <w:pStyle w:val="70"/>
              <w:spacing w:beforeLines="0" w:afterLines="0" w:line="240" w:lineRule="auto"/>
              <w:rPr>
                <w:rFonts w:ascii="Times New Roman"/>
                <w:snapToGrid w:val="0"/>
                <w:kern w:val="21"/>
                <w:szCs w:val="21"/>
              </w:rPr>
            </w:pPr>
            <w:r>
              <w:rPr>
                <w:rFonts w:ascii="Times New Roman"/>
                <w:szCs w:val="21"/>
              </w:rPr>
              <w:t>8584.65</w:t>
            </w:r>
          </w:p>
        </w:tc>
        <w:tc>
          <w:tcPr>
            <w:tcW w:w="1029" w:type="dxa"/>
            <w:vAlign w:val="center"/>
          </w:tcPr>
          <w:p w14:paraId="48EC4778">
            <w:pPr>
              <w:pStyle w:val="70"/>
              <w:spacing w:beforeLines="0" w:afterLines="0" w:line="240" w:lineRule="auto"/>
              <w:rPr>
                <w:rFonts w:ascii="Times New Roman"/>
                <w:szCs w:val="21"/>
              </w:rPr>
            </w:pPr>
            <w:r>
              <w:rPr>
                <w:rFonts w:ascii="Times New Roman"/>
                <w:szCs w:val="21"/>
              </w:rPr>
              <w:t>0</w:t>
            </w:r>
          </w:p>
        </w:tc>
      </w:tr>
      <w:tr w14:paraId="134412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3156D118">
            <w:pPr>
              <w:pStyle w:val="70"/>
              <w:spacing w:beforeLines="0" w:afterLines="0" w:line="240" w:lineRule="auto"/>
              <w:rPr>
                <w:rFonts w:ascii="Times New Roman"/>
                <w:snapToGrid w:val="0"/>
                <w:kern w:val="21"/>
                <w:szCs w:val="21"/>
              </w:rPr>
            </w:pPr>
          </w:p>
        </w:tc>
        <w:tc>
          <w:tcPr>
            <w:tcW w:w="2410" w:type="dxa"/>
            <w:vAlign w:val="center"/>
          </w:tcPr>
          <w:p w14:paraId="6AA065A0">
            <w:pPr>
              <w:widowControl/>
              <w:jc w:val="center"/>
              <w:rPr>
                <w:bCs/>
                <w:kern w:val="21"/>
                <w:szCs w:val="21"/>
              </w:rPr>
            </w:pPr>
            <w:r>
              <w:rPr>
                <w:szCs w:val="21"/>
              </w:rPr>
              <w:t>废无油丝</w:t>
            </w:r>
          </w:p>
        </w:tc>
        <w:tc>
          <w:tcPr>
            <w:tcW w:w="1405" w:type="dxa"/>
            <w:vAlign w:val="center"/>
          </w:tcPr>
          <w:p w14:paraId="26679826">
            <w:pPr>
              <w:pStyle w:val="70"/>
              <w:spacing w:beforeLines="0" w:afterLines="0" w:line="240" w:lineRule="auto"/>
              <w:rPr>
                <w:rFonts w:ascii="Times New Roman"/>
                <w:szCs w:val="21"/>
              </w:rPr>
            </w:pPr>
            <w:r>
              <w:rPr>
                <w:rFonts w:ascii="Times New Roman"/>
                <w:szCs w:val="21"/>
              </w:rPr>
              <w:t>13825</w:t>
            </w:r>
          </w:p>
        </w:tc>
        <w:tc>
          <w:tcPr>
            <w:tcW w:w="1263" w:type="dxa"/>
            <w:vAlign w:val="center"/>
          </w:tcPr>
          <w:p w14:paraId="6F44A84B">
            <w:pPr>
              <w:pStyle w:val="70"/>
              <w:spacing w:beforeLines="0" w:afterLines="0" w:line="240" w:lineRule="auto"/>
              <w:rPr>
                <w:rFonts w:ascii="Times New Roman"/>
                <w:szCs w:val="21"/>
              </w:rPr>
            </w:pPr>
            <w:r>
              <w:rPr>
                <w:rFonts w:ascii="Times New Roman"/>
                <w:szCs w:val="21"/>
              </w:rPr>
              <w:t>0</w:t>
            </w:r>
          </w:p>
        </w:tc>
        <w:tc>
          <w:tcPr>
            <w:tcW w:w="1683" w:type="dxa"/>
            <w:vAlign w:val="center"/>
          </w:tcPr>
          <w:p w14:paraId="37F931D1">
            <w:pPr>
              <w:pStyle w:val="70"/>
              <w:spacing w:beforeLines="0" w:afterLines="0" w:line="240" w:lineRule="auto"/>
              <w:rPr>
                <w:rFonts w:ascii="Times New Roman"/>
                <w:szCs w:val="21"/>
              </w:rPr>
            </w:pPr>
            <w:r>
              <w:rPr>
                <w:rFonts w:ascii="Times New Roman"/>
                <w:szCs w:val="21"/>
              </w:rPr>
              <w:t>0</w:t>
            </w:r>
          </w:p>
        </w:tc>
        <w:tc>
          <w:tcPr>
            <w:tcW w:w="1543" w:type="dxa"/>
            <w:vAlign w:val="center"/>
          </w:tcPr>
          <w:p w14:paraId="6DF90068">
            <w:pPr>
              <w:pStyle w:val="70"/>
              <w:spacing w:beforeLines="0" w:afterLines="0" w:line="240" w:lineRule="auto"/>
              <w:rPr>
                <w:rFonts w:ascii="Times New Roman"/>
                <w:snapToGrid w:val="0"/>
                <w:kern w:val="21"/>
                <w:szCs w:val="21"/>
              </w:rPr>
            </w:pPr>
            <w:r>
              <w:rPr>
                <w:rFonts w:ascii="Times New Roman"/>
                <w:szCs w:val="21"/>
              </w:rPr>
              <w:t>2304.2</w:t>
            </w:r>
          </w:p>
        </w:tc>
        <w:tc>
          <w:tcPr>
            <w:tcW w:w="1743" w:type="dxa"/>
            <w:vAlign w:val="center"/>
          </w:tcPr>
          <w:p w14:paraId="04917BB0">
            <w:pPr>
              <w:pStyle w:val="70"/>
              <w:spacing w:beforeLines="0" w:afterLines="0" w:line="240" w:lineRule="auto"/>
              <w:rPr>
                <w:rFonts w:ascii="Times New Roman"/>
                <w:snapToGrid w:val="0"/>
                <w:kern w:val="21"/>
                <w:szCs w:val="21"/>
              </w:rPr>
            </w:pPr>
            <w:r>
              <w:rPr>
                <w:rFonts w:ascii="Times New Roman"/>
                <w:sz w:val="22"/>
                <w:szCs w:val="22"/>
              </w:rPr>
              <w:t>2094.73</w:t>
            </w:r>
          </w:p>
        </w:tc>
        <w:tc>
          <w:tcPr>
            <w:tcW w:w="1727" w:type="dxa"/>
            <w:vAlign w:val="center"/>
          </w:tcPr>
          <w:p w14:paraId="5C42C39C">
            <w:pPr>
              <w:pStyle w:val="70"/>
              <w:spacing w:beforeLines="0" w:afterLines="0" w:line="240" w:lineRule="auto"/>
              <w:rPr>
                <w:rFonts w:ascii="Times New Roman"/>
                <w:snapToGrid w:val="0"/>
                <w:kern w:val="21"/>
                <w:szCs w:val="21"/>
              </w:rPr>
            </w:pPr>
            <w:r>
              <w:rPr>
                <w:rFonts w:ascii="Times New Roman"/>
                <w:szCs w:val="21"/>
              </w:rPr>
              <w:t>14034.47</w:t>
            </w:r>
          </w:p>
        </w:tc>
        <w:tc>
          <w:tcPr>
            <w:tcW w:w="1029" w:type="dxa"/>
            <w:vAlign w:val="center"/>
          </w:tcPr>
          <w:p w14:paraId="08572C1D">
            <w:pPr>
              <w:pStyle w:val="70"/>
              <w:spacing w:beforeLines="0" w:afterLines="0" w:line="240" w:lineRule="auto"/>
              <w:rPr>
                <w:rFonts w:ascii="Times New Roman"/>
                <w:szCs w:val="21"/>
              </w:rPr>
            </w:pPr>
            <w:r>
              <w:rPr>
                <w:rFonts w:ascii="Times New Roman"/>
                <w:szCs w:val="21"/>
              </w:rPr>
              <w:t>+209.47</w:t>
            </w:r>
          </w:p>
        </w:tc>
      </w:tr>
      <w:tr w14:paraId="5F9B67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3580DAEA">
            <w:pPr>
              <w:pStyle w:val="70"/>
              <w:spacing w:beforeLines="0" w:afterLines="0" w:line="240" w:lineRule="auto"/>
              <w:rPr>
                <w:rFonts w:ascii="Times New Roman"/>
                <w:snapToGrid w:val="0"/>
                <w:kern w:val="21"/>
                <w:szCs w:val="21"/>
              </w:rPr>
            </w:pPr>
          </w:p>
        </w:tc>
        <w:tc>
          <w:tcPr>
            <w:tcW w:w="2410" w:type="dxa"/>
            <w:vAlign w:val="center"/>
          </w:tcPr>
          <w:p w14:paraId="2B5B2324">
            <w:pPr>
              <w:widowControl/>
              <w:jc w:val="center"/>
              <w:rPr>
                <w:bCs/>
                <w:kern w:val="21"/>
                <w:szCs w:val="21"/>
              </w:rPr>
            </w:pPr>
            <w:r>
              <w:rPr>
                <w:szCs w:val="21"/>
              </w:rPr>
              <w:t>废含油丝</w:t>
            </w:r>
          </w:p>
        </w:tc>
        <w:tc>
          <w:tcPr>
            <w:tcW w:w="1405" w:type="dxa"/>
            <w:vAlign w:val="center"/>
          </w:tcPr>
          <w:p w14:paraId="625FF7A4">
            <w:pPr>
              <w:pStyle w:val="70"/>
              <w:spacing w:beforeLines="0" w:afterLines="0" w:line="240" w:lineRule="auto"/>
              <w:rPr>
                <w:rFonts w:ascii="Times New Roman"/>
                <w:szCs w:val="21"/>
              </w:rPr>
            </w:pPr>
            <w:r>
              <w:rPr>
                <w:rFonts w:ascii="Times New Roman"/>
                <w:szCs w:val="21"/>
              </w:rPr>
              <w:t>12486</w:t>
            </w:r>
          </w:p>
        </w:tc>
        <w:tc>
          <w:tcPr>
            <w:tcW w:w="1263" w:type="dxa"/>
            <w:vAlign w:val="center"/>
          </w:tcPr>
          <w:p w14:paraId="16AC2712">
            <w:pPr>
              <w:pStyle w:val="70"/>
              <w:spacing w:beforeLines="0" w:afterLines="0" w:line="240" w:lineRule="auto"/>
              <w:rPr>
                <w:rFonts w:ascii="Times New Roman"/>
                <w:szCs w:val="21"/>
              </w:rPr>
            </w:pPr>
            <w:r>
              <w:rPr>
                <w:rFonts w:ascii="Times New Roman"/>
                <w:szCs w:val="21"/>
              </w:rPr>
              <w:t>0</w:t>
            </w:r>
          </w:p>
        </w:tc>
        <w:tc>
          <w:tcPr>
            <w:tcW w:w="1683" w:type="dxa"/>
            <w:vAlign w:val="center"/>
          </w:tcPr>
          <w:p w14:paraId="6563A4DE">
            <w:pPr>
              <w:pStyle w:val="70"/>
              <w:spacing w:beforeLines="0" w:afterLines="0" w:line="240" w:lineRule="auto"/>
              <w:rPr>
                <w:rFonts w:ascii="Times New Roman"/>
                <w:szCs w:val="21"/>
              </w:rPr>
            </w:pPr>
            <w:r>
              <w:rPr>
                <w:rFonts w:ascii="Times New Roman"/>
                <w:szCs w:val="21"/>
              </w:rPr>
              <w:t>0</w:t>
            </w:r>
          </w:p>
        </w:tc>
        <w:tc>
          <w:tcPr>
            <w:tcW w:w="1543" w:type="dxa"/>
            <w:vAlign w:val="center"/>
          </w:tcPr>
          <w:p w14:paraId="3AB8D5DB">
            <w:pPr>
              <w:pStyle w:val="70"/>
              <w:spacing w:beforeLines="0" w:afterLines="0" w:line="240" w:lineRule="auto"/>
              <w:rPr>
                <w:rFonts w:ascii="Times New Roman"/>
                <w:snapToGrid w:val="0"/>
                <w:kern w:val="21"/>
                <w:szCs w:val="21"/>
              </w:rPr>
            </w:pPr>
            <w:r>
              <w:rPr>
                <w:rFonts w:ascii="Times New Roman"/>
                <w:szCs w:val="21"/>
              </w:rPr>
              <w:t>2081</w:t>
            </w:r>
          </w:p>
        </w:tc>
        <w:tc>
          <w:tcPr>
            <w:tcW w:w="1743" w:type="dxa"/>
            <w:vAlign w:val="center"/>
          </w:tcPr>
          <w:p w14:paraId="5FF0FA0A">
            <w:pPr>
              <w:pStyle w:val="70"/>
              <w:spacing w:beforeLines="0" w:afterLines="0" w:line="240" w:lineRule="auto"/>
              <w:rPr>
                <w:rFonts w:ascii="Times New Roman"/>
                <w:snapToGrid w:val="0"/>
                <w:kern w:val="21"/>
                <w:szCs w:val="21"/>
              </w:rPr>
            </w:pPr>
            <w:r>
              <w:rPr>
                <w:rFonts w:ascii="Times New Roman"/>
                <w:sz w:val="22"/>
                <w:szCs w:val="22"/>
              </w:rPr>
              <w:t>1891.82</w:t>
            </w:r>
          </w:p>
        </w:tc>
        <w:tc>
          <w:tcPr>
            <w:tcW w:w="1727" w:type="dxa"/>
            <w:vAlign w:val="center"/>
          </w:tcPr>
          <w:p w14:paraId="3AB53669">
            <w:pPr>
              <w:pStyle w:val="70"/>
              <w:spacing w:beforeLines="0" w:afterLines="0" w:line="240" w:lineRule="auto"/>
              <w:rPr>
                <w:rFonts w:ascii="Times New Roman"/>
                <w:snapToGrid w:val="0"/>
                <w:kern w:val="21"/>
                <w:szCs w:val="21"/>
              </w:rPr>
            </w:pPr>
            <w:r>
              <w:rPr>
                <w:rFonts w:ascii="Times New Roman"/>
                <w:szCs w:val="21"/>
              </w:rPr>
              <w:t>12675.18</w:t>
            </w:r>
          </w:p>
        </w:tc>
        <w:tc>
          <w:tcPr>
            <w:tcW w:w="1029" w:type="dxa"/>
            <w:vAlign w:val="center"/>
          </w:tcPr>
          <w:p w14:paraId="54F53FBF">
            <w:pPr>
              <w:pStyle w:val="70"/>
              <w:spacing w:beforeLines="0" w:afterLines="0" w:line="240" w:lineRule="auto"/>
              <w:rPr>
                <w:rFonts w:ascii="Times New Roman"/>
                <w:szCs w:val="21"/>
              </w:rPr>
            </w:pPr>
            <w:r>
              <w:rPr>
                <w:rFonts w:ascii="Times New Roman"/>
                <w:szCs w:val="21"/>
              </w:rPr>
              <w:t>+189.18</w:t>
            </w:r>
          </w:p>
        </w:tc>
      </w:tr>
      <w:tr w14:paraId="2AEDB9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67EE5A91">
            <w:pPr>
              <w:pStyle w:val="70"/>
              <w:spacing w:beforeLines="0" w:afterLines="0" w:line="240" w:lineRule="auto"/>
              <w:rPr>
                <w:rFonts w:ascii="Times New Roman"/>
                <w:snapToGrid w:val="0"/>
                <w:kern w:val="21"/>
                <w:szCs w:val="21"/>
              </w:rPr>
            </w:pPr>
          </w:p>
        </w:tc>
        <w:tc>
          <w:tcPr>
            <w:tcW w:w="2410" w:type="dxa"/>
            <w:vAlign w:val="center"/>
          </w:tcPr>
          <w:p w14:paraId="3E154F5B">
            <w:pPr>
              <w:widowControl/>
              <w:jc w:val="center"/>
              <w:rPr>
                <w:bCs/>
                <w:kern w:val="21"/>
                <w:szCs w:val="21"/>
              </w:rPr>
            </w:pPr>
            <w:r>
              <w:rPr>
                <w:szCs w:val="21"/>
              </w:rPr>
              <w:t>废袜带</w:t>
            </w:r>
          </w:p>
        </w:tc>
        <w:tc>
          <w:tcPr>
            <w:tcW w:w="1405" w:type="dxa"/>
            <w:vAlign w:val="center"/>
          </w:tcPr>
          <w:p w14:paraId="5292385D">
            <w:pPr>
              <w:pStyle w:val="70"/>
              <w:spacing w:beforeLines="0" w:afterLines="0" w:line="240" w:lineRule="auto"/>
              <w:rPr>
                <w:rFonts w:ascii="Times New Roman"/>
                <w:szCs w:val="21"/>
              </w:rPr>
            </w:pPr>
            <w:r>
              <w:rPr>
                <w:rFonts w:ascii="Times New Roman"/>
                <w:szCs w:val="21"/>
              </w:rPr>
              <w:t>150</w:t>
            </w:r>
          </w:p>
        </w:tc>
        <w:tc>
          <w:tcPr>
            <w:tcW w:w="1263" w:type="dxa"/>
            <w:vAlign w:val="center"/>
          </w:tcPr>
          <w:p w14:paraId="4E892D9D">
            <w:pPr>
              <w:pStyle w:val="70"/>
              <w:spacing w:beforeLines="0" w:afterLines="0" w:line="240" w:lineRule="auto"/>
              <w:rPr>
                <w:rFonts w:ascii="Times New Roman"/>
                <w:szCs w:val="21"/>
              </w:rPr>
            </w:pPr>
            <w:r>
              <w:rPr>
                <w:rFonts w:ascii="Times New Roman"/>
                <w:szCs w:val="21"/>
              </w:rPr>
              <w:t>0</w:t>
            </w:r>
          </w:p>
        </w:tc>
        <w:tc>
          <w:tcPr>
            <w:tcW w:w="1683" w:type="dxa"/>
            <w:vAlign w:val="center"/>
          </w:tcPr>
          <w:p w14:paraId="7FA7B41A">
            <w:pPr>
              <w:pStyle w:val="70"/>
              <w:spacing w:beforeLines="0" w:afterLines="0" w:line="240" w:lineRule="auto"/>
              <w:rPr>
                <w:rFonts w:ascii="Times New Roman"/>
                <w:szCs w:val="21"/>
              </w:rPr>
            </w:pPr>
            <w:r>
              <w:rPr>
                <w:rFonts w:ascii="Times New Roman"/>
                <w:szCs w:val="21"/>
              </w:rPr>
              <w:t>0</w:t>
            </w:r>
          </w:p>
        </w:tc>
        <w:tc>
          <w:tcPr>
            <w:tcW w:w="1543" w:type="dxa"/>
            <w:vAlign w:val="center"/>
          </w:tcPr>
          <w:p w14:paraId="5FB54201">
            <w:pPr>
              <w:pStyle w:val="70"/>
              <w:spacing w:beforeLines="0" w:afterLines="0" w:line="240" w:lineRule="auto"/>
              <w:rPr>
                <w:rFonts w:ascii="Times New Roman"/>
                <w:snapToGrid w:val="0"/>
                <w:kern w:val="21"/>
                <w:szCs w:val="21"/>
              </w:rPr>
            </w:pPr>
            <w:r>
              <w:rPr>
                <w:rFonts w:ascii="Times New Roman"/>
                <w:szCs w:val="21"/>
              </w:rPr>
              <w:t>0</w:t>
            </w:r>
          </w:p>
        </w:tc>
        <w:tc>
          <w:tcPr>
            <w:tcW w:w="1743" w:type="dxa"/>
            <w:vAlign w:val="center"/>
          </w:tcPr>
          <w:p w14:paraId="47B2043E">
            <w:pPr>
              <w:pStyle w:val="70"/>
              <w:spacing w:beforeLines="0" w:afterLines="0" w:line="240" w:lineRule="auto"/>
              <w:rPr>
                <w:rFonts w:ascii="Times New Roman"/>
                <w:snapToGrid w:val="0"/>
                <w:kern w:val="21"/>
                <w:szCs w:val="21"/>
              </w:rPr>
            </w:pPr>
            <w:r>
              <w:rPr>
                <w:rFonts w:ascii="Times New Roman"/>
                <w:szCs w:val="21"/>
              </w:rPr>
              <w:t>0</w:t>
            </w:r>
          </w:p>
        </w:tc>
        <w:tc>
          <w:tcPr>
            <w:tcW w:w="1727" w:type="dxa"/>
            <w:vAlign w:val="center"/>
          </w:tcPr>
          <w:p w14:paraId="13599D3C">
            <w:pPr>
              <w:pStyle w:val="70"/>
              <w:spacing w:beforeLines="0" w:afterLines="0" w:line="240" w:lineRule="auto"/>
              <w:rPr>
                <w:rFonts w:ascii="Times New Roman"/>
                <w:snapToGrid w:val="0"/>
                <w:kern w:val="21"/>
                <w:szCs w:val="21"/>
              </w:rPr>
            </w:pPr>
            <w:r>
              <w:rPr>
                <w:rFonts w:ascii="Times New Roman"/>
                <w:szCs w:val="21"/>
              </w:rPr>
              <w:t>150</w:t>
            </w:r>
          </w:p>
        </w:tc>
        <w:tc>
          <w:tcPr>
            <w:tcW w:w="1029" w:type="dxa"/>
            <w:vAlign w:val="center"/>
          </w:tcPr>
          <w:p w14:paraId="6FF1D10C">
            <w:pPr>
              <w:pStyle w:val="70"/>
              <w:spacing w:beforeLines="0" w:afterLines="0" w:line="240" w:lineRule="auto"/>
              <w:rPr>
                <w:rFonts w:ascii="Times New Roman"/>
                <w:szCs w:val="21"/>
              </w:rPr>
            </w:pPr>
            <w:r>
              <w:rPr>
                <w:rFonts w:ascii="Times New Roman"/>
                <w:szCs w:val="21"/>
              </w:rPr>
              <w:t>0</w:t>
            </w:r>
          </w:p>
        </w:tc>
      </w:tr>
      <w:tr w14:paraId="21059A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7CFD3ABE">
            <w:pPr>
              <w:pStyle w:val="70"/>
              <w:spacing w:beforeLines="0" w:afterLines="0" w:line="240" w:lineRule="auto"/>
              <w:rPr>
                <w:rFonts w:ascii="Times New Roman"/>
                <w:snapToGrid w:val="0"/>
                <w:kern w:val="21"/>
                <w:szCs w:val="21"/>
              </w:rPr>
            </w:pPr>
          </w:p>
        </w:tc>
        <w:tc>
          <w:tcPr>
            <w:tcW w:w="2410" w:type="dxa"/>
            <w:vAlign w:val="center"/>
          </w:tcPr>
          <w:p w14:paraId="19C38C5A">
            <w:pPr>
              <w:widowControl/>
              <w:jc w:val="center"/>
              <w:rPr>
                <w:bCs/>
                <w:kern w:val="21"/>
                <w:szCs w:val="21"/>
              </w:rPr>
            </w:pPr>
            <w:r>
              <w:rPr>
                <w:szCs w:val="21"/>
              </w:rPr>
              <w:t>废保温棉</w:t>
            </w:r>
          </w:p>
        </w:tc>
        <w:tc>
          <w:tcPr>
            <w:tcW w:w="1405" w:type="dxa"/>
            <w:vAlign w:val="center"/>
          </w:tcPr>
          <w:p w14:paraId="7DEC1FF3">
            <w:pPr>
              <w:pStyle w:val="70"/>
              <w:spacing w:beforeLines="0" w:afterLines="0" w:line="240" w:lineRule="auto"/>
              <w:rPr>
                <w:rFonts w:ascii="Times New Roman"/>
                <w:szCs w:val="21"/>
              </w:rPr>
            </w:pPr>
            <w:r>
              <w:rPr>
                <w:rFonts w:ascii="Times New Roman"/>
                <w:szCs w:val="21"/>
              </w:rPr>
              <w:t>200</w:t>
            </w:r>
          </w:p>
        </w:tc>
        <w:tc>
          <w:tcPr>
            <w:tcW w:w="1263" w:type="dxa"/>
            <w:vAlign w:val="center"/>
          </w:tcPr>
          <w:p w14:paraId="6692A383">
            <w:pPr>
              <w:pStyle w:val="70"/>
              <w:spacing w:beforeLines="0" w:afterLines="0" w:line="240" w:lineRule="auto"/>
              <w:rPr>
                <w:rFonts w:ascii="Times New Roman"/>
                <w:szCs w:val="21"/>
              </w:rPr>
            </w:pPr>
            <w:r>
              <w:rPr>
                <w:rFonts w:ascii="Times New Roman"/>
                <w:szCs w:val="21"/>
              </w:rPr>
              <w:t>0</w:t>
            </w:r>
          </w:p>
        </w:tc>
        <w:tc>
          <w:tcPr>
            <w:tcW w:w="1683" w:type="dxa"/>
            <w:vAlign w:val="center"/>
          </w:tcPr>
          <w:p w14:paraId="2297CAB5">
            <w:pPr>
              <w:pStyle w:val="70"/>
              <w:spacing w:beforeLines="0" w:afterLines="0" w:line="240" w:lineRule="auto"/>
              <w:rPr>
                <w:rFonts w:ascii="Times New Roman"/>
                <w:szCs w:val="21"/>
              </w:rPr>
            </w:pPr>
            <w:r>
              <w:rPr>
                <w:rFonts w:ascii="Times New Roman"/>
                <w:szCs w:val="21"/>
              </w:rPr>
              <w:t>0</w:t>
            </w:r>
          </w:p>
        </w:tc>
        <w:tc>
          <w:tcPr>
            <w:tcW w:w="1543" w:type="dxa"/>
            <w:vAlign w:val="center"/>
          </w:tcPr>
          <w:p w14:paraId="34484DBB">
            <w:pPr>
              <w:pStyle w:val="70"/>
              <w:spacing w:beforeLines="0" w:afterLines="0" w:line="240" w:lineRule="auto"/>
              <w:rPr>
                <w:rFonts w:ascii="Times New Roman"/>
                <w:snapToGrid w:val="0"/>
                <w:kern w:val="21"/>
                <w:szCs w:val="21"/>
              </w:rPr>
            </w:pPr>
            <w:r>
              <w:rPr>
                <w:rFonts w:ascii="Times New Roman"/>
                <w:szCs w:val="21"/>
              </w:rPr>
              <w:t>0</w:t>
            </w:r>
          </w:p>
        </w:tc>
        <w:tc>
          <w:tcPr>
            <w:tcW w:w="1743" w:type="dxa"/>
            <w:vAlign w:val="center"/>
          </w:tcPr>
          <w:p w14:paraId="54DADFD1">
            <w:pPr>
              <w:pStyle w:val="70"/>
              <w:spacing w:beforeLines="0" w:afterLines="0" w:line="240" w:lineRule="auto"/>
              <w:rPr>
                <w:rFonts w:ascii="Times New Roman"/>
                <w:snapToGrid w:val="0"/>
                <w:kern w:val="21"/>
                <w:szCs w:val="21"/>
              </w:rPr>
            </w:pPr>
            <w:r>
              <w:rPr>
                <w:rFonts w:ascii="Times New Roman"/>
                <w:szCs w:val="21"/>
              </w:rPr>
              <w:t>0</w:t>
            </w:r>
          </w:p>
        </w:tc>
        <w:tc>
          <w:tcPr>
            <w:tcW w:w="1727" w:type="dxa"/>
            <w:vAlign w:val="center"/>
          </w:tcPr>
          <w:p w14:paraId="6BC92971">
            <w:pPr>
              <w:pStyle w:val="70"/>
              <w:spacing w:beforeLines="0" w:afterLines="0" w:line="240" w:lineRule="auto"/>
              <w:rPr>
                <w:rFonts w:ascii="Times New Roman"/>
                <w:snapToGrid w:val="0"/>
                <w:kern w:val="21"/>
                <w:szCs w:val="21"/>
              </w:rPr>
            </w:pPr>
            <w:r>
              <w:rPr>
                <w:rFonts w:ascii="Times New Roman"/>
                <w:szCs w:val="21"/>
              </w:rPr>
              <w:t>200</w:t>
            </w:r>
          </w:p>
        </w:tc>
        <w:tc>
          <w:tcPr>
            <w:tcW w:w="1029" w:type="dxa"/>
            <w:vAlign w:val="center"/>
          </w:tcPr>
          <w:p w14:paraId="1F47D00F">
            <w:pPr>
              <w:pStyle w:val="70"/>
              <w:spacing w:beforeLines="0" w:afterLines="0" w:line="240" w:lineRule="auto"/>
              <w:rPr>
                <w:rFonts w:ascii="Times New Roman"/>
                <w:szCs w:val="21"/>
              </w:rPr>
            </w:pPr>
            <w:r>
              <w:rPr>
                <w:rFonts w:ascii="Times New Roman"/>
                <w:szCs w:val="21"/>
              </w:rPr>
              <w:t>0</w:t>
            </w:r>
          </w:p>
        </w:tc>
      </w:tr>
      <w:tr w14:paraId="7FEF20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6F08E6E6">
            <w:pPr>
              <w:pStyle w:val="70"/>
              <w:spacing w:beforeLines="0" w:afterLines="0" w:line="240" w:lineRule="auto"/>
              <w:rPr>
                <w:rFonts w:ascii="Times New Roman"/>
                <w:snapToGrid w:val="0"/>
                <w:kern w:val="21"/>
                <w:szCs w:val="21"/>
              </w:rPr>
            </w:pPr>
          </w:p>
        </w:tc>
        <w:tc>
          <w:tcPr>
            <w:tcW w:w="2410" w:type="dxa"/>
            <w:vAlign w:val="center"/>
          </w:tcPr>
          <w:p w14:paraId="438F0768">
            <w:pPr>
              <w:widowControl/>
              <w:jc w:val="center"/>
              <w:rPr>
                <w:szCs w:val="21"/>
              </w:rPr>
            </w:pPr>
            <w:r>
              <w:rPr>
                <w:szCs w:val="21"/>
              </w:rPr>
              <w:t>废锂电池</w:t>
            </w:r>
          </w:p>
        </w:tc>
        <w:tc>
          <w:tcPr>
            <w:tcW w:w="1405" w:type="dxa"/>
            <w:vAlign w:val="center"/>
          </w:tcPr>
          <w:p w14:paraId="611BF260">
            <w:pPr>
              <w:pStyle w:val="70"/>
              <w:spacing w:beforeLines="0" w:afterLines="0" w:line="240" w:lineRule="auto"/>
              <w:rPr>
                <w:rFonts w:ascii="Times New Roman"/>
                <w:szCs w:val="21"/>
              </w:rPr>
            </w:pPr>
            <w:r>
              <w:rPr>
                <w:rFonts w:ascii="Times New Roman"/>
                <w:szCs w:val="21"/>
              </w:rPr>
              <w:t>0</w:t>
            </w:r>
          </w:p>
        </w:tc>
        <w:tc>
          <w:tcPr>
            <w:tcW w:w="1263" w:type="dxa"/>
            <w:vAlign w:val="center"/>
          </w:tcPr>
          <w:p w14:paraId="082E45AA">
            <w:pPr>
              <w:pStyle w:val="70"/>
              <w:spacing w:beforeLines="0" w:afterLines="0" w:line="240" w:lineRule="auto"/>
              <w:rPr>
                <w:rFonts w:ascii="Times New Roman"/>
                <w:szCs w:val="21"/>
              </w:rPr>
            </w:pPr>
            <w:r>
              <w:rPr>
                <w:rFonts w:ascii="Times New Roman"/>
                <w:szCs w:val="21"/>
              </w:rPr>
              <w:t>0</w:t>
            </w:r>
          </w:p>
        </w:tc>
        <w:tc>
          <w:tcPr>
            <w:tcW w:w="1683" w:type="dxa"/>
            <w:vAlign w:val="center"/>
          </w:tcPr>
          <w:p w14:paraId="723336BD">
            <w:pPr>
              <w:pStyle w:val="70"/>
              <w:spacing w:beforeLines="0" w:afterLines="0" w:line="240" w:lineRule="auto"/>
              <w:rPr>
                <w:rFonts w:ascii="Times New Roman"/>
                <w:szCs w:val="21"/>
              </w:rPr>
            </w:pPr>
            <w:r>
              <w:rPr>
                <w:rFonts w:ascii="Times New Roman"/>
                <w:szCs w:val="21"/>
              </w:rPr>
              <w:t>0</w:t>
            </w:r>
          </w:p>
        </w:tc>
        <w:tc>
          <w:tcPr>
            <w:tcW w:w="1543" w:type="dxa"/>
            <w:vAlign w:val="center"/>
          </w:tcPr>
          <w:p w14:paraId="31C7E267">
            <w:pPr>
              <w:pStyle w:val="70"/>
              <w:spacing w:beforeLines="0" w:afterLines="0" w:line="240" w:lineRule="auto"/>
              <w:rPr>
                <w:rFonts w:ascii="Times New Roman"/>
                <w:szCs w:val="21"/>
              </w:rPr>
            </w:pPr>
            <w:r>
              <w:rPr>
                <w:rFonts w:ascii="Times New Roman"/>
                <w:szCs w:val="21"/>
              </w:rPr>
              <w:t>0</w:t>
            </w:r>
          </w:p>
        </w:tc>
        <w:tc>
          <w:tcPr>
            <w:tcW w:w="1743" w:type="dxa"/>
            <w:vAlign w:val="center"/>
          </w:tcPr>
          <w:p w14:paraId="5C455911">
            <w:pPr>
              <w:pStyle w:val="70"/>
              <w:spacing w:beforeLines="0" w:afterLines="0" w:line="240" w:lineRule="auto"/>
              <w:rPr>
                <w:rFonts w:ascii="Times New Roman"/>
                <w:szCs w:val="21"/>
              </w:rPr>
            </w:pPr>
            <w:r>
              <w:rPr>
                <w:rFonts w:ascii="Times New Roman"/>
                <w:szCs w:val="21"/>
              </w:rPr>
              <w:t>0</w:t>
            </w:r>
          </w:p>
        </w:tc>
        <w:tc>
          <w:tcPr>
            <w:tcW w:w="1727" w:type="dxa"/>
            <w:vAlign w:val="center"/>
          </w:tcPr>
          <w:p w14:paraId="6B76BE3C">
            <w:pPr>
              <w:pStyle w:val="70"/>
              <w:spacing w:beforeLines="0" w:afterLines="0" w:line="240" w:lineRule="auto"/>
              <w:rPr>
                <w:rFonts w:ascii="Times New Roman"/>
                <w:szCs w:val="21"/>
              </w:rPr>
            </w:pPr>
            <w:r>
              <w:rPr>
                <w:rFonts w:ascii="Times New Roman"/>
                <w:szCs w:val="21"/>
              </w:rPr>
              <w:t>0</w:t>
            </w:r>
          </w:p>
        </w:tc>
        <w:tc>
          <w:tcPr>
            <w:tcW w:w="1029" w:type="dxa"/>
            <w:vAlign w:val="center"/>
          </w:tcPr>
          <w:p w14:paraId="456CF490">
            <w:pPr>
              <w:pStyle w:val="70"/>
              <w:spacing w:beforeLines="0" w:afterLines="0" w:line="240" w:lineRule="auto"/>
              <w:rPr>
                <w:rFonts w:ascii="Times New Roman"/>
                <w:szCs w:val="21"/>
              </w:rPr>
            </w:pPr>
            <w:r>
              <w:rPr>
                <w:rFonts w:ascii="Times New Roman"/>
                <w:szCs w:val="21"/>
              </w:rPr>
              <w:t>0</w:t>
            </w:r>
          </w:p>
        </w:tc>
      </w:tr>
      <w:tr w14:paraId="7A5A51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13BA5B45">
            <w:pPr>
              <w:pStyle w:val="70"/>
              <w:spacing w:beforeLines="0" w:afterLines="0" w:line="240" w:lineRule="auto"/>
              <w:rPr>
                <w:rFonts w:ascii="Times New Roman"/>
                <w:snapToGrid w:val="0"/>
                <w:kern w:val="21"/>
                <w:szCs w:val="21"/>
              </w:rPr>
            </w:pPr>
          </w:p>
        </w:tc>
        <w:tc>
          <w:tcPr>
            <w:tcW w:w="2410" w:type="dxa"/>
            <w:vAlign w:val="center"/>
          </w:tcPr>
          <w:p w14:paraId="6F4C2FB8">
            <w:pPr>
              <w:widowControl/>
              <w:jc w:val="center"/>
              <w:rPr>
                <w:szCs w:val="21"/>
              </w:rPr>
            </w:pPr>
            <w:r>
              <w:rPr>
                <w:szCs w:val="21"/>
              </w:rPr>
              <w:t>废过滤材料</w:t>
            </w:r>
          </w:p>
        </w:tc>
        <w:tc>
          <w:tcPr>
            <w:tcW w:w="1405" w:type="dxa"/>
            <w:vAlign w:val="center"/>
          </w:tcPr>
          <w:p w14:paraId="58CF94E3">
            <w:pPr>
              <w:pStyle w:val="70"/>
              <w:spacing w:beforeLines="0" w:afterLines="0" w:line="240" w:lineRule="auto"/>
              <w:rPr>
                <w:rFonts w:ascii="Times New Roman"/>
                <w:szCs w:val="21"/>
              </w:rPr>
            </w:pPr>
            <w:r>
              <w:rPr>
                <w:rFonts w:ascii="Times New Roman"/>
                <w:szCs w:val="21"/>
              </w:rPr>
              <w:t>0</w:t>
            </w:r>
          </w:p>
        </w:tc>
        <w:tc>
          <w:tcPr>
            <w:tcW w:w="1263" w:type="dxa"/>
            <w:vAlign w:val="center"/>
          </w:tcPr>
          <w:p w14:paraId="2E8FA9CC">
            <w:pPr>
              <w:pStyle w:val="70"/>
              <w:spacing w:beforeLines="0" w:afterLines="0" w:line="240" w:lineRule="auto"/>
              <w:rPr>
                <w:rFonts w:ascii="Times New Roman"/>
                <w:szCs w:val="21"/>
              </w:rPr>
            </w:pPr>
            <w:r>
              <w:rPr>
                <w:rFonts w:ascii="Times New Roman"/>
                <w:szCs w:val="21"/>
              </w:rPr>
              <w:t>0</w:t>
            </w:r>
          </w:p>
        </w:tc>
        <w:tc>
          <w:tcPr>
            <w:tcW w:w="1683" w:type="dxa"/>
            <w:vAlign w:val="center"/>
          </w:tcPr>
          <w:p w14:paraId="5871CF13">
            <w:pPr>
              <w:pStyle w:val="70"/>
              <w:spacing w:beforeLines="0" w:afterLines="0" w:line="240" w:lineRule="auto"/>
              <w:rPr>
                <w:rFonts w:ascii="Times New Roman"/>
                <w:szCs w:val="21"/>
              </w:rPr>
            </w:pPr>
            <w:r>
              <w:rPr>
                <w:rFonts w:ascii="Times New Roman"/>
                <w:szCs w:val="21"/>
              </w:rPr>
              <w:t>0</w:t>
            </w:r>
          </w:p>
        </w:tc>
        <w:tc>
          <w:tcPr>
            <w:tcW w:w="1543" w:type="dxa"/>
            <w:vAlign w:val="center"/>
          </w:tcPr>
          <w:p w14:paraId="2121EF2F">
            <w:pPr>
              <w:pStyle w:val="70"/>
              <w:spacing w:beforeLines="0" w:afterLines="0" w:line="240" w:lineRule="auto"/>
              <w:rPr>
                <w:rFonts w:ascii="Times New Roman"/>
                <w:szCs w:val="21"/>
              </w:rPr>
            </w:pPr>
            <w:r>
              <w:rPr>
                <w:rFonts w:ascii="Times New Roman"/>
                <w:szCs w:val="21"/>
              </w:rPr>
              <w:t>0</w:t>
            </w:r>
          </w:p>
        </w:tc>
        <w:tc>
          <w:tcPr>
            <w:tcW w:w="1743" w:type="dxa"/>
            <w:vAlign w:val="center"/>
          </w:tcPr>
          <w:p w14:paraId="2DE1AB67">
            <w:pPr>
              <w:pStyle w:val="70"/>
              <w:spacing w:beforeLines="0" w:afterLines="0" w:line="240" w:lineRule="auto"/>
              <w:rPr>
                <w:rFonts w:ascii="Times New Roman"/>
                <w:szCs w:val="21"/>
              </w:rPr>
            </w:pPr>
            <w:r>
              <w:rPr>
                <w:rFonts w:ascii="Times New Roman"/>
                <w:szCs w:val="21"/>
              </w:rPr>
              <w:t>0</w:t>
            </w:r>
          </w:p>
        </w:tc>
        <w:tc>
          <w:tcPr>
            <w:tcW w:w="1727" w:type="dxa"/>
            <w:vAlign w:val="center"/>
          </w:tcPr>
          <w:p w14:paraId="45795347">
            <w:pPr>
              <w:pStyle w:val="70"/>
              <w:spacing w:beforeLines="0" w:afterLines="0" w:line="240" w:lineRule="auto"/>
              <w:rPr>
                <w:rFonts w:ascii="Times New Roman"/>
                <w:szCs w:val="21"/>
              </w:rPr>
            </w:pPr>
            <w:r>
              <w:rPr>
                <w:rFonts w:ascii="Times New Roman"/>
                <w:szCs w:val="21"/>
              </w:rPr>
              <w:t>0</w:t>
            </w:r>
          </w:p>
        </w:tc>
        <w:tc>
          <w:tcPr>
            <w:tcW w:w="1029" w:type="dxa"/>
            <w:vAlign w:val="center"/>
          </w:tcPr>
          <w:p w14:paraId="5A7CA1DC">
            <w:pPr>
              <w:pStyle w:val="70"/>
              <w:spacing w:beforeLines="0" w:afterLines="0" w:line="240" w:lineRule="auto"/>
              <w:rPr>
                <w:rFonts w:ascii="Times New Roman"/>
                <w:szCs w:val="21"/>
              </w:rPr>
            </w:pPr>
            <w:r>
              <w:rPr>
                <w:rFonts w:ascii="Times New Roman"/>
                <w:szCs w:val="21"/>
              </w:rPr>
              <w:t>0</w:t>
            </w:r>
          </w:p>
        </w:tc>
      </w:tr>
      <w:tr w14:paraId="6D1A30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75EE1C1D">
            <w:pPr>
              <w:pStyle w:val="70"/>
              <w:spacing w:beforeLines="0" w:afterLines="0" w:line="240" w:lineRule="auto"/>
              <w:rPr>
                <w:rFonts w:ascii="Times New Roman"/>
                <w:snapToGrid w:val="0"/>
                <w:kern w:val="21"/>
                <w:szCs w:val="21"/>
              </w:rPr>
            </w:pPr>
          </w:p>
        </w:tc>
        <w:tc>
          <w:tcPr>
            <w:tcW w:w="2410" w:type="dxa"/>
            <w:vAlign w:val="center"/>
          </w:tcPr>
          <w:p w14:paraId="4AB96B43">
            <w:pPr>
              <w:widowControl/>
              <w:jc w:val="center"/>
              <w:rPr>
                <w:szCs w:val="21"/>
              </w:rPr>
            </w:pPr>
            <w:r>
              <w:rPr>
                <w:szCs w:val="21"/>
              </w:rPr>
              <w:t>氧化铝</w:t>
            </w:r>
          </w:p>
        </w:tc>
        <w:tc>
          <w:tcPr>
            <w:tcW w:w="1405" w:type="dxa"/>
            <w:vAlign w:val="center"/>
          </w:tcPr>
          <w:p w14:paraId="4654C461">
            <w:pPr>
              <w:pStyle w:val="70"/>
              <w:spacing w:beforeLines="0" w:afterLines="0" w:line="240" w:lineRule="auto"/>
              <w:rPr>
                <w:rFonts w:ascii="Times New Roman"/>
                <w:szCs w:val="21"/>
              </w:rPr>
            </w:pPr>
            <w:r>
              <w:rPr>
                <w:rFonts w:ascii="Times New Roman"/>
                <w:szCs w:val="21"/>
              </w:rPr>
              <w:t>0</w:t>
            </w:r>
          </w:p>
        </w:tc>
        <w:tc>
          <w:tcPr>
            <w:tcW w:w="1263" w:type="dxa"/>
            <w:vAlign w:val="center"/>
          </w:tcPr>
          <w:p w14:paraId="3CFE8B50">
            <w:pPr>
              <w:pStyle w:val="70"/>
              <w:spacing w:beforeLines="0" w:afterLines="0" w:line="240" w:lineRule="auto"/>
              <w:rPr>
                <w:rFonts w:ascii="Times New Roman"/>
                <w:szCs w:val="21"/>
              </w:rPr>
            </w:pPr>
            <w:r>
              <w:rPr>
                <w:rFonts w:ascii="Times New Roman"/>
                <w:szCs w:val="21"/>
              </w:rPr>
              <w:t>0</w:t>
            </w:r>
          </w:p>
        </w:tc>
        <w:tc>
          <w:tcPr>
            <w:tcW w:w="1683" w:type="dxa"/>
            <w:vAlign w:val="center"/>
          </w:tcPr>
          <w:p w14:paraId="0C33603F">
            <w:pPr>
              <w:pStyle w:val="70"/>
              <w:spacing w:beforeLines="0" w:afterLines="0" w:line="240" w:lineRule="auto"/>
              <w:rPr>
                <w:rFonts w:ascii="Times New Roman"/>
                <w:szCs w:val="21"/>
              </w:rPr>
            </w:pPr>
            <w:r>
              <w:rPr>
                <w:rFonts w:ascii="Times New Roman"/>
                <w:szCs w:val="21"/>
              </w:rPr>
              <w:t>0</w:t>
            </w:r>
          </w:p>
        </w:tc>
        <w:tc>
          <w:tcPr>
            <w:tcW w:w="1543" w:type="dxa"/>
            <w:vAlign w:val="center"/>
          </w:tcPr>
          <w:p w14:paraId="29FFFEBF">
            <w:pPr>
              <w:pStyle w:val="70"/>
              <w:spacing w:beforeLines="0" w:afterLines="0" w:line="240" w:lineRule="auto"/>
              <w:rPr>
                <w:rFonts w:ascii="Times New Roman"/>
                <w:szCs w:val="21"/>
              </w:rPr>
            </w:pPr>
            <w:r>
              <w:rPr>
                <w:rFonts w:ascii="Times New Roman"/>
                <w:szCs w:val="21"/>
              </w:rPr>
              <w:t>0</w:t>
            </w:r>
          </w:p>
        </w:tc>
        <w:tc>
          <w:tcPr>
            <w:tcW w:w="1743" w:type="dxa"/>
            <w:vAlign w:val="center"/>
          </w:tcPr>
          <w:p w14:paraId="5CDC9F28">
            <w:pPr>
              <w:pStyle w:val="70"/>
              <w:spacing w:beforeLines="0" w:afterLines="0" w:line="240" w:lineRule="auto"/>
              <w:rPr>
                <w:rFonts w:ascii="Times New Roman"/>
                <w:szCs w:val="21"/>
              </w:rPr>
            </w:pPr>
            <w:r>
              <w:rPr>
                <w:rFonts w:ascii="Times New Roman"/>
                <w:szCs w:val="21"/>
              </w:rPr>
              <w:t>0</w:t>
            </w:r>
          </w:p>
        </w:tc>
        <w:tc>
          <w:tcPr>
            <w:tcW w:w="1727" w:type="dxa"/>
            <w:vAlign w:val="center"/>
          </w:tcPr>
          <w:p w14:paraId="16D29D19">
            <w:pPr>
              <w:pStyle w:val="70"/>
              <w:spacing w:beforeLines="0" w:afterLines="0" w:line="240" w:lineRule="auto"/>
              <w:rPr>
                <w:rFonts w:ascii="Times New Roman"/>
                <w:szCs w:val="21"/>
              </w:rPr>
            </w:pPr>
            <w:r>
              <w:rPr>
                <w:rFonts w:ascii="Times New Roman"/>
                <w:szCs w:val="21"/>
              </w:rPr>
              <w:t>0</w:t>
            </w:r>
          </w:p>
        </w:tc>
        <w:tc>
          <w:tcPr>
            <w:tcW w:w="1029" w:type="dxa"/>
            <w:vAlign w:val="center"/>
          </w:tcPr>
          <w:p w14:paraId="28E17A36">
            <w:pPr>
              <w:pStyle w:val="70"/>
              <w:spacing w:beforeLines="0" w:afterLines="0" w:line="240" w:lineRule="auto"/>
              <w:rPr>
                <w:rFonts w:ascii="Times New Roman"/>
                <w:szCs w:val="21"/>
              </w:rPr>
            </w:pPr>
            <w:r>
              <w:rPr>
                <w:rFonts w:ascii="Times New Roman"/>
                <w:szCs w:val="21"/>
              </w:rPr>
              <w:t>0</w:t>
            </w:r>
          </w:p>
        </w:tc>
      </w:tr>
      <w:tr w14:paraId="00BB0A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20D4B11F">
            <w:pPr>
              <w:pStyle w:val="70"/>
              <w:spacing w:beforeLines="0" w:afterLines="0" w:line="240" w:lineRule="auto"/>
              <w:rPr>
                <w:rFonts w:ascii="Times New Roman"/>
                <w:snapToGrid w:val="0"/>
                <w:kern w:val="21"/>
                <w:szCs w:val="21"/>
              </w:rPr>
            </w:pPr>
          </w:p>
        </w:tc>
        <w:tc>
          <w:tcPr>
            <w:tcW w:w="2410" w:type="dxa"/>
            <w:vAlign w:val="center"/>
          </w:tcPr>
          <w:p w14:paraId="1A9BB9D2">
            <w:pPr>
              <w:widowControl/>
              <w:jc w:val="center"/>
              <w:rPr>
                <w:szCs w:val="21"/>
              </w:rPr>
            </w:pPr>
            <w:r>
              <w:rPr>
                <w:szCs w:val="21"/>
              </w:rPr>
              <w:t>废活性炭2</w:t>
            </w:r>
          </w:p>
        </w:tc>
        <w:tc>
          <w:tcPr>
            <w:tcW w:w="1405" w:type="dxa"/>
            <w:vAlign w:val="center"/>
          </w:tcPr>
          <w:p w14:paraId="633472AC">
            <w:pPr>
              <w:pStyle w:val="70"/>
              <w:spacing w:beforeLines="0" w:afterLines="0" w:line="240" w:lineRule="auto"/>
              <w:rPr>
                <w:rFonts w:ascii="Times New Roman"/>
                <w:szCs w:val="21"/>
              </w:rPr>
            </w:pPr>
            <w:r>
              <w:rPr>
                <w:rFonts w:ascii="Times New Roman"/>
                <w:szCs w:val="21"/>
              </w:rPr>
              <w:t>0</w:t>
            </w:r>
          </w:p>
        </w:tc>
        <w:tc>
          <w:tcPr>
            <w:tcW w:w="1263" w:type="dxa"/>
            <w:vAlign w:val="center"/>
          </w:tcPr>
          <w:p w14:paraId="6E2011F7">
            <w:pPr>
              <w:pStyle w:val="70"/>
              <w:spacing w:beforeLines="0" w:afterLines="0" w:line="240" w:lineRule="auto"/>
              <w:rPr>
                <w:rFonts w:ascii="Times New Roman"/>
                <w:szCs w:val="21"/>
              </w:rPr>
            </w:pPr>
            <w:r>
              <w:rPr>
                <w:rFonts w:ascii="Times New Roman"/>
                <w:szCs w:val="21"/>
              </w:rPr>
              <w:t>0</w:t>
            </w:r>
          </w:p>
        </w:tc>
        <w:tc>
          <w:tcPr>
            <w:tcW w:w="1683" w:type="dxa"/>
            <w:vAlign w:val="center"/>
          </w:tcPr>
          <w:p w14:paraId="5F5E16A2">
            <w:pPr>
              <w:pStyle w:val="70"/>
              <w:spacing w:beforeLines="0" w:afterLines="0" w:line="240" w:lineRule="auto"/>
              <w:rPr>
                <w:rFonts w:ascii="Times New Roman"/>
                <w:szCs w:val="21"/>
              </w:rPr>
            </w:pPr>
            <w:r>
              <w:rPr>
                <w:rFonts w:ascii="Times New Roman"/>
                <w:szCs w:val="21"/>
              </w:rPr>
              <w:t>0</w:t>
            </w:r>
          </w:p>
        </w:tc>
        <w:tc>
          <w:tcPr>
            <w:tcW w:w="1543" w:type="dxa"/>
            <w:vAlign w:val="center"/>
          </w:tcPr>
          <w:p w14:paraId="37971FE4">
            <w:pPr>
              <w:pStyle w:val="70"/>
              <w:spacing w:beforeLines="0" w:afterLines="0" w:line="240" w:lineRule="auto"/>
              <w:rPr>
                <w:rFonts w:ascii="Times New Roman"/>
                <w:szCs w:val="21"/>
              </w:rPr>
            </w:pPr>
            <w:r>
              <w:rPr>
                <w:rFonts w:ascii="Times New Roman"/>
                <w:szCs w:val="21"/>
              </w:rPr>
              <w:t>0</w:t>
            </w:r>
          </w:p>
        </w:tc>
        <w:tc>
          <w:tcPr>
            <w:tcW w:w="1743" w:type="dxa"/>
            <w:vAlign w:val="center"/>
          </w:tcPr>
          <w:p w14:paraId="3BAF3BE7">
            <w:pPr>
              <w:pStyle w:val="70"/>
              <w:spacing w:beforeLines="0" w:afterLines="0" w:line="240" w:lineRule="auto"/>
              <w:rPr>
                <w:rFonts w:ascii="Times New Roman"/>
                <w:szCs w:val="21"/>
              </w:rPr>
            </w:pPr>
            <w:r>
              <w:rPr>
                <w:rFonts w:ascii="Times New Roman"/>
                <w:szCs w:val="21"/>
              </w:rPr>
              <w:t>0</w:t>
            </w:r>
          </w:p>
        </w:tc>
        <w:tc>
          <w:tcPr>
            <w:tcW w:w="1727" w:type="dxa"/>
            <w:vAlign w:val="center"/>
          </w:tcPr>
          <w:p w14:paraId="4C99F119">
            <w:pPr>
              <w:pStyle w:val="70"/>
              <w:spacing w:beforeLines="0" w:afterLines="0" w:line="240" w:lineRule="auto"/>
              <w:rPr>
                <w:rFonts w:ascii="Times New Roman"/>
                <w:szCs w:val="21"/>
              </w:rPr>
            </w:pPr>
            <w:r>
              <w:rPr>
                <w:rFonts w:ascii="Times New Roman"/>
                <w:szCs w:val="21"/>
              </w:rPr>
              <w:t>0</w:t>
            </w:r>
          </w:p>
        </w:tc>
        <w:tc>
          <w:tcPr>
            <w:tcW w:w="1029" w:type="dxa"/>
            <w:vAlign w:val="center"/>
          </w:tcPr>
          <w:p w14:paraId="48C3204D">
            <w:pPr>
              <w:pStyle w:val="70"/>
              <w:spacing w:beforeLines="0" w:afterLines="0" w:line="240" w:lineRule="auto"/>
              <w:rPr>
                <w:rFonts w:ascii="Times New Roman"/>
                <w:szCs w:val="21"/>
              </w:rPr>
            </w:pPr>
            <w:r>
              <w:rPr>
                <w:rFonts w:ascii="Times New Roman"/>
                <w:szCs w:val="21"/>
              </w:rPr>
              <w:t>　</w:t>
            </w:r>
          </w:p>
        </w:tc>
      </w:tr>
      <w:tr w14:paraId="2CCF13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227F8960">
            <w:pPr>
              <w:pStyle w:val="70"/>
              <w:spacing w:beforeLines="0" w:afterLines="0" w:line="240" w:lineRule="auto"/>
              <w:rPr>
                <w:rFonts w:ascii="Times New Roman"/>
                <w:snapToGrid w:val="0"/>
                <w:kern w:val="21"/>
                <w:szCs w:val="21"/>
              </w:rPr>
            </w:pPr>
          </w:p>
        </w:tc>
        <w:tc>
          <w:tcPr>
            <w:tcW w:w="2410" w:type="dxa"/>
            <w:vAlign w:val="center"/>
          </w:tcPr>
          <w:p w14:paraId="11C5DA02">
            <w:pPr>
              <w:widowControl/>
              <w:jc w:val="center"/>
              <w:rPr>
                <w:szCs w:val="21"/>
              </w:rPr>
            </w:pPr>
            <w:r>
              <w:rPr>
                <w:szCs w:val="21"/>
              </w:rPr>
              <w:t>废石英砂</w:t>
            </w:r>
          </w:p>
        </w:tc>
        <w:tc>
          <w:tcPr>
            <w:tcW w:w="1405" w:type="dxa"/>
            <w:vAlign w:val="center"/>
          </w:tcPr>
          <w:p w14:paraId="6E492B32">
            <w:pPr>
              <w:pStyle w:val="70"/>
              <w:spacing w:beforeLines="0" w:afterLines="0" w:line="240" w:lineRule="auto"/>
              <w:rPr>
                <w:rFonts w:ascii="Times New Roman"/>
                <w:szCs w:val="21"/>
              </w:rPr>
            </w:pPr>
            <w:r>
              <w:rPr>
                <w:rFonts w:ascii="Times New Roman"/>
                <w:szCs w:val="21"/>
              </w:rPr>
              <w:t>0</w:t>
            </w:r>
          </w:p>
        </w:tc>
        <w:tc>
          <w:tcPr>
            <w:tcW w:w="1263" w:type="dxa"/>
            <w:vAlign w:val="center"/>
          </w:tcPr>
          <w:p w14:paraId="080B02A8">
            <w:pPr>
              <w:pStyle w:val="70"/>
              <w:spacing w:beforeLines="0" w:afterLines="0" w:line="240" w:lineRule="auto"/>
              <w:rPr>
                <w:rFonts w:ascii="Times New Roman"/>
                <w:szCs w:val="21"/>
              </w:rPr>
            </w:pPr>
            <w:r>
              <w:rPr>
                <w:rFonts w:ascii="Times New Roman"/>
                <w:szCs w:val="21"/>
              </w:rPr>
              <w:t>0</w:t>
            </w:r>
          </w:p>
        </w:tc>
        <w:tc>
          <w:tcPr>
            <w:tcW w:w="1683" w:type="dxa"/>
            <w:vAlign w:val="center"/>
          </w:tcPr>
          <w:p w14:paraId="2971AF0A">
            <w:pPr>
              <w:pStyle w:val="70"/>
              <w:spacing w:beforeLines="0" w:afterLines="0" w:line="240" w:lineRule="auto"/>
              <w:rPr>
                <w:rFonts w:ascii="Times New Roman"/>
                <w:szCs w:val="21"/>
              </w:rPr>
            </w:pPr>
            <w:r>
              <w:rPr>
                <w:rFonts w:ascii="Times New Roman"/>
                <w:szCs w:val="21"/>
              </w:rPr>
              <w:t>0</w:t>
            </w:r>
          </w:p>
        </w:tc>
        <w:tc>
          <w:tcPr>
            <w:tcW w:w="1543" w:type="dxa"/>
            <w:vAlign w:val="center"/>
          </w:tcPr>
          <w:p w14:paraId="0954DB77">
            <w:pPr>
              <w:pStyle w:val="70"/>
              <w:spacing w:beforeLines="0" w:afterLines="0" w:line="240" w:lineRule="auto"/>
              <w:rPr>
                <w:rFonts w:ascii="Times New Roman"/>
                <w:szCs w:val="21"/>
              </w:rPr>
            </w:pPr>
            <w:r>
              <w:rPr>
                <w:rFonts w:ascii="Times New Roman"/>
                <w:szCs w:val="21"/>
              </w:rPr>
              <w:t>0</w:t>
            </w:r>
          </w:p>
        </w:tc>
        <w:tc>
          <w:tcPr>
            <w:tcW w:w="1743" w:type="dxa"/>
            <w:vAlign w:val="center"/>
          </w:tcPr>
          <w:p w14:paraId="17742CFD">
            <w:pPr>
              <w:pStyle w:val="70"/>
              <w:spacing w:beforeLines="0" w:afterLines="0" w:line="240" w:lineRule="auto"/>
              <w:rPr>
                <w:rFonts w:ascii="Times New Roman"/>
                <w:szCs w:val="21"/>
              </w:rPr>
            </w:pPr>
            <w:r>
              <w:rPr>
                <w:rFonts w:ascii="Times New Roman"/>
                <w:szCs w:val="21"/>
              </w:rPr>
              <w:t>0</w:t>
            </w:r>
          </w:p>
        </w:tc>
        <w:tc>
          <w:tcPr>
            <w:tcW w:w="1727" w:type="dxa"/>
            <w:vAlign w:val="center"/>
          </w:tcPr>
          <w:p w14:paraId="5EEEA7B2">
            <w:pPr>
              <w:pStyle w:val="70"/>
              <w:spacing w:beforeLines="0" w:afterLines="0" w:line="240" w:lineRule="auto"/>
              <w:rPr>
                <w:rFonts w:ascii="Times New Roman"/>
                <w:szCs w:val="21"/>
              </w:rPr>
            </w:pPr>
            <w:r>
              <w:rPr>
                <w:rFonts w:ascii="Times New Roman"/>
                <w:szCs w:val="21"/>
              </w:rPr>
              <w:t>0</w:t>
            </w:r>
          </w:p>
        </w:tc>
        <w:tc>
          <w:tcPr>
            <w:tcW w:w="1029" w:type="dxa"/>
            <w:vAlign w:val="center"/>
          </w:tcPr>
          <w:p w14:paraId="04A443F0">
            <w:pPr>
              <w:pStyle w:val="70"/>
              <w:spacing w:beforeLines="0" w:afterLines="0" w:line="240" w:lineRule="auto"/>
              <w:rPr>
                <w:rFonts w:ascii="Times New Roman"/>
                <w:szCs w:val="21"/>
              </w:rPr>
            </w:pPr>
            <w:r>
              <w:rPr>
                <w:rFonts w:ascii="Times New Roman"/>
                <w:szCs w:val="21"/>
              </w:rPr>
              <w:t>0</w:t>
            </w:r>
          </w:p>
        </w:tc>
      </w:tr>
      <w:tr w14:paraId="14AC8B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1F346944">
            <w:pPr>
              <w:pStyle w:val="70"/>
              <w:spacing w:beforeLines="0" w:afterLines="0" w:line="240" w:lineRule="auto"/>
              <w:rPr>
                <w:rFonts w:ascii="Times New Roman"/>
                <w:snapToGrid w:val="0"/>
                <w:kern w:val="21"/>
                <w:szCs w:val="21"/>
              </w:rPr>
            </w:pPr>
          </w:p>
        </w:tc>
        <w:tc>
          <w:tcPr>
            <w:tcW w:w="2410" w:type="dxa"/>
            <w:vAlign w:val="center"/>
          </w:tcPr>
          <w:p w14:paraId="38B70D00">
            <w:pPr>
              <w:widowControl/>
              <w:jc w:val="center"/>
              <w:rPr>
                <w:bCs/>
                <w:kern w:val="21"/>
                <w:szCs w:val="21"/>
              </w:rPr>
            </w:pPr>
            <w:r>
              <w:rPr>
                <w:szCs w:val="21"/>
              </w:rPr>
              <w:t>废陶粒</w:t>
            </w:r>
          </w:p>
        </w:tc>
        <w:tc>
          <w:tcPr>
            <w:tcW w:w="1405" w:type="dxa"/>
            <w:vAlign w:val="center"/>
          </w:tcPr>
          <w:p w14:paraId="617A94C9">
            <w:pPr>
              <w:pStyle w:val="70"/>
              <w:spacing w:beforeLines="0" w:afterLines="0" w:line="240" w:lineRule="auto"/>
              <w:rPr>
                <w:rFonts w:ascii="Times New Roman"/>
                <w:szCs w:val="21"/>
              </w:rPr>
            </w:pPr>
            <w:r>
              <w:rPr>
                <w:rFonts w:ascii="Times New Roman"/>
                <w:szCs w:val="21"/>
              </w:rPr>
              <w:t>83005.49</w:t>
            </w:r>
          </w:p>
        </w:tc>
        <w:tc>
          <w:tcPr>
            <w:tcW w:w="1263" w:type="dxa"/>
            <w:vAlign w:val="center"/>
          </w:tcPr>
          <w:p w14:paraId="36AAD06A">
            <w:pPr>
              <w:pStyle w:val="70"/>
              <w:spacing w:beforeLines="0" w:afterLines="0" w:line="240" w:lineRule="auto"/>
              <w:rPr>
                <w:rFonts w:ascii="Times New Roman"/>
                <w:szCs w:val="21"/>
              </w:rPr>
            </w:pPr>
            <w:r>
              <w:rPr>
                <w:rFonts w:ascii="Times New Roman"/>
                <w:szCs w:val="21"/>
              </w:rPr>
              <w:t>0</w:t>
            </w:r>
          </w:p>
        </w:tc>
        <w:tc>
          <w:tcPr>
            <w:tcW w:w="1683" w:type="dxa"/>
            <w:vAlign w:val="center"/>
          </w:tcPr>
          <w:p w14:paraId="520A53D7">
            <w:pPr>
              <w:pStyle w:val="70"/>
              <w:spacing w:beforeLines="0" w:afterLines="0" w:line="240" w:lineRule="auto"/>
              <w:rPr>
                <w:rFonts w:ascii="Times New Roman"/>
                <w:szCs w:val="21"/>
              </w:rPr>
            </w:pPr>
            <w:r>
              <w:rPr>
                <w:rFonts w:ascii="Times New Roman"/>
                <w:szCs w:val="21"/>
              </w:rPr>
              <w:t>0</w:t>
            </w:r>
          </w:p>
        </w:tc>
        <w:tc>
          <w:tcPr>
            <w:tcW w:w="1543" w:type="dxa"/>
            <w:vAlign w:val="center"/>
          </w:tcPr>
          <w:p w14:paraId="713F3712">
            <w:pPr>
              <w:pStyle w:val="70"/>
              <w:spacing w:beforeLines="0" w:afterLines="0" w:line="240" w:lineRule="auto"/>
              <w:rPr>
                <w:rFonts w:ascii="Times New Roman"/>
                <w:snapToGrid w:val="0"/>
                <w:kern w:val="21"/>
                <w:szCs w:val="21"/>
              </w:rPr>
            </w:pPr>
            <w:r>
              <w:rPr>
                <w:rFonts w:ascii="Times New Roman"/>
                <w:szCs w:val="21"/>
              </w:rPr>
              <w:t>0</w:t>
            </w:r>
          </w:p>
        </w:tc>
        <w:tc>
          <w:tcPr>
            <w:tcW w:w="1743" w:type="dxa"/>
            <w:vAlign w:val="center"/>
          </w:tcPr>
          <w:p w14:paraId="213090D2">
            <w:pPr>
              <w:pStyle w:val="70"/>
              <w:spacing w:beforeLines="0" w:afterLines="0" w:line="240" w:lineRule="auto"/>
              <w:rPr>
                <w:rFonts w:ascii="Times New Roman"/>
                <w:snapToGrid w:val="0"/>
                <w:kern w:val="21"/>
                <w:szCs w:val="21"/>
              </w:rPr>
            </w:pPr>
            <w:r>
              <w:rPr>
                <w:rFonts w:ascii="Times New Roman"/>
                <w:szCs w:val="21"/>
              </w:rPr>
              <w:t>0</w:t>
            </w:r>
          </w:p>
        </w:tc>
        <w:tc>
          <w:tcPr>
            <w:tcW w:w="1727" w:type="dxa"/>
            <w:vAlign w:val="center"/>
          </w:tcPr>
          <w:p w14:paraId="5F3095B0">
            <w:pPr>
              <w:pStyle w:val="70"/>
              <w:spacing w:beforeLines="0" w:afterLines="0" w:line="240" w:lineRule="auto"/>
              <w:rPr>
                <w:rFonts w:ascii="Times New Roman"/>
                <w:snapToGrid w:val="0"/>
                <w:kern w:val="21"/>
                <w:szCs w:val="21"/>
              </w:rPr>
            </w:pPr>
            <w:r>
              <w:rPr>
                <w:rFonts w:ascii="Times New Roman"/>
                <w:szCs w:val="21"/>
              </w:rPr>
              <w:t>83005.49</w:t>
            </w:r>
          </w:p>
        </w:tc>
        <w:tc>
          <w:tcPr>
            <w:tcW w:w="1029" w:type="dxa"/>
            <w:vAlign w:val="center"/>
          </w:tcPr>
          <w:p w14:paraId="65EB7320">
            <w:pPr>
              <w:pStyle w:val="70"/>
              <w:spacing w:beforeLines="0" w:afterLines="0" w:line="240" w:lineRule="auto"/>
              <w:rPr>
                <w:rFonts w:ascii="Times New Roman"/>
                <w:szCs w:val="21"/>
              </w:rPr>
            </w:pPr>
            <w:r>
              <w:rPr>
                <w:rFonts w:ascii="Times New Roman"/>
                <w:szCs w:val="21"/>
              </w:rPr>
              <w:t>0</w:t>
            </w:r>
          </w:p>
        </w:tc>
      </w:tr>
      <w:tr w14:paraId="4A36C3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3A812C96">
            <w:pPr>
              <w:pStyle w:val="70"/>
              <w:spacing w:beforeLines="0" w:afterLines="0" w:line="240" w:lineRule="auto"/>
              <w:rPr>
                <w:rFonts w:ascii="Times New Roman"/>
                <w:snapToGrid w:val="0"/>
                <w:kern w:val="21"/>
                <w:szCs w:val="21"/>
              </w:rPr>
            </w:pPr>
          </w:p>
        </w:tc>
        <w:tc>
          <w:tcPr>
            <w:tcW w:w="2410" w:type="dxa"/>
            <w:vAlign w:val="center"/>
          </w:tcPr>
          <w:p w14:paraId="08984B64">
            <w:pPr>
              <w:widowControl/>
              <w:jc w:val="center"/>
              <w:rPr>
                <w:szCs w:val="21"/>
              </w:rPr>
            </w:pPr>
            <w:r>
              <w:rPr>
                <w:szCs w:val="21"/>
              </w:rPr>
              <w:t>污水站污泥</w:t>
            </w:r>
          </w:p>
        </w:tc>
        <w:tc>
          <w:tcPr>
            <w:tcW w:w="1405" w:type="dxa"/>
            <w:vAlign w:val="center"/>
          </w:tcPr>
          <w:p w14:paraId="5590E716">
            <w:pPr>
              <w:pStyle w:val="70"/>
              <w:spacing w:beforeLines="0" w:afterLines="0" w:line="240" w:lineRule="auto"/>
              <w:rPr>
                <w:rFonts w:ascii="Times New Roman"/>
                <w:szCs w:val="21"/>
              </w:rPr>
            </w:pPr>
            <w:r>
              <w:rPr>
                <w:rFonts w:ascii="Times New Roman"/>
                <w:szCs w:val="21"/>
              </w:rPr>
              <w:t>1200</w:t>
            </w:r>
          </w:p>
        </w:tc>
        <w:tc>
          <w:tcPr>
            <w:tcW w:w="1263" w:type="dxa"/>
            <w:vAlign w:val="center"/>
          </w:tcPr>
          <w:p w14:paraId="32FE13D4">
            <w:pPr>
              <w:pStyle w:val="70"/>
              <w:spacing w:beforeLines="0" w:afterLines="0" w:line="240" w:lineRule="auto"/>
              <w:rPr>
                <w:rFonts w:ascii="Times New Roman"/>
                <w:szCs w:val="21"/>
              </w:rPr>
            </w:pPr>
            <w:r>
              <w:rPr>
                <w:rFonts w:ascii="Times New Roman"/>
                <w:szCs w:val="21"/>
              </w:rPr>
              <w:t>0</w:t>
            </w:r>
          </w:p>
        </w:tc>
        <w:tc>
          <w:tcPr>
            <w:tcW w:w="1683" w:type="dxa"/>
            <w:vAlign w:val="center"/>
          </w:tcPr>
          <w:p w14:paraId="584B87E0">
            <w:pPr>
              <w:pStyle w:val="70"/>
              <w:spacing w:beforeLines="0" w:afterLines="0" w:line="240" w:lineRule="auto"/>
              <w:rPr>
                <w:rFonts w:ascii="Times New Roman"/>
                <w:szCs w:val="21"/>
              </w:rPr>
            </w:pPr>
            <w:r>
              <w:rPr>
                <w:rFonts w:ascii="Times New Roman"/>
                <w:szCs w:val="21"/>
              </w:rPr>
              <w:t>0</w:t>
            </w:r>
          </w:p>
        </w:tc>
        <w:tc>
          <w:tcPr>
            <w:tcW w:w="1543" w:type="dxa"/>
            <w:vAlign w:val="center"/>
          </w:tcPr>
          <w:p w14:paraId="64A890BD">
            <w:pPr>
              <w:pStyle w:val="70"/>
              <w:spacing w:beforeLines="0" w:afterLines="0" w:line="240" w:lineRule="auto"/>
              <w:rPr>
                <w:rFonts w:ascii="Times New Roman"/>
                <w:szCs w:val="21"/>
              </w:rPr>
            </w:pPr>
            <w:r>
              <w:rPr>
                <w:rFonts w:ascii="Times New Roman"/>
                <w:szCs w:val="21"/>
              </w:rPr>
              <w:t>0</w:t>
            </w:r>
          </w:p>
        </w:tc>
        <w:tc>
          <w:tcPr>
            <w:tcW w:w="1743" w:type="dxa"/>
            <w:vAlign w:val="center"/>
          </w:tcPr>
          <w:p w14:paraId="31C57FDF">
            <w:pPr>
              <w:pStyle w:val="70"/>
              <w:spacing w:beforeLines="0" w:afterLines="0" w:line="240" w:lineRule="auto"/>
              <w:rPr>
                <w:rFonts w:ascii="Times New Roman"/>
                <w:szCs w:val="21"/>
              </w:rPr>
            </w:pPr>
            <w:r>
              <w:rPr>
                <w:rFonts w:ascii="Times New Roman"/>
                <w:szCs w:val="21"/>
              </w:rPr>
              <w:t>0</w:t>
            </w:r>
          </w:p>
        </w:tc>
        <w:tc>
          <w:tcPr>
            <w:tcW w:w="1727" w:type="dxa"/>
            <w:vAlign w:val="center"/>
          </w:tcPr>
          <w:p w14:paraId="00C7665B">
            <w:pPr>
              <w:pStyle w:val="70"/>
              <w:spacing w:beforeLines="0" w:afterLines="0" w:line="240" w:lineRule="auto"/>
              <w:rPr>
                <w:rFonts w:ascii="Times New Roman"/>
                <w:szCs w:val="21"/>
              </w:rPr>
            </w:pPr>
            <w:r>
              <w:rPr>
                <w:rFonts w:ascii="Times New Roman"/>
                <w:szCs w:val="21"/>
              </w:rPr>
              <w:t>1200</w:t>
            </w:r>
          </w:p>
        </w:tc>
        <w:tc>
          <w:tcPr>
            <w:tcW w:w="1029" w:type="dxa"/>
            <w:vAlign w:val="center"/>
          </w:tcPr>
          <w:p w14:paraId="7CAE6A73">
            <w:pPr>
              <w:pStyle w:val="70"/>
              <w:spacing w:beforeLines="0" w:afterLines="0" w:line="240" w:lineRule="auto"/>
              <w:rPr>
                <w:rFonts w:ascii="Times New Roman"/>
                <w:szCs w:val="21"/>
              </w:rPr>
            </w:pPr>
            <w:r>
              <w:rPr>
                <w:rFonts w:ascii="Times New Roman"/>
                <w:szCs w:val="21"/>
              </w:rPr>
              <w:t>0</w:t>
            </w:r>
          </w:p>
        </w:tc>
      </w:tr>
      <w:tr w14:paraId="722C3C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31EC5A6B">
            <w:pPr>
              <w:pStyle w:val="70"/>
              <w:spacing w:beforeLines="0" w:afterLines="0" w:line="240" w:lineRule="auto"/>
              <w:rPr>
                <w:rFonts w:ascii="Times New Roman"/>
                <w:snapToGrid w:val="0"/>
                <w:kern w:val="21"/>
                <w:szCs w:val="21"/>
              </w:rPr>
            </w:pPr>
          </w:p>
        </w:tc>
        <w:tc>
          <w:tcPr>
            <w:tcW w:w="2410" w:type="dxa"/>
            <w:vAlign w:val="center"/>
          </w:tcPr>
          <w:p w14:paraId="53558640">
            <w:pPr>
              <w:widowControl/>
              <w:jc w:val="center"/>
              <w:rPr>
                <w:szCs w:val="21"/>
              </w:rPr>
            </w:pPr>
            <w:r>
              <w:rPr>
                <w:szCs w:val="21"/>
              </w:rPr>
              <w:t>废硒鼓墨盒</w:t>
            </w:r>
          </w:p>
        </w:tc>
        <w:tc>
          <w:tcPr>
            <w:tcW w:w="1405" w:type="dxa"/>
            <w:vAlign w:val="center"/>
          </w:tcPr>
          <w:p w14:paraId="130C14C1">
            <w:pPr>
              <w:pStyle w:val="70"/>
              <w:spacing w:beforeLines="0" w:afterLines="0" w:line="240" w:lineRule="auto"/>
              <w:rPr>
                <w:rFonts w:ascii="Times New Roman"/>
                <w:szCs w:val="21"/>
              </w:rPr>
            </w:pPr>
            <w:r>
              <w:rPr>
                <w:rFonts w:ascii="Times New Roman"/>
                <w:szCs w:val="21"/>
              </w:rPr>
              <w:t>5</w:t>
            </w:r>
          </w:p>
        </w:tc>
        <w:tc>
          <w:tcPr>
            <w:tcW w:w="1263" w:type="dxa"/>
            <w:vAlign w:val="center"/>
          </w:tcPr>
          <w:p w14:paraId="5184D8E0">
            <w:pPr>
              <w:pStyle w:val="70"/>
              <w:spacing w:beforeLines="0" w:afterLines="0" w:line="240" w:lineRule="auto"/>
              <w:rPr>
                <w:rFonts w:ascii="Times New Roman"/>
                <w:szCs w:val="21"/>
              </w:rPr>
            </w:pPr>
            <w:r>
              <w:rPr>
                <w:rFonts w:ascii="Times New Roman"/>
                <w:szCs w:val="21"/>
              </w:rPr>
              <w:t>0</w:t>
            </w:r>
          </w:p>
        </w:tc>
        <w:tc>
          <w:tcPr>
            <w:tcW w:w="1683" w:type="dxa"/>
            <w:vAlign w:val="center"/>
          </w:tcPr>
          <w:p w14:paraId="7080DC05">
            <w:pPr>
              <w:pStyle w:val="70"/>
              <w:spacing w:beforeLines="0" w:afterLines="0" w:line="240" w:lineRule="auto"/>
              <w:rPr>
                <w:rFonts w:ascii="Times New Roman"/>
                <w:szCs w:val="21"/>
              </w:rPr>
            </w:pPr>
            <w:r>
              <w:rPr>
                <w:rFonts w:ascii="Times New Roman"/>
                <w:szCs w:val="21"/>
              </w:rPr>
              <w:t>0</w:t>
            </w:r>
          </w:p>
        </w:tc>
        <w:tc>
          <w:tcPr>
            <w:tcW w:w="1543" w:type="dxa"/>
            <w:vAlign w:val="center"/>
          </w:tcPr>
          <w:p w14:paraId="1A859312">
            <w:pPr>
              <w:pStyle w:val="70"/>
              <w:spacing w:beforeLines="0" w:afterLines="0" w:line="240" w:lineRule="auto"/>
              <w:rPr>
                <w:rFonts w:ascii="Times New Roman"/>
                <w:szCs w:val="21"/>
              </w:rPr>
            </w:pPr>
            <w:r>
              <w:rPr>
                <w:rFonts w:ascii="Times New Roman"/>
                <w:szCs w:val="21"/>
              </w:rPr>
              <w:t>0</w:t>
            </w:r>
          </w:p>
        </w:tc>
        <w:tc>
          <w:tcPr>
            <w:tcW w:w="1743" w:type="dxa"/>
            <w:vAlign w:val="center"/>
          </w:tcPr>
          <w:p w14:paraId="1167D8B5">
            <w:pPr>
              <w:pStyle w:val="70"/>
              <w:spacing w:beforeLines="0" w:afterLines="0" w:line="240" w:lineRule="auto"/>
              <w:rPr>
                <w:rFonts w:ascii="Times New Roman"/>
                <w:szCs w:val="21"/>
              </w:rPr>
            </w:pPr>
            <w:r>
              <w:rPr>
                <w:rFonts w:ascii="Times New Roman"/>
                <w:szCs w:val="21"/>
              </w:rPr>
              <w:t>0</w:t>
            </w:r>
          </w:p>
        </w:tc>
        <w:tc>
          <w:tcPr>
            <w:tcW w:w="1727" w:type="dxa"/>
            <w:vAlign w:val="center"/>
          </w:tcPr>
          <w:p w14:paraId="57F14FF3">
            <w:pPr>
              <w:pStyle w:val="70"/>
              <w:spacing w:beforeLines="0" w:afterLines="0" w:line="240" w:lineRule="auto"/>
              <w:rPr>
                <w:rFonts w:ascii="Times New Roman"/>
                <w:szCs w:val="21"/>
              </w:rPr>
            </w:pPr>
            <w:r>
              <w:rPr>
                <w:rFonts w:ascii="Times New Roman"/>
                <w:szCs w:val="21"/>
              </w:rPr>
              <w:t>5</w:t>
            </w:r>
          </w:p>
        </w:tc>
        <w:tc>
          <w:tcPr>
            <w:tcW w:w="1029" w:type="dxa"/>
            <w:vAlign w:val="center"/>
          </w:tcPr>
          <w:p w14:paraId="5F94FFF5">
            <w:pPr>
              <w:pStyle w:val="70"/>
              <w:spacing w:beforeLines="0" w:afterLines="0" w:line="240" w:lineRule="auto"/>
              <w:rPr>
                <w:rFonts w:ascii="Times New Roman"/>
                <w:szCs w:val="21"/>
              </w:rPr>
            </w:pPr>
            <w:r>
              <w:rPr>
                <w:rFonts w:ascii="Times New Roman"/>
                <w:szCs w:val="21"/>
              </w:rPr>
              <w:t>0</w:t>
            </w:r>
          </w:p>
        </w:tc>
      </w:tr>
      <w:tr w14:paraId="3C41C5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26128887">
            <w:pPr>
              <w:pStyle w:val="70"/>
              <w:spacing w:beforeLines="0" w:afterLines="0" w:line="240" w:lineRule="auto"/>
              <w:rPr>
                <w:rFonts w:ascii="Times New Roman"/>
                <w:snapToGrid w:val="0"/>
                <w:kern w:val="21"/>
                <w:szCs w:val="21"/>
              </w:rPr>
            </w:pPr>
          </w:p>
        </w:tc>
        <w:tc>
          <w:tcPr>
            <w:tcW w:w="2410" w:type="dxa"/>
            <w:vAlign w:val="center"/>
          </w:tcPr>
          <w:p w14:paraId="300C7730">
            <w:pPr>
              <w:widowControl/>
              <w:jc w:val="center"/>
              <w:rPr>
                <w:szCs w:val="21"/>
              </w:rPr>
            </w:pPr>
            <w:r>
              <w:rPr>
                <w:szCs w:val="21"/>
              </w:rPr>
              <w:t>石膏</w:t>
            </w:r>
          </w:p>
        </w:tc>
        <w:tc>
          <w:tcPr>
            <w:tcW w:w="1405" w:type="dxa"/>
            <w:vAlign w:val="center"/>
          </w:tcPr>
          <w:p w14:paraId="6945459A">
            <w:pPr>
              <w:pStyle w:val="70"/>
              <w:spacing w:beforeLines="0" w:afterLines="0" w:line="240" w:lineRule="auto"/>
              <w:rPr>
                <w:rFonts w:ascii="Times New Roman"/>
                <w:szCs w:val="21"/>
              </w:rPr>
            </w:pPr>
            <w:r>
              <w:rPr>
                <w:rFonts w:ascii="Times New Roman"/>
                <w:szCs w:val="21"/>
              </w:rPr>
              <w:t>8820</w:t>
            </w:r>
          </w:p>
        </w:tc>
        <w:tc>
          <w:tcPr>
            <w:tcW w:w="1263" w:type="dxa"/>
            <w:vAlign w:val="center"/>
          </w:tcPr>
          <w:p w14:paraId="218C04A2">
            <w:pPr>
              <w:pStyle w:val="70"/>
              <w:spacing w:beforeLines="0" w:afterLines="0" w:line="240" w:lineRule="auto"/>
              <w:rPr>
                <w:rFonts w:ascii="Times New Roman"/>
                <w:szCs w:val="21"/>
              </w:rPr>
            </w:pPr>
            <w:r>
              <w:rPr>
                <w:rFonts w:ascii="Times New Roman"/>
                <w:szCs w:val="21"/>
              </w:rPr>
              <w:t>0</w:t>
            </w:r>
          </w:p>
        </w:tc>
        <w:tc>
          <w:tcPr>
            <w:tcW w:w="1683" w:type="dxa"/>
            <w:vAlign w:val="center"/>
          </w:tcPr>
          <w:p w14:paraId="139A6C9B">
            <w:pPr>
              <w:pStyle w:val="70"/>
              <w:spacing w:beforeLines="0" w:afterLines="0" w:line="240" w:lineRule="auto"/>
              <w:rPr>
                <w:rFonts w:ascii="Times New Roman"/>
                <w:szCs w:val="21"/>
              </w:rPr>
            </w:pPr>
            <w:r>
              <w:rPr>
                <w:rFonts w:ascii="Times New Roman"/>
                <w:szCs w:val="21"/>
              </w:rPr>
              <w:t>0</w:t>
            </w:r>
          </w:p>
        </w:tc>
        <w:tc>
          <w:tcPr>
            <w:tcW w:w="1543" w:type="dxa"/>
            <w:vAlign w:val="center"/>
          </w:tcPr>
          <w:p w14:paraId="2645412A">
            <w:pPr>
              <w:pStyle w:val="70"/>
              <w:spacing w:beforeLines="0" w:afterLines="0" w:line="240" w:lineRule="auto"/>
              <w:rPr>
                <w:rFonts w:ascii="Times New Roman"/>
                <w:szCs w:val="21"/>
              </w:rPr>
            </w:pPr>
            <w:r>
              <w:rPr>
                <w:rFonts w:ascii="Times New Roman"/>
                <w:szCs w:val="21"/>
              </w:rPr>
              <w:t>0</w:t>
            </w:r>
          </w:p>
        </w:tc>
        <w:tc>
          <w:tcPr>
            <w:tcW w:w="1743" w:type="dxa"/>
            <w:vAlign w:val="center"/>
          </w:tcPr>
          <w:p w14:paraId="49E1AD57">
            <w:pPr>
              <w:pStyle w:val="70"/>
              <w:spacing w:beforeLines="0" w:afterLines="0" w:line="240" w:lineRule="auto"/>
              <w:rPr>
                <w:rFonts w:ascii="Times New Roman"/>
                <w:szCs w:val="21"/>
              </w:rPr>
            </w:pPr>
            <w:r>
              <w:rPr>
                <w:rFonts w:ascii="Times New Roman"/>
                <w:szCs w:val="21"/>
              </w:rPr>
              <w:t>0</w:t>
            </w:r>
          </w:p>
        </w:tc>
        <w:tc>
          <w:tcPr>
            <w:tcW w:w="1727" w:type="dxa"/>
            <w:vAlign w:val="center"/>
          </w:tcPr>
          <w:p w14:paraId="71C3CE93">
            <w:pPr>
              <w:pStyle w:val="70"/>
              <w:spacing w:beforeLines="0" w:afterLines="0" w:line="240" w:lineRule="auto"/>
              <w:rPr>
                <w:rFonts w:ascii="Times New Roman"/>
                <w:szCs w:val="21"/>
              </w:rPr>
            </w:pPr>
            <w:r>
              <w:rPr>
                <w:rFonts w:ascii="Times New Roman"/>
                <w:szCs w:val="21"/>
              </w:rPr>
              <w:t>8820</w:t>
            </w:r>
          </w:p>
        </w:tc>
        <w:tc>
          <w:tcPr>
            <w:tcW w:w="1029" w:type="dxa"/>
            <w:vAlign w:val="center"/>
          </w:tcPr>
          <w:p w14:paraId="7FD8D3C9">
            <w:pPr>
              <w:pStyle w:val="70"/>
              <w:spacing w:beforeLines="0" w:afterLines="0" w:line="240" w:lineRule="auto"/>
              <w:rPr>
                <w:rFonts w:ascii="Times New Roman"/>
                <w:szCs w:val="21"/>
              </w:rPr>
            </w:pPr>
            <w:r>
              <w:rPr>
                <w:rFonts w:ascii="Times New Roman"/>
                <w:szCs w:val="21"/>
              </w:rPr>
              <w:t>0</w:t>
            </w:r>
          </w:p>
        </w:tc>
      </w:tr>
      <w:tr w14:paraId="75C0DB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4252CAF9">
            <w:pPr>
              <w:pStyle w:val="70"/>
              <w:spacing w:beforeLines="0" w:afterLines="0" w:line="240" w:lineRule="auto"/>
              <w:rPr>
                <w:rFonts w:ascii="Times New Roman"/>
                <w:snapToGrid w:val="0"/>
                <w:kern w:val="21"/>
                <w:szCs w:val="21"/>
              </w:rPr>
            </w:pPr>
          </w:p>
        </w:tc>
        <w:tc>
          <w:tcPr>
            <w:tcW w:w="2410" w:type="dxa"/>
            <w:vAlign w:val="center"/>
          </w:tcPr>
          <w:p w14:paraId="7D417CEF">
            <w:pPr>
              <w:widowControl/>
              <w:jc w:val="center"/>
              <w:rPr>
                <w:szCs w:val="21"/>
              </w:rPr>
            </w:pPr>
            <w:r>
              <w:rPr>
                <w:szCs w:val="21"/>
              </w:rPr>
              <w:t>炉渣</w:t>
            </w:r>
          </w:p>
        </w:tc>
        <w:tc>
          <w:tcPr>
            <w:tcW w:w="1405" w:type="dxa"/>
            <w:vAlign w:val="center"/>
          </w:tcPr>
          <w:p w14:paraId="5462CBCB">
            <w:pPr>
              <w:pStyle w:val="70"/>
              <w:spacing w:beforeLines="0" w:afterLines="0" w:line="240" w:lineRule="auto"/>
              <w:rPr>
                <w:rFonts w:ascii="Times New Roman"/>
                <w:szCs w:val="21"/>
              </w:rPr>
            </w:pPr>
            <w:r>
              <w:rPr>
                <w:rFonts w:ascii="Times New Roman"/>
                <w:szCs w:val="21"/>
              </w:rPr>
              <w:t>5741.301</w:t>
            </w:r>
          </w:p>
        </w:tc>
        <w:tc>
          <w:tcPr>
            <w:tcW w:w="1263" w:type="dxa"/>
            <w:vAlign w:val="center"/>
          </w:tcPr>
          <w:p w14:paraId="6D310508">
            <w:pPr>
              <w:pStyle w:val="70"/>
              <w:spacing w:beforeLines="0" w:afterLines="0" w:line="240" w:lineRule="auto"/>
              <w:rPr>
                <w:rFonts w:ascii="Times New Roman"/>
                <w:szCs w:val="21"/>
              </w:rPr>
            </w:pPr>
            <w:r>
              <w:rPr>
                <w:rFonts w:ascii="Times New Roman"/>
                <w:szCs w:val="21"/>
              </w:rPr>
              <w:t>0</w:t>
            </w:r>
          </w:p>
        </w:tc>
        <w:tc>
          <w:tcPr>
            <w:tcW w:w="1683" w:type="dxa"/>
            <w:vAlign w:val="center"/>
          </w:tcPr>
          <w:p w14:paraId="0C9AFF64">
            <w:pPr>
              <w:pStyle w:val="70"/>
              <w:spacing w:beforeLines="0" w:afterLines="0" w:line="240" w:lineRule="auto"/>
              <w:rPr>
                <w:rFonts w:ascii="Times New Roman"/>
                <w:szCs w:val="21"/>
              </w:rPr>
            </w:pPr>
            <w:r>
              <w:rPr>
                <w:rFonts w:ascii="Times New Roman"/>
                <w:szCs w:val="21"/>
              </w:rPr>
              <w:t>0</w:t>
            </w:r>
          </w:p>
        </w:tc>
        <w:tc>
          <w:tcPr>
            <w:tcW w:w="1543" w:type="dxa"/>
            <w:vAlign w:val="center"/>
          </w:tcPr>
          <w:p w14:paraId="31445FFE">
            <w:pPr>
              <w:pStyle w:val="70"/>
              <w:spacing w:beforeLines="0" w:afterLines="0" w:line="240" w:lineRule="auto"/>
              <w:rPr>
                <w:rFonts w:ascii="Times New Roman"/>
                <w:szCs w:val="21"/>
              </w:rPr>
            </w:pPr>
            <w:r>
              <w:rPr>
                <w:rFonts w:ascii="Times New Roman"/>
                <w:szCs w:val="21"/>
              </w:rPr>
              <w:t>0</w:t>
            </w:r>
          </w:p>
        </w:tc>
        <w:tc>
          <w:tcPr>
            <w:tcW w:w="1743" w:type="dxa"/>
            <w:vAlign w:val="center"/>
          </w:tcPr>
          <w:p w14:paraId="272363C0">
            <w:pPr>
              <w:pStyle w:val="70"/>
              <w:spacing w:beforeLines="0" w:afterLines="0" w:line="240" w:lineRule="auto"/>
              <w:rPr>
                <w:rFonts w:ascii="Times New Roman"/>
                <w:szCs w:val="21"/>
              </w:rPr>
            </w:pPr>
            <w:r>
              <w:rPr>
                <w:rFonts w:ascii="Times New Roman"/>
                <w:szCs w:val="21"/>
              </w:rPr>
              <w:t>0</w:t>
            </w:r>
          </w:p>
        </w:tc>
        <w:tc>
          <w:tcPr>
            <w:tcW w:w="1727" w:type="dxa"/>
            <w:vAlign w:val="center"/>
          </w:tcPr>
          <w:p w14:paraId="13B67360">
            <w:pPr>
              <w:pStyle w:val="70"/>
              <w:spacing w:beforeLines="0" w:afterLines="0" w:line="240" w:lineRule="auto"/>
              <w:rPr>
                <w:rFonts w:ascii="Times New Roman"/>
                <w:szCs w:val="21"/>
              </w:rPr>
            </w:pPr>
            <w:r>
              <w:rPr>
                <w:rFonts w:ascii="Times New Roman"/>
                <w:szCs w:val="21"/>
              </w:rPr>
              <w:t>5741.301</w:t>
            </w:r>
          </w:p>
        </w:tc>
        <w:tc>
          <w:tcPr>
            <w:tcW w:w="1029" w:type="dxa"/>
            <w:vAlign w:val="center"/>
          </w:tcPr>
          <w:p w14:paraId="5974ED4F">
            <w:pPr>
              <w:pStyle w:val="70"/>
              <w:spacing w:beforeLines="0" w:afterLines="0" w:line="240" w:lineRule="auto"/>
              <w:rPr>
                <w:rFonts w:ascii="Times New Roman"/>
                <w:szCs w:val="21"/>
              </w:rPr>
            </w:pPr>
            <w:r>
              <w:rPr>
                <w:rFonts w:ascii="Times New Roman"/>
                <w:szCs w:val="21"/>
              </w:rPr>
              <w:t>0</w:t>
            </w:r>
          </w:p>
        </w:tc>
      </w:tr>
      <w:tr w14:paraId="1F8102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02BDE541">
            <w:pPr>
              <w:pStyle w:val="70"/>
              <w:spacing w:beforeLines="0" w:afterLines="0" w:line="240" w:lineRule="auto"/>
              <w:rPr>
                <w:rFonts w:ascii="Times New Roman"/>
                <w:snapToGrid w:val="0"/>
                <w:kern w:val="21"/>
                <w:szCs w:val="21"/>
              </w:rPr>
            </w:pPr>
          </w:p>
        </w:tc>
        <w:tc>
          <w:tcPr>
            <w:tcW w:w="2410" w:type="dxa"/>
            <w:vAlign w:val="center"/>
          </w:tcPr>
          <w:p w14:paraId="4A1099B2">
            <w:pPr>
              <w:widowControl/>
              <w:jc w:val="center"/>
              <w:rPr>
                <w:kern w:val="0"/>
                <w:szCs w:val="21"/>
              </w:rPr>
            </w:pPr>
            <w:r>
              <w:rPr>
                <w:szCs w:val="21"/>
              </w:rPr>
              <w:t>飞灰</w:t>
            </w:r>
          </w:p>
        </w:tc>
        <w:tc>
          <w:tcPr>
            <w:tcW w:w="1405" w:type="dxa"/>
            <w:vAlign w:val="center"/>
          </w:tcPr>
          <w:p w14:paraId="79E52C83">
            <w:pPr>
              <w:pStyle w:val="70"/>
              <w:spacing w:beforeLines="0" w:afterLines="0" w:line="240" w:lineRule="auto"/>
              <w:rPr>
                <w:rFonts w:ascii="Times New Roman"/>
                <w:szCs w:val="21"/>
              </w:rPr>
            </w:pPr>
            <w:r>
              <w:rPr>
                <w:rFonts w:ascii="Times New Roman"/>
                <w:szCs w:val="21"/>
              </w:rPr>
              <w:t>37811.63</w:t>
            </w:r>
          </w:p>
        </w:tc>
        <w:tc>
          <w:tcPr>
            <w:tcW w:w="1263" w:type="dxa"/>
            <w:vAlign w:val="center"/>
          </w:tcPr>
          <w:p w14:paraId="67E98F2E">
            <w:pPr>
              <w:pStyle w:val="70"/>
              <w:spacing w:beforeLines="0" w:afterLines="0" w:line="240" w:lineRule="auto"/>
              <w:rPr>
                <w:rFonts w:ascii="Times New Roman"/>
                <w:szCs w:val="21"/>
              </w:rPr>
            </w:pPr>
            <w:r>
              <w:rPr>
                <w:rFonts w:ascii="Times New Roman"/>
                <w:szCs w:val="21"/>
              </w:rPr>
              <w:t>0</w:t>
            </w:r>
          </w:p>
        </w:tc>
        <w:tc>
          <w:tcPr>
            <w:tcW w:w="1683" w:type="dxa"/>
            <w:vAlign w:val="center"/>
          </w:tcPr>
          <w:p w14:paraId="0626BFA4">
            <w:pPr>
              <w:pStyle w:val="70"/>
              <w:spacing w:beforeLines="0" w:afterLines="0" w:line="240" w:lineRule="auto"/>
              <w:rPr>
                <w:rFonts w:ascii="Times New Roman"/>
                <w:szCs w:val="21"/>
              </w:rPr>
            </w:pPr>
            <w:r>
              <w:rPr>
                <w:rFonts w:ascii="Times New Roman"/>
                <w:szCs w:val="21"/>
              </w:rPr>
              <w:t>0</w:t>
            </w:r>
          </w:p>
        </w:tc>
        <w:tc>
          <w:tcPr>
            <w:tcW w:w="1543" w:type="dxa"/>
            <w:vAlign w:val="center"/>
          </w:tcPr>
          <w:p w14:paraId="1792A796">
            <w:pPr>
              <w:pStyle w:val="70"/>
              <w:spacing w:beforeLines="0" w:afterLines="0" w:line="240" w:lineRule="auto"/>
              <w:rPr>
                <w:rFonts w:ascii="Times New Roman"/>
                <w:szCs w:val="21"/>
              </w:rPr>
            </w:pPr>
            <w:r>
              <w:rPr>
                <w:rFonts w:ascii="Times New Roman"/>
                <w:szCs w:val="21"/>
              </w:rPr>
              <w:t>0</w:t>
            </w:r>
          </w:p>
        </w:tc>
        <w:tc>
          <w:tcPr>
            <w:tcW w:w="1743" w:type="dxa"/>
            <w:vAlign w:val="center"/>
          </w:tcPr>
          <w:p w14:paraId="7033D106">
            <w:pPr>
              <w:pStyle w:val="70"/>
              <w:spacing w:beforeLines="0" w:afterLines="0" w:line="240" w:lineRule="auto"/>
              <w:rPr>
                <w:rFonts w:ascii="Times New Roman"/>
                <w:szCs w:val="21"/>
              </w:rPr>
            </w:pPr>
            <w:r>
              <w:rPr>
                <w:rFonts w:ascii="Times New Roman"/>
                <w:szCs w:val="21"/>
              </w:rPr>
              <w:t>0</w:t>
            </w:r>
          </w:p>
        </w:tc>
        <w:tc>
          <w:tcPr>
            <w:tcW w:w="1727" w:type="dxa"/>
            <w:vAlign w:val="center"/>
          </w:tcPr>
          <w:p w14:paraId="0EE6C17A">
            <w:pPr>
              <w:pStyle w:val="70"/>
              <w:spacing w:beforeLines="0" w:afterLines="0" w:line="240" w:lineRule="auto"/>
              <w:rPr>
                <w:rFonts w:ascii="Times New Roman"/>
                <w:szCs w:val="21"/>
              </w:rPr>
            </w:pPr>
            <w:r>
              <w:rPr>
                <w:rFonts w:ascii="Times New Roman"/>
                <w:szCs w:val="21"/>
              </w:rPr>
              <w:t>37811.63</w:t>
            </w:r>
          </w:p>
        </w:tc>
        <w:tc>
          <w:tcPr>
            <w:tcW w:w="1029" w:type="dxa"/>
            <w:vAlign w:val="center"/>
          </w:tcPr>
          <w:p w14:paraId="4599272F">
            <w:pPr>
              <w:pStyle w:val="70"/>
              <w:spacing w:beforeLines="0" w:afterLines="0" w:line="240" w:lineRule="auto"/>
              <w:rPr>
                <w:rFonts w:ascii="Times New Roman"/>
                <w:szCs w:val="21"/>
              </w:rPr>
            </w:pPr>
            <w:r>
              <w:rPr>
                <w:rFonts w:ascii="Times New Roman"/>
                <w:szCs w:val="21"/>
              </w:rPr>
              <w:t>0</w:t>
            </w:r>
          </w:p>
        </w:tc>
      </w:tr>
      <w:tr w14:paraId="05F089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335B0C0E">
            <w:pPr>
              <w:pStyle w:val="70"/>
              <w:spacing w:beforeLines="0" w:afterLines="0" w:line="240" w:lineRule="auto"/>
              <w:rPr>
                <w:rFonts w:ascii="Times New Roman"/>
                <w:snapToGrid w:val="0"/>
                <w:kern w:val="21"/>
                <w:szCs w:val="21"/>
              </w:rPr>
            </w:pPr>
          </w:p>
        </w:tc>
        <w:tc>
          <w:tcPr>
            <w:tcW w:w="2410" w:type="dxa"/>
            <w:vAlign w:val="center"/>
          </w:tcPr>
          <w:p w14:paraId="46EA3E84">
            <w:pPr>
              <w:widowControl/>
              <w:jc w:val="center"/>
              <w:rPr>
                <w:kern w:val="0"/>
                <w:szCs w:val="21"/>
              </w:rPr>
            </w:pPr>
            <w:r>
              <w:rPr>
                <w:szCs w:val="21"/>
              </w:rPr>
              <w:t>杂质废料</w:t>
            </w:r>
          </w:p>
        </w:tc>
        <w:tc>
          <w:tcPr>
            <w:tcW w:w="1405" w:type="dxa"/>
            <w:vAlign w:val="center"/>
          </w:tcPr>
          <w:p w14:paraId="236D2818">
            <w:pPr>
              <w:pStyle w:val="70"/>
              <w:spacing w:beforeLines="0" w:afterLines="0" w:line="240" w:lineRule="auto"/>
              <w:rPr>
                <w:rFonts w:ascii="Times New Roman"/>
                <w:szCs w:val="21"/>
              </w:rPr>
            </w:pPr>
            <w:r>
              <w:rPr>
                <w:rFonts w:ascii="Times New Roman"/>
                <w:szCs w:val="21"/>
              </w:rPr>
              <w:t>0</w:t>
            </w:r>
          </w:p>
        </w:tc>
        <w:tc>
          <w:tcPr>
            <w:tcW w:w="1263" w:type="dxa"/>
            <w:vAlign w:val="center"/>
          </w:tcPr>
          <w:p w14:paraId="2DA7E7E7">
            <w:pPr>
              <w:pStyle w:val="70"/>
              <w:spacing w:beforeLines="0" w:afterLines="0" w:line="240" w:lineRule="auto"/>
              <w:rPr>
                <w:rFonts w:ascii="Times New Roman"/>
                <w:szCs w:val="21"/>
              </w:rPr>
            </w:pPr>
            <w:r>
              <w:rPr>
                <w:rFonts w:ascii="Times New Roman"/>
                <w:szCs w:val="21"/>
              </w:rPr>
              <w:t>0</w:t>
            </w:r>
          </w:p>
        </w:tc>
        <w:tc>
          <w:tcPr>
            <w:tcW w:w="1683" w:type="dxa"/>
            <w:vAlign w:val="center"/>
          </w:tcPr>
          <w:p w14:paraId="1D7851D3">
            <w:pPr>
              <w:pStyle w:val="70"/>
              <w:spacing w:beforeLines="0" w:afterLines="0" w:line="240" w:lineRule="auto"/>
              <w:rPr>
                <w:rFonts w:ascii="Times New Roman"/>
                <w:szCs w:val="21"/>
              </w:rPr>
            </w:pPr>
            <w:r>
              <w:rPr>
                <w:rFonts w:ascii="Times New Roman"/>
                <w:szCs w:val="21"/>
              </w:rPr>
              <w:t>0</w:t>
            </w:r>
          </w:p>
        </w:tc>
        <w:tc>
          <w:tcPr>
            <w:tcW w:w="1543" w:type="dxa"/>
            <w:vAlign w:val="center"/>
          </w:tcPr>
          <w:p w14:paraId="2BE7DB61">
            <w:pPr>
              <w:pStyle w:val="70"/>
              <w:spacing w:beforeLines="0" w:afterLines="0" w:line="240" w:lineRule="auto"/>
              <w:rPr>
                <w:rFonts w:ascii="Times New Roman"/>
                <w:szCs w:val="21"/>
              </w:rPr>
            </w:pPr>
            <w:r>
              <w:rPr>
                <w:rFonts w:ascii="Times New Roman"/>
                <w:szCs w:val="21"/>
              </w:rPr>
              <w:t>160</w:t>
            </w:r>
          </w:p>
        </w:tc>
        <w:tc>
          <w:tcPr>
            <w:tcW w:w="1743" w:type="dxa"/>
            <w:vAlign w:val="center"/>
          </w:tcPr>
          <w:p w14:paraId="78D7D5E7">
            <w:pPr>
              <w:pStyle w:val="70"/>
              <w:spacing w:beforeLines="0" w:afterLines="0" w:line="240" w:lineRule="auto"/>
              <w:rPr>
                <w:rFonts w:ascii="Times New Roman"/>
                <w:szCs w:val="21"/>
              </w:rPr>
            </w:pPr>
            <w:r>
              <w:rPr>
                <w:rFonts w:ascii="Times New Roman"/>
                <w:szCs w:val="21"/>
              </w:rPr>
              <w:t>0</w:t>
            </w:r>
          </w:p>
        </w:tc>
        <w:tc>
          <w:tcPr>
            <w:tcW w:w="1727" w:type="dxa"/>
            <w:vAlign w:val="center"/>
          </w:tcPr>
          <w:p w14:paraId="0B35EB91">
            <w:pPr>
              <w:pStyle w:val="70"/>
              <w:spacing w:beforeLines="0" w:afterLines="0" w:line="240" w:lineRule="auto"/>
              <w:rPr>
                <w:rFonts w:ascii="Times New Roman"/>
                <w:szCs w:val="21"/>
              </w:rPr>
            </w:pPr>
            <w:r>
              <w:rPr>
                <w:rFonts w:ascii="Times New Roman"/>
                <w:szCs w:val="21"/>
              </w:rPr>
              <w:t>160</w:t>
            </w:r>
          </w:p>
        </w:tc>
        <w:tc>
          <w:tcPr>
            <w:tcW w:w="1029" w:type="dxa"/>
            <w:vAlign w:val="center"/>
          </w:tcPr>
          <w:p w14:paraId="2E9ADBD7">
            <w:pPr>
              <w:pStyle w:val="70"/>
              <w:spacing w:beforeLines="0" w:afterLines="0" w:line="240" w:lineRule="auto"/>
              <w:rPr>
                <w:rFonts w:ascii="Times New Roman"/>
                <w:szCs w:val="21"/>
              </w:rPr>
            </w:pPr>
            <w:r>
              <w:rPr>
                <w:rFonts w:ascii="Times New Roman"/>
                <w:szCs w:val="21"/>
              </w:rPr>
              <w:t>+160</w:t>
            </w:r>
          </w:p>
        </w:tc>
      </w:tr>
      <w:tr w14:paraId="5BA408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77D77E10">
            <w:pPr>
              <w:pStyle w:val="70"/>
              <w:spacing w:beforeLines="0" w:afterLines="0" w:line="240" w:lineRule="auto"/>
              <w:rPr>
                <w:rFonts w:ascii="Times New Roman"/>
                <w:snapToGrid w:val="0"/>
                <w:kern w:val="21"/>
                <w:szCs w:val="21"/>
              </w:rPr>
            </w:pPr>
          </w:p>
        </w:tc>
        <w:tc>
          <w:tcPr>
            <w:tcW w:w="2410" w:type="dxa"/>
            <w:vAlign w:val="center"/>
          </w:tcPr>
          <w:p w14:paraId="210C1D1B">
            <w:pPr>
              <w:widowControl/>
              <w:jc w:val="center"/>
              <w:rPr>
                <w:szCs w:val="21"/>
              </w:rPr>
            </w:pPr>
            <w:r>
              <w:rPr>
                <w:szCs w:val="21"/>
              </w:rPr>
              <w:t>生活垃圾</w:t>
            </w:r>
          </w:p>
        </w:tc>
        <w:tc>
          <w:tcPr>
            <w:tcW w:w="1405" w:type="dxa"/>
            <w:vAlign w:val="center"/>
          </w:tcPr>
          <w:p w14:paraId="68C560DC">
            <w:pPr>
              <w:pStyle w:val="70"/>
              <w:spacing w:beforeLines="0" w:afterLines="0" w:line="240" w:lineRule="auto"/>
              <w:rPr>
                <w:rFonts w:ascii="Times New Roman"/>
                <w:szCs w:val="21"/>
              </w:rPr>
            </w:pPr>
            <w:r>
              <w:rPr>
                <w:rFonts w:ascii="Times New Roman"/>
                <w:szCs w:val="21"/>
              </w:rPr>
              <w:t>5250</w:t>
            </w:r>
          </w:p>
        </w:tc>
        <w:tc>
          <w:tcPr>
            <w:tcW w:w="1263" w:type="dxa"/>
            <w:vAlign w:val="center"/>
          </w:tcPr>
          <w:p w14:paraId="7721BFC5">
            <w:pPr>
              <w:pStyle w:val="70"/>
              <w:spacing w:beforeLines="0" w:afterLines="0" w:line="240" w:lineRule="auto"/>
              <w:rPr>
                <w:rFonts w:ascii="Times New Roman"/>
                <w:szCs w:val="21"/>
              </w:rPr>
            </w:pPr>
            <w:r>
              <w:rPr>
                <w:rFonts w:ascii="Times New Roman"/>
                <w:szCs w:val="21"/>
              </w:rPr>
              <w:t>0</w:t>
            </w:r>
          </w:p>
        </w:tc>
        <w:tc>
          <w:tcPr>
            <w:tcW w:w="1683" w:type="dxa"/>
            <w:vAlign w:val="center"/>
          </w:tcPr>
          <w:p w14:paraId="64C6DF53">
            <w:pPr>
              <w:pStyle w:val="70"/>
              <w:spacing w:beforeLines="0" w:afterLines="0" w:line="240" w:lineRule="auto"/>
              <w:rPr>
                <w:rFonts w:ascii="Times New Roman"/>
                <w:szCs w:val="21"/>
              </w:rPr>
            </w:pPr>
            <w:r>
              <w:rPr>
                <w:rFonts w:ascii="Times New Roman"/>
                <w:szCs w:val="21"/>
              </w:rPr>
              <w:t>0</w:t>
            </w:r>
          </w:p>
        </w:tc>
        <w:tc>
          <w:tcPr>
            <w:tcW w:w="1543" w:type="dxa"/>
            <w:vAlign w:val="center"/>
          </w:tcPr>
          <w:p w14:paraId="3C726F9C">
            <w:pPr>
              <w:pStyle w:val="70"/>
              <w:spacing w:beforeLines="0" w:afterLines="0" w:line="240" w:lineRule="auto"/>
              <w:rPr>
                <w:rFonts w:ascii="Times New Roman"/>
                <w:szCs w:val="21"/>
              </w:rPr>
            </w:pPr>
            <w:r>
              <w:rPr>
                <w:rFonts w:ascii="Times New Roman"/>
                <w:szCs w:val="21"/>
              </w:rPr>
              <w:t>0</w:t>
            </w:r>
          </w:p>
        </w:tc>
        <w:tc>
          <w:tcPr>
            <w:tcW w:w="1743" w:type="dxa"/>
            <w:vAlign w:val="center"/>
          </w:tcPr>
          <w:p w14:paraId="0D308233">
            <w:pPr>
              <w:pStyle w:val="70"/>
              <w:spacing w:beforeLines="0" w:afterLines="0" w:line="240" w:lineRule="auto"/>
              <w:rPr>
                <w:rFonts w:ascii="Times New Roman"/>
                <w:szCs w:val="21"/>
              </w:rPr>
            </w:pPr>
            <w:r>
              <w:rPr>
                <w:rFonts w:ascii="Times New Roman"/>
                <w:szCs w:val="21"/>
              </w:rPr>
              <w:t>0</w:t>
            </w:r>
          </w:p>
        </w:tc>
        <w:tc>
          <w:tcPr>
            <w:tcW w:w="1727" w:type="dxa"/>
            <w:vAlign w:val="center"/>
          </w:tcPr>
          <w:p w14:paraId="18FF9FCB">
            <w:pPr>
              <w:pStyle w:val="70"/>
              <w:spacing w:beforeLines="0" w:afterLines="0" w:line="240" w:lineRule="auto"/>
              <w:rPr>
                <w:rFonts w:ascii="Times New Roman"/>
                <w:szCs w:val="21"/>
              </w:rPr>
            </w:pPr>
            <w:r>
              <w:rPr>
                <w:rFonts w:ascii="Times New Roman"/>
                <w:szCs w:val="21"/>
              </w:rPr>
              <w:t>5250</w:t>
            </w:r>
          </w:p>
        </w:tc>
        <w:tc>
          <w:tcPr>
            <w:tcW w:w="1029" w:type="dxa"/>
            <w:vAlign w:val="center"/>
          </w:tcPr>
          <w:p w14:paraId="21A1EA3E">
            <w:pPr>
              <w:pStyle w:val="70"/>
              <w:spacing w:beforeLines="0" w:afterLines="0" w:line="240" w:lineRule="auto"/>
              <w:rPr>
                <w:rFonts w:ascii="Times New Roman"/>
                <w:szCs w:val="21"/>
              </w:rPr>
            </w:pPr>
            <w:r>
              <w:rPr>
                <w:rFonts w:ascii="Times New Roman"/>
                <w:szCs w:val="21"/>
              </w:rPr>
              <w:t>0</w:t>
            </w:r>
          </w:p>
        </w:tc>
      </w:tr>
      <w:tr w14:paraId="09F14D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3EE882EE">
            <w:pPr>
              <w:pStyle w:val="70"/>
              <w:spacing w:beforeLines="0" w:afterLines="0" w:line="240" w:lineRule="auto"/>
              <w:rPr>
                <w:rFonts w:ascii="Times New Roman"/>
                <w:snapToGrid w:val="0"/>
                <w:kern w:val="21"/>
                <w:szCs w:val="21"/>
              </w:rPr>
            </w:pPr>
          </w:p>
        </w:tc>
        <w:tc>
          <w:tcPr>
            <w:tcW w:w="2410" w:type="dxa"/>
            <w:vAlign w:val="center"/>
          </w:tcPr>
          <w:p w14:paraId="78F3B468">
            <w:pPr>
              <w:widowControl/>
              <w:jc w:val="center"/>
              <w:rPr>
                <w:kern w:val="0"/>
                <w:szCs w:val="21"/>
              </w:rPr>
            </w:pPr>
            <w:r>
              <w:rPr>
                <w:szCs w:val="21"/>
              </w:rPr>
              <w:t>摩擦料</w:t>
            </w:r>
          </w:p>
        </w:tc>
        <w:tc>
          <w:tcPr>
            <w:tcW w:w="1405" w:type="dxa"/>
            <w:vAlign w:val="center"/>
          </w:tcPr>
          <w:p w14:paraId="385CF2B7">
            <w:pPr>
              <w:pStyle w:val="70"/>
              <w:spacing w:beforeLines="0" w:afterLines="0" w:line="240" w:lineRule="auto"/>
              <w:rPr>
                <w:rFonts w:ascii="Times New Roman"/>
                <w:szCs w:val="21"/>
              </w:rPr>
            </w:pPr>
            <w:r>
              <w:rPr>
                <w:rFonts w:ascii="Times New Roman"/>
                <w:szCs w:val="21"/>
              </w:rPr>
              <w:t>0</w:t>
            </w:r>
          </w:p>
        </w:tc>
        <w:tc>
          <w:tcPr>
            <w:tcW w:w="1263" w:type="dxa"/>
            <w:vAlign w:val="center"/>
          </w:tcPr>
          <w:p w14:paraId="60D836E9">
            <w:pPr>
              <w:pStyle w:val="70"/>
              <w:spacing w:beforeLines="0" w:afterLines="0" w:line="240" w:lineRule="auto"/>
              <w:rPr>
                <w:rFonts w:ascii="Times New Roman"/>
                <w:szCs w:val="21"/>
              </w:rPr>
            </w:pPr>
            <w:r>
              <w:rPr>
                <w:rFonts w:ascii="Times New Roman"/>
                <w:szCs w:val="21"/>
              </w:rPr>
              <w:t>0</w:t>
            </w:r>
          </w:p>
        </w:tc>
        <w:tc>
          <w:tcPr>
            <w:tcW w:w="1683" w:type="dxa"/>
            <w:vAlign w:val="center"/>
          </w:tcPr>
          <w:p w14:paraId="61BF8014">
            <w:pPr>
              <w:pStyle w:val="70"/>
              <w:spacing w:beforeLines="0" w:afterLines="0" w:line="240" w:lineRule="auto"/>
              <w:rPr>
                <w:rFonts w:ascii="Times New Roman"/>
                <w:szCs w:val="21"/>
              </w:rPr>
            </w:pPr>
            <w:r>
              <w:rPr>
                <w:rFonts w:ascii="Times New Roman"/>
                <w:szCs w:val="21"/>
              </w:rPr>
              <w:t>0</w:t>
            </w:r>
          </w:p>
        </w:tc>
        <w:tc>
          <w:tcPr>
            <w:tcW w:w="1543" w:type="dxa"/>
            <w:vAlign w:val="center"/>
          </w:tcPr>
          <w:p w14:paraId="0AA16DA3">
            <w:pPr>
              <w:pStyle w:val="70"/>
              <w:spacing w:beforeLines="0" w:afterLines="0" w:line="240" w:lineRule="auto"/>
              <w:rPr>
                <w:rFonts w:ascii="Times New Roman"/>
                <w:szCs w:val="21"/>
              </w:rPr>
            </w:pPr>
            <w:r>
              <w:rPr>
                <w:rFonts w:ascii="Times New Roman"/>
                <w:szCs w:val="21"/>
              </w:rPr>
              <w:t>24000</w:t>
            </w:r>
          </w:p>
        </w:tc>
        <w:tc>
          <w:tcPr>
            <w:tcW w:w="1743" w:type="dxa"/>
            <w:vAlign w:val="center"/>
          </w:tcPr>
          <w:p w14:paraId="6DF7CF0B">
            <w:pPr>
              <w:pStyle w:val="70"/>
              <w:spacing w:beforeLines="0" w:afterLines="0" w:line="240" w:lineRule="auto"/>
              <w:rPr>
                <w:rFonts w:ascii="Times New Roman"/>
                <w:szCs w:val="21"/>
              </w:rPr>
            </w:pPr>
            <w:r>
              <w:rPr>
                <w:rFonts w:ascii="Times New Roman"/>
                <w:szCs w:val="21"/>
              </w:rPr>
              <w:t>0</w:t>
            </w:r>
          </w:p>
        </w:tc>
        <w:tc>
          <w:tcPr>
            <w:tcW w:w="1727" w:type="dxa"/>
            <w:vAlign w:val="center"/>
          </w:tcPr>
          <w:p w14:paraId="56CEC81D">
            <w:pPr>
              <w:pStyle w:val="70"/>
              <w:spacing w:beforeLines="0" w:afterLines="0" w:line="240" w:lineRule="auto"/>
              <w:rPr>
                <w:rFonts w:ascii="Times New Roman"/>
                <w:szCs w:val="21"/>
              </w:rPr>
            </w:pPr>
            <w:r>
              <w:rPr>
                <w:rFonts w:ascii="Times New Roman"/>
                <w:szCs w:val="21"/>
              </w:rPr>
              <w:t>24000</w:t>
            </w:r>
          </w:p>
        </w:tc>
        <w:tc>
          <w:tcPr>
            <w:tcW w:w="1029" w:type="dxa"/>
            <w:vAlign w:val="center"/>
          </w:tcPr>
          <w:p w14:paraId="55DFE8C2">
            <w:pPr>
              <w:pStyle w:val="70"/>
              <w:spacing w:beforeLines="0" w:afterLines="0" w:line="240" w:lineRule="auto"/>
              <w:rPr>
                <w:rFonts w:ascii="Times New Roman"/>
                <w:szCs w:val="21"/>
              </w:rPr>
            </w:pPr>
            <w:r>
              <w:rPr>
                <w:rFonts w:ascii="Times New Roman"/>
                <w:szCs w:val="21"/>
              </w:rPr>
              <w:t>+24000</w:t>
            </w:r>
          </w:p>
        </w:tc>
      </w:tr>
      <w:tr w14:paraId="455180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093F4D43">
            <w:pPr>
              <w:pStyle w:val="70"/>
              <w:spacing w:beforeLines="0" w:afterLines="0" w:line="240" w:lineRule="auto"/>
              <w:rPr>
                <w:rFonts w:ascii="Times New Roman"/>
                <w:snapToGrid w:val="0"/>
                <w:kern w:val="21"/>
                <w:szCs w:val="21"/>
              </w:rPr>
            </w:pPr>
          </w:p>
        </w:tc>
        <w:tc>
          <w:tcPr>
            <w:tcW w:w="2410" w:type="dxa"/>
            <w:vAlign w:val="center"/>
          </w:tcPr>
          <w:p w14:paraId="5C83A668">
            <w:pPr>
              <w:widowControl/>
              <w:jc w:val="center"/>
              <w:rPr>
                <w:kern w:val="0"/>
                <w:szCs w:val="21"/>
              </w:rPr>
            </w:pPr>
            <w:r>
              <w:rPr>
                <w:szCs w:val="21"/>
              </w:rPr>
              <w:t>废布袋</w:t>
            </w:r>
          </w:p>
        </w:tc>
        <w:tc>
          <w:tcPr>
            <w:tcW w:w="1405" w:type="dxa"/>
            <w:vAlign w:val="center"/>
          </w:tcPr>
          <w:p w14:paraId="4193BDEC">
            <w:pPr>
              <w:pStyle w:val="70"/>
              <w:spacing w:beforeLines="0" w:afterLines="0" w:line="240" w:lineRule="auto"/>
              <w:rPr>
                <w:rFonts w:ascii="Times New Roman"/>
                <w:szCs w:val="21"/>
              </w:rPr>
            </w:pPr>
            <w:r>
              <w:rPr>
                <w:rFonts w:ascii="Times New Roman"/>
                <w:szCs w:val="21"/>
              </w:rPr>
              <w:t>0</w:t>
            </w:r>
          </w:p>
        </w:tc>
        <w:tc>
          <w:tcPr>
            <w:tcW w:w="1263" w:type="dxa"/>
            <w:vAlign w:val="center"/>
          </w:tcPr>
          <w:p w14:paraId="5BE9CDEA">
            <w:pPr>
              <w:pStyle w:val="70"/>
              <w:spacing w:beforeLines="0" w:afterLines="0" w:line="240" w:lineRule="auto"/>
              <w:rPr>
                <w:rFonts w:ascii="Times New Roman"/>
                <w:szCs w:val="21"/>
              </w:rPr>
            </w:pPr>
            <w:r>
              <w:rPr>
                <w:rFonts w:ascii="Times New Roman"/>
                <w:szCs w:val="21"/>
              </w:rPr>
              <w:t>0</w:t>
            </w:r>
          </w:p>
        </w:tc>
        <w:tc>
          <w:tcPr>
            <w:tcW w:w="1683" w:type="dxa"/>
            <w:vAlign w:val="center"/>
          </w:tcPr>
          <w:p w14:paraId="338D7947">
            <w:pPr>
              <w:pStyle w:val="70"/>
              <w:spacing w:beforeLines="0" w:afterLines="0" w:line="240" w:lineRule="auto"/>
              <w:rPr>
                <w:rFonts w:ascii="Times New Roman"/>
                <w:szCs w:val="21"/>
              </w:rPr>
            </w:pPr>
            <w:r>
              <w:rPr>
                <w:rFonts w:ascii="Times New Roman"/>
                <w:szCs w:val="21"/>
              </w:rPr>
              <w:t>0</w:t>
            </w:r>
          </w:p>
        </w:tc>
        <w:tc>
          <w:tcPr>
            <w:tcW w:w="1543" w:type="dxa"/>
            <w:vAlign w:val="center"/>
          </w:tcPr>
          <w:p w14:paraId="55726884">
            <w:pPr>
              <w:pStyle w:val="70"/>
              <w:spacing w:beforeLines="0" w:afterLines="0" w:line="240" w:lineRule="auto"/>
              <w:rPr>
                <w:rFonts w:ascii="Times New Roman"/>
                <w:szCs w:val="21"/>
              </w:rPr>
            </w:pPr>
            <w:r>
              <w:rPr>
                <w:rFonts w:ascii="Times New Roman"/>
                <w:szCs w:val="21"/>
              </w:rPr>
              <w:t>0.1</w:t>
            </w:r>
          </w:p>
        </w:tc>
        <w:tc>
          <w:tcPr>
            <w:tcW w:w="1743" w:type="dxa"/>
            <w:vAlign w:val="center"/>
          </w:tcPr>
          <w:p w14:paraId="212073FC">
            <w:pPr>
              <w:pStyle w:val="70"/>
              <w:spacing w:beforeLines="0" w:afterLines="0" w:line="240" w:lineRule="auto"/>
              <w:rPr>
                <w:rFonts w:ascii="Times New Roman"/>
                <w:szCs w:val="21"/>
              </w:rPr>
            </w:pPr>
            <w:r>
              <w:rPr>
                <w:rFonts w:ascii="Times New Roman"/>
                <w:szCs w:val="21"/>
              </w:rPr>
              <w:t>0</w:t>
            </w:r>
          </w:p>
        </w:tc>
        <w:tc>
          <w:tcPr>
            <w:tcW w:w="1727" w:type="dxa"/>
            <w:vAlign w:val="center"/>
          </w:tcPr>
          <w:p w14:paraId="750E50D4">
            <w:pPr>
              <w:pStyle w:val="70"/>
              <w:spacing w:beforeLines="0" w:afterLines="0" w:line="240" w:lineRule="auto"/>
              <w:rPr>
                <w:rFonts w:ascii="Times New Roman"/>
                <w:szCs w:val="21"/>
              </w:rPr>
            </w:pPr>
            <w:r>
              <w:rPr>
                <w:rFonts w:ascii="Times New Roman"/>
                <w:szCs w:val="21"/>
              </w:rPr>
              <w:t>0.1</w:t>
            </w:r>
          </w:p>
        </w:tc>
        <w:tc>
          <w:tcPr>
            <w:tcW w:w="1029" w:type="dxa"/>
            <w:vAlign w:val="center"/>
          </w:tcPr>
          <w:p w14:paraId="413FBD64">
            <w:pPr>
              <w:pStyle w:val="70"/>
              <w:spacing w:beforeLines="0" w:afterLines="0" w:line="240" w:lineRule="auto"/>
              <w:rPr>
                <w:rFonts w:ascii="Times New Roman"/>
                <w:szCs w:val="21"/>
              </w:rPr>
            </w:pPr>
            <w:r>
              <w:rPr>
                <w:rFonts w:ascii="Times New Roman"/>
                <w:szCs w:val="21"/>
              </w:rPr>
              <w:t>+0.1</w:t>
            </w:r>
          </w:p>
        </w:tc>
      </w:tr>
      <w:tr w14:paraId="0A1D22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restart"/>
            <w:vAlign w:val="center"/>
          </w:tcPr>
          <w:p w14:paraId="62B0A47B">
            <w:pPr>
              <w:pStyle w:val="70"/>
              <w:spacing w:beforeLines="0" w:afterLines="0" w:line="240" w:lineRule="auto"/>
              <w:rPr>
                <w:rFonts w:ascii="Times New Roman"/>
                <w:snapToGrid w:val="0"/>
                <w:kern w:val="21"/>
                <w:szCs w:val="21"/>
              </w:rPr>
            </w:pPr>
            <w:r>
              <w:rPr>
                <w:rFonts w:ascii="Times New Roman"/>
                <w:snapToGrid w:val="0"/>
                <w:kern w:val="21"/>
                <w:szCs w:val="21"/>
              </w:rPr>
              <w:t>危险废物</w:t>
            </w:r>
          </w:p>
        </w:tc>
        <w:tc>
          <w:tcPr>
            <w:tcW w:w="2410" w:type="dxa"/>
            <w:vAlign w:val="center"/>
          </w:tcPr>
          <w:p w14:paraId="2DA2EF1B">
            <w:pPr>
              <w:widowControl/>
              <w:jc w:val="center"/>
              <w:rPr>
                <w:kern w:val="0"/>
                <w:szCs w:val="21"/>
              </w:rPr>
            </w:pPr>
            <w:r>
              <w:rPr>
                <w:szCs w:val="21"/>
              </w:rPr>
              <w:t>废三甘醇（HW06，900-404-06）</w:t>
            </w:r>
          </w:p>
        </w:tc>
        <w:tc>
          <w:tcPr>
            <w:tcW w:w="1405" w:type="dxa"/>
            <w:vAlign w:val="center"/>
          </w:tcPr>
          <w:p w14:paraId="5EBBB247">
            <w:pPr>
              <w:pStyle w:val="70"/>
              <w:spacing w:beforeLines="0" w:afterLines="0" w:line="240" w:lineRule="auto"/>
              <w:rPr>
                <w:rFonts w:ascii="Times New Roman"/>
                <w:szCs w:val="21"/>
              </w:rPr>
            </w:pPr>
            <w:r>
              <w:rPr>
                <w:rFonts w:ascii="Times New Roman"/>
                <w:szCs w:val="21"/>
              </w:rPr>
              <w:t>200</w:t>
            </w:r>
          </w:p>
        </w:tc>
        <w:tc>
          <w:tcPr>
            <w:tcW w:w="1263" w:type="dxa"/>
            <w:vAlign w:val="center"/>
          </w:tcPr>
          <w:p w14:paraId="61B334F8">
            <w:pPr>
              <w:pStyle w:val="70"/>
              <w:spacing w:beforeLines="0" w:afterLines="0" w:line="240" w:lineRule="auto"/>
              <w:rPr>
                <w:rFonts w:ascii="Times New Roman"/>
                <w:szCs w:val="21"/>
              </w:rPr>
            </w:pPr>
            <w:r>
              <w:rPr>
                <w:rFonts w:ascii="Times New Roman"/>
                <w:szCs w:val="21"/>
              </w:rPr>
              <w:t>0</w:t>
            </w:r>
          </w:p>
        </w:tc>
        <w:tc>
          <w:tcPr>
            <w:tcW w:w="1683" w:type="dxa"/>
            <w:vAlign w:val="center"/>
          </w:tcPr>
          <w:p w14:paraId="3303EC81">
            <w:pPr>
              <w:pStyle w:val="70"/>
              <w:spacing w:beforeLines="0" w:afterLines="0" w:line="240" w:lineRule="auto"/>
              <w:rPr>
                <w:rFonts w:ascii="Times New Roman"/>
                <w:szCs w:val="21"/>
              </w:rPr>
            </w:pPr>
            <w:r>
              <w:rPr>
                <w:rFonts w:ascii="Times New Roman"/>
                <w:szCs w:val="21"/>
              </w:rPr>
              <w:t>0</w:t>
            </w:r>
          </w:p>
        </w:tc>
        <w:tc>
          <w:tcPr>
            <w:tcW w:w="1543" w:type="dxa"/>
            <w:vAlign w:val="center"/>
          </w:tcPr>
          <w:p w14:paraId="3894E59C">
            <w:pPr>
              <w:pStyle w:val="70"/>
              <w:spacing w:beforeLines="0" w:afterLines="0" w:line="240" w:lineRule="auto"/>
              <w:rPr>
                <w:rFonts w:ascii="Times New Roman"/>
                <w:snapToGrid w:val="0"/>
                <w:kern w:val="21"/>
                <w:szCs w:val="21"/>
              </w:rPr>
            </w:pPr>
            <w:r>
              <w:rPr>
                <w:rFonts w:ascii="Times New Roman"/>
                <w:szCs w:val="21"/>
              </w:rPr>
              <w:t>0</w:t>
            </w:r>
          </w:p>
        </w:tc>
        <w:tc>
          <w:tcPr>
            <w:tcW w:w="1743" w:type="dxa"/>
            <w:vAlign w:val="center"/>
          </w:tcPr>
          <w:p w14:paraId="433955DB">
            <w:pPr>
              <w:pStyle w:val="70"/>
              <w:spacing w:beforeLines="0" w:afterLines="0" w:line="240" w:lineRule="auto"/>
              <w:rPr>
                <w:rFonts w:ascii="Times New Roman"/>
                <w:snapToGrid w:val="0"/>
                <w:kern w:val="21"/>
                <w:szCs w:val="21"/>
              </w:rPr>
            </w:pPr>
            <w:r>
              <w:rPr>
                <w:rFonts w:ascii="Times New Roman"/>
                <w:szCs w:val="21"/>
              </w:rPr>
              <w:t>0</w:t>
            </w:r>
          </w:p>
        </w:tc>
        <w:tc>
          <w:tcPr>
            <w:tcW w:w="1727" w:type="dxa"/>
            <w:vAlign w:val="center"/>
          </w:tcPr>
          <w:p w14:paraId="099F97A4">
            <w:pPr>
              <w:pStyle w:val="70"/>
              <w:spacing w:beforeLines="0" w:afterLines="0" w:line="240" w:lineRule="auto"/>
              <w:rPr>
                <w:rFonts w:ascii="Times New Roman"/>
                <w:szCs w:val="21"/>
              </w:rPr>
            </w:pPr>
            <w:r>
              <w:rPr>
                <w:rFonts w:ascii="Times New Roman"/>
                <w:szCs w:val="21"/>
              </w:rPr>
              <w:t>200</w:t>
            </w:r>
          </w:p>
        </w:tc>
        <w:tc>
          <w:tcPr>
            <w:tcW w:w="1029" w:type="dxa"/>
            <w:vAlign w:val="center"/>
          </w:tcPr>
          <w:p w14:paraId="4A892354">
            <w:pPr>
              <w:pStyle w:val="70"/>
              <w:spacing w:beforeLines="0" w:afterLines="0" w:line="240" w:lineRule="auto"/>
              <w:rPr>
                <w:rFonts w:ascii="Times New Roman"/>
                <w:szCs w:val="21"/>
              </w:rPr>
            </w:pPr>
            <w:r>
              <w:rPr>
                <w:rFonts w:ascii="Times New Roman"/>
                <w:szCs w:val="21"/>
              </w:rPr>
              <w:t>0</w:t>
            </w:r>
          </w:p>
        </w:tc>
      </w:tr>
      <w:tr w14:paraId="4D258F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1AC3A803">
            <w:pPr>
              <w:pStyle w:val="70"/>
              <w:spacing w:beforeLines="0" w:afterLines="0" w:line="240" w:lineRule="auto"/>
              <w:rPr>
                <w:rFonts w:ascii="Times New Roman"/>
                <w:snapToGrid w:val="0"/>
                <w:kern w:val="21"/>
                <w:szCs w:val="21"/>
              </w:rPr>
            </w:pPr>
          </w:p>
        </w:tc>
        <w:tc>
          <w:tcPr>
            <w:tcW w:w="2410" w:type="dxa"/>
            <w:vAlign w:val="center"/>
          </w:tcPr>
          <w:p w14:paraId="5F112952">
            <w:pPr>
              <w:widowControl/>
              <w:jc w:val="center"/>
              <w:rPr>
                <w:kern w:val="0"/>
                <w:szCs w:val="21"/>
              </w:rPr>
            </w:pPr>
            <w:r>
              <w:rPr>
                <w:szCs w:val="21"/>
              </w:rPr>
              <w:t>废碱液（HW35，900-352-35）</w:t>
            </w:r>
          </w:p>
        </w:tc>
        <w:tc>
          <w:tcPr>
            <w:tcW w:w="1405" w:type="dxa"/>
            <w:vAlign w:val="center"/>
          </w:tcPr>
          <w:p w14:paraId="306B0B67">
            <w:pPr>
              <w:pStyle w:val="70"/>
              <w:spacing w:beforeLines="0" w:afterLines="0" w:line="240" w:lineRule="auto"/>
              <w:rPr>
                <w:rFonts w:ascii="Times New Roman"/>
                <w:szCs w:val="21"/>
              </w:rPr>
            </w:pPr>
            <w:r>
              <w:rPr>
                <w:rFonts w:ascii="Times New Roman"/>
                <w:szCs w:val="21"/>
              </w:rPr>
              <w:t>950</w:t>
            </w:r>
          </w:p>
        </w:tc>
        <w:tc>
          <w:tcPr>
            <w:tcW w:w="1263" w:type="dxa"/>
            <w:vAlign w:val="center"/>
          </w:tcPr>
          <w:p w14:paraId="15A13561">
            <w:pPr>
              <w:pStyle w:val="70"/>
              <w:spacing w:beforeLines="0" w:afterLines="0" w:line="240" w:lineRule="auto"/>
              <w:rPr>
                <w:rFonts w:ascii="Times New Roman"/>
                <w:szCs w:val="21"/>
              </w:rPr>
            </w:pPr>
            <w:r>
              <w:rPr>
                <w:rFonts w:ascii="Times New Roman"/>
                <w:szCs w:val="21"/>
              </w:rPr>
              <w:t>0</w:t>
            </w:r>
          </w:p>
        </w:tc>
        <w:tc>
          <w:tcPr>
            <w:tcW w:w="1683" w:type="dxa"/>
            <w:vAlign w:val="center"/>
          </w:tcPr>
          <w:p w14:paraId="64897E3D">
            <w:pPr>
              <w:pStyle w:val="70"/>
              <w:spacing w:beforeLines="0" w:afterLines="0" w:line="240" w:lineRule="auto"/>
              <w:rPr>
                <w:rFonts w:ascii="Times New Roman"/>
                <w:szCs w:val="21"/>
              </w:rPr>
            </w:pPr>
            <w:r>
              <w:rPr>
                <w:rFonts w:ascii="Times New Roman"/>
                <w:szCs w:val="21"/>
              </w:rPr>
              <w:t>0</w:t>
            </w:r>
          </w:p>
        </w:tc>
        <w:tc>
          <w:tcPr>
            <w:tcW w:w="1543" w:type="dxa"/>
            <w:vAlign w:val="center"/>
          </w:tcPr>
          <w:p w14:paraId="09BCC640">
            <w:pPr>
              <w:pStyle w:val="70"/>
              <w:spacing w:beforeLines="0" w:afterLines="0" w:line="240" w:lineRule="auto"/>
              <w:rPr>
                <w:rFonts w:ascii="Times New Roman"/>
                <w:snapToGrid w:val="0"/>
                <w:kern w:val="21"/>
                <w:szCs w:val="21"/>
              </w:rPr>
            </w:pPr>
            <w:r>
              <w:rPr>
                <w:rFonts w:ascii="Times New Roman"/>
                <w:szCs w:val="21"/>
              </w:rPr>
              <w:t>10</w:t>
            </w:r>
          </w:p>
        </w:tc>
        <w:tc>
          <w:tcPr>
            <w:tcW w:w="1743" w:type="dxa"/>
            <w:vAlign w:val="center"/>
          </w:tcPr>
          <w:p w14:paraId="2A0E41CB">
            <w:pPr>
              <w:pStyle w:val="70"/>
              <w:spacing w:beforeLines="0" w:afterLines="0" w:line="240" w:lineRule="auto"/>
              <w:rPr>
                <w:rFonts w:ascii="Times New Roman"/>
                <w:snapToGrid w:val="0"/>
                <w:kern w:val="21"/>
                <w:szCs w:val="21"/>
              </w:rPr>
            </w:pPr>
            <w:r>
              <w:rPr>
                <w:rFonts w:ascii="Times New Roman"/>
                <w:szCs w:val="21"/>
              </w:rPr>
              <w:t>10</w:t>
            </w:r>
          </w:p>
        </w:tc>
        <w:tc>
          <w:tcPr>
            <w:tcW w:w="1727" w:type="dxa"/>
            <w:vAlign w:val="center"/>
          </w:tcPr>
          <w:p w14:paraId="7FFED997">
            <w:pPr>
              <w:pStyle w:val="70"/>
              <w:spacing w:beforeLines="0" w:afterLines="0" w:line="240" w:lineRule="auto"/>
              <w:rPr>
                <w:rFonts w:ascii="Times New Roman"/>
                <w:szCs w:val="21"/>
              </w:rPr>
            </w:pPr>
            <w:r>
              <w:rPr>
                <w:rFonts w:ascii="Times New Roman"/>
                <w:szCs w:val="21"/>
              </w:rPr>
              <w:t>950</w:t>
            </w:r>
          </w:p>
        </w:tc>
        <w:tc>
          <w:tcPr>
            <w:tcW w:w="1029" w:type="dxa"/>
            <w:vAlign w:val="center"/>
          </w:tcPr>
          <w:p w14:paraId="6EEE75AE">
            <w:pPr>
              <w:pStyle w:val="70"/>
              <w:spacing w:beforeLines="0" w:afterLines="0" w:line="240" w:lineRule="auto"/>
              <w:rPr>
                <w:rFonts w:ascii="Times New Roman"/>
                <w:szCs w:val="21"/>
              </w:rPr>
            </w:pPr>
            <w:r>
              <w:rPr>
                <w:rFonts w:ascii="Times New Roman"/>
                <w:szCs w:val="21"/>
              </w:rPr>
              <w:t>0</w:t>
            </w:r>
          </w:p>
        </w:tc>
      </w:tr>
      <w:tr w14:paraId="05B0B8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350F0004">
            <w:pPr>
              <w:pStyle w:val="70"/>
              <w:spacing w:beforeLines="0" w:afterLines="0" w:line="240" w:lineRule="auto"/>
              <w:rPr>
                <w:rFonts w:ascii="Times New Roman"/>
                <w:snapToGrid w:val="0"/>
                <w:kern w:val="21"/>
                <w:szCs w:val="21"/>
              </w:rPr>
            </w:pPr>
          </w:p>
        </w:tc>
        <w:tc>
          <w:tcPr>
            <w:tcW w:w="2410" w:type="dxa"/>
            <w:vAlign w:val="center"/>
          </w:tcPr>
          <w:p w14:paraId="1B806489">
            <w:pPr>
              <w:widowControl/>
              <w:jc w:val="center"/>
              <w:rPr>
                <w:kern w:val="0"/>
                <w:szCs w:val="21"/>
              </w:rPr>
            </w:pPr>
            <w:r>
              <w:rPr>
                <w:szCs w:val="21"/>
              </w:rPr>
              <w:t>废纺丝油剂和废热媒（HW08，900-249-08）</w:t>
            </w:r>
          </w:p>
        </w:tc>
        <w:tc>
          <w:tcPr>
            <w:tcW w:w="1405" w:type="dxa"/>
            <w:vAlign w:val="center"/>
          </w:tcPr>
          <w:p w14:paraId="279D8F66">
            <w:pPr>
              <w:pStyle w:val="70"/>
              <w:spacing w:beforeLines="0" w:afterLines="0" w:line="240" w:lineRule="auto"/>
              <w:rPr>
                <w:rFonts w:ascii="Times New Roman"/>
                <w:szCs w:val="21"/>
              </w:rPr>
            </w:pPr>
            <w:r>
              <w:rPr>
                <w:rFonts w:ascii="Times New Roman"/>
                <w:szCs w:val="21"/>
              </w:rPr>
              <w:t>430</w:t>
            </w:r>
          </w:p>
        </w:tc>
        <w:tc>
          <w:tcPr>
            <w:tcW w:w="1263" w:type="dxa"/>
            <w:vAlign w:val="center"/>
          </w:tcPr>
          <w:p w14:paraId="6292F54C">
            <w:pPr>
              <w:pStyle w:val="70"/>
              <w:spacing w:beforeLines="0" w:afterLines="0" w:line="240" w:lineRule="auto"/>
              <w:rPr>
                <w:rFonts w:ascii="Times New Roman"/>
                <w:szCs w:val="21"/>
              </w:rPr>
            </w:pPr>
            <w:r>
              <w:rPr>
                <w:rFonts w:ascii="Times New Roman"/>
                <w:szCs w:val="21"/>
              </w:rPr>
              <w:t>0</w:t>
            </w:r>
          </w:p>
        </w:tc>
        <w:tc>
          <w:tcPr>
            <w:tcW w:w="1683" w:type="dxa"/>
            <w:vAlign w:val="center"/>
          </w:tcPr>
          <w:p w14:paraId="3AD95C1F">
            <w:pPr>
              <w:pStyle w:val="70"/>
              <w:spacing w:beforeLines="0" w:afterLines="0" w:line="240" w:lineRule="auto"/>
              <w:rPr>
                <w:rFonts w:ascii="Times New Roman"/>
                <w:szCs w:val="21"/>
              </w:rPr>
            </w:pPr>
            <w:r>
              <w:rPr>
                <w:rFonts w:ascii="Times New Roman"/>
                <w:szCs w:val="21"/>
              </w:rPr>
              <w:t>0</w:t>
            </w:r>
          </w:p>
        </w:tc>
        <w:tc>
          <w:tcPr>
            <w:tcW w:w="1543" w:type="dxa"/>
            <w:vAlign w:val="center"/>
          </w:tcPr>
          <w:p w14:paraId="3FAFE03D">
            <w:pPr>
              <w:pStyle w:val="70"/>
              <w:spacing w:beforeLines="0" w:afterLines="0" w:line="240" w:lineRule="auto"/>
              <w:rPr>
                <w:rFonts w:ascii="Times New Roman"/>
                <w:snapToGrid w:val="0"/>
                <w:kern w:val="21"/>
                <w:szCs w:val="21"/>
              </w:rPr>
            </w:pPr>
            <w:r>
              <w:rPr>
                <w:rFonts w:ascii="Times New Roman"/>
                <w:szCs w:val="21"/>
              </w:rPr>
              <w:t>70</w:t>
            </w:r>
          </w:p>
        </w:tc>
        <w:tc>
          <w:tcPr>
            <w:tcW w:w="1743" w:type="dxa"/>
            <w:vAlign w:val="center"/>
          </w:tcPr>
          <w:p w14:paraId="593A48DE">
            <w:pPr>
              <w:pStyle w:val="70"/>
              <w:spacing w:beforeLines="0" w:afterLines="0" w:line="240" w:lineRule="auto"/>
              <w:rPr>
                <w:rFonts w:ascii="Times New Roman"/>
                <w:snapToGrid w:val="0"/>
                <w:kern w:val="21"/>
                <w:szCs w:val="21"/>
              </w:rPr>
            </w:pPr>
            <w:r>
              <w:rPr>
                <w:rFonts w:ascii="Times New Roman"/>
                <w:szCs w:val="21"/>
              </w:rPr>
              <w:t>70</w:t>
            </w:r>
          </w:p>
        </w:tc>
        <w:tc>
          <w:tcPr>
            <w:tcW w:w="1727" w:type="dxa"/>
            <w:vAlign w:val="center"/>
          </w:tcPr>
          <w:p w14:paraId="2C0A5C25">
            <w:pPr>
              <w:pStyle w:val="70"/>
              <w:spacing w:beforeLines="0" w:afterLines="0" w:line="240" w:lineRule="auto"/>
              <w:rPr>
                <w:rFonts w:ascii="Times New Roman"/>
                <w:szCs w:val="21"/>
              </w:rPr>
            </w:pPr>
            <w:r>
              <w:rPr>
                <w:rFonts w:ascii="Times New Roman"/>
                <w:szCs w:val="21"/>
              </w:rPr>
              <w:t>430</w:t>
            </w:r>
          </w:p>
        </w:tc>
        <w:tc>
          <w:tcPr>
            <w:tcW w:w="1029" w:type="dxa"/>
            <w:vAlign w:val="center"/>
          </w:tcPr>
          <w:p w14:paraId="247DB5B5">
            <w:pPr>
              <w:pStyle w:val="70"/>
              <w:spacing w:beforeLines="0" w:afterLines="0" w:line="240" w:lineRule="auto"/>
              <w:rPr>
                <w:rFonts w:ascii="Times New Roman"/>
                <w:szCs w:val="21"/>
              </w:rPr>
            </w:pPr>
            <w:r>
              <w:rPr>
                <w:rFonts w:ascii="Times New Roman"/>
                <w:szCs w:val="21"/>
              </w:rPr>
              <w:t>0</w:t>
            </w:r>
          </w:p>
        </w:tc>
      </w:tr>
      <w:tr w14:paraId="7D0380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679FCEA4">
            <w:pPr>
              <w:pStyle w:val="70"/>
              <w:spacing w:beforeLines="0" w:afterLines="0" w:line="240" w:lineRule="auto"/>
              <w:rPr>
                <w:rFonts w:ascii="Times New Roman"/>
                <w:snapToGrid w:val="0"/>
                <w:kern w:val="21"/>
                <w:szCs w:val="21"/>
              </w:rPr>
            </w:pPr>
          </w:p>
        </w:tc>
        <w:tc>
          <w:tcPr>
            <w:tcW w:w="2410" w:type="dxa"/>
            <w:vAlign w:val="center"/>
          </w:tcPr>
          <w:p w14:paraId="78C74763">
            <w:pPr>
              <w:widowControl/>
              <w:jc w:val="center"/>
              <w:rPr>
                <w:kern w:val="0"/>
                <w:szCs w:val="21"/>
              </w:rPr>
            </w:pPr>
            <w:r>
              <w:rPr>
                <w:szCs w:val="21"/>
              </w:rPr>
              <w:t>废乙二醇（HW06，900-404-06）</w:t>
            </w:r>
          </w:p>
        </w:tc>
        <w:tc>
          <w:tcPr>
            <w:tcW w:w="1405" w:type="dxa"/>
            <w:vAlign w:val="center"/>
          </w:tcPr>
          <w:p w14:paraId="100A8AB1">
            <w:pPr>
              <w:pStyle w:val="70"/>
              <w:spacing w:beforeLines="0" w:afterLines="0" w:line="240" w:lineRule="auto"/>
              <w:rPr>
                <w:rFonts w:ascii="Times New Roman"/>
                <w:szCs w:val="21"/>
              </w:rPr>
            </w:pPr>
            <w:r>
              <w:rPr>
                <w:rFonts w:ascii="Times New Roman"/>
                <w:szCs w:val="21"/>
              </w:rPr>
              <w:t>1000</w:t>
            </w:r>
          </w:p>
        </w:tc>
        <w:tc>
          <w:tcPr>
            <w:tcW w:w="1263" w:type="dxa"/>
            <w:vAlign w:val="center"/>
          </w:tcPr>
          <w:p w14:paraId="7F776729">
            <w:pPr>
              <w:pStyle w:val="70"/>
              <w:spacing w:beforeLines="0" w:afterLines="0" w:line="240" w:lineRule="auto"/>
              <w:rPr>
                <w:rFonts w:ascii="Times New Roman"/>
                <w:szCs w:val="21"/>
              </w:rPr>
            </w:pPr>
            <w:r>
              <w:rPr>
                <w:rFonts w:ascii="Times New Roman"/>
                <w:szCs w:val="21"/>
              </w:rPr>
              <w:t>0</w:t>
            </w:r>
          </w:p>
        </w:tc>
        <w:tc>
          <w:tcPr>
            <w:tcW w:w="1683" w:type="dxa"/>
            <w:vAlign w:val="center"/>
          </w:tcPr>
          <w:p w14:paraId="22BD9F4F">
            <w:pPr>
              <w:pStyle w:val="70"/>
              <w:spacing w:beforeLines="0" w:afterLines="0" w:line="240" w:lineRule="auto"/>
              <w:rPr>
                <w:rFonts w:ascii="Times New Roman"/>
                <w:szCs w:val="21"/>
              </w:rPr>
            </w:pPr>
            <w:r>
              <w:rPr>
                <w:rFonts w:ascii="Times New Roman"/>
                <w:szCs w:val="21"/>
              </w:rPr>
              <w:t>0</w:t>
            </w:r>
          </w:p>
        </w:tc>
        <w:tc>
          <w:tcPr>
            <w:tcW w:w="1543" w:type="dxa"/>
            <w:vAlign w:val="center"/>
          </w:tcPr>
          <w:p w14:paraId="5F9566A6">
            <w:pPr>
              <w:pStyle w:val="70"/>
              <w:spacing w:beforeLines="0" w:afterLines="0" w:line="240" w:lineRule="auto"/>
              <w:rPr>
                <w:rFonts w:ascii="Times New Roman"/>
                <w:snapToGrid w:val="0"/>
                <w:kern w:val="21"/>
                <w:szCs w:val="21"/>
              </w:rPr>
            </w:pPr>
            <w:r>
              <w:rPr>
                <w:rFonts w:ascii="Times New Roman"/>
                <w:szCs w:val="21"/>
              </w:rPr>
              <w:t>0</w:t>
            </w:r>
          </w:p>
        </w:tc>
        <w:tc>
          <w:tcPr>
            <w:tcW w:w="1743" w:type="dxa"/>
            <w:vAlign w:val="center"/>
          </w:tcPr>
          <w:p w14:paraId="018FDD0E">
            <w:pPr>
              <w:pStyle w:val="70"/>
              <w:spacing w:beforeLines="0" w:afterLines="0" w:line="240" w:lineRule="auto"/>
              <w:rPr>
                <w:rFonts w:ascii="Times New Roman"/>
                <w:snapToGrid w:val="0"/>
                <w:kern w:val="21"/>
                <w:szCs w:val="21"/>
              </w:rPr>
            </w:pPr>
            <w:r>
              <w:rPr>
                <w:rFonts w:ascii="Times New Roman"/>
                <w:szCs w:val="21"/>
              </w:rPr>
              <w:t>0</w:t>
            </w:r>
          </w:p>
        </w:tc>
        <w:tc>
          <w:tcPr>
            <w:tcW w:w="1727" w:type="dxa"/>
            <w:vAlign w:val="center"/>
          </w:tcPr>
          <w:p w14:paraId="07200109">
            <w:pPr>
              <w:pStyle w:val="70"/>
              <w:spacing w:beforeLines="0" w:afterLines="0" w:line="240" w:lineRule="auto"/>
              <w:rPr>
                <w:rFonts w:ascii="Times New Roman"/>
                <w:szCs w:val="21"/>
              </w:rPr>
            </w:pPr>
            <w:r>
              <w:rPr>
                <w:rFonts w:ascii="Times New Roman"/>
                <w:szCs w:val="21"/>
              </w:rPr>
              <w:t>1000</w:t>
            </w:r>
          </w:p>
        </w:tc>
        <w:tc>
          <w:tcPr>
            <w:tcW w:w="1029" w:type="dxa"/>
            <w:vAlign w:val="center"/>
          </w:tcPr>
          <w:p w14:paraId="71D46A6B">
            <w:pPr>
              <w:pStyle w:val="70"/>
              <w:spacing w:beforeLines="0" w:afterLines="0" w:line="240" w:lineRule="auto"/>
              <w:rPr>
                <w:rFonts w:ascii="Times New Roman"/>
                <w:szCs w:val="21"/>
              </w:rPr>
            </w:pPr>
            <w:r>
              <w:rPr>
                <w:rFonts w:ascii="Times New Roman"/>
                <w:szCs w:val="21"/>
              </w:rPr>
              <w:t>0</w:t>
            </w:r>
          </w:p>
        </w:tc>
      </w:tr>
      <w:tr w14:paraId="6473EB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0A618C1E">
            <w:pPr>
              <w:pStyle w:val="70"/>
              <w:spacing w:beforeLines="0" w:afterLines="0" w:line="240" w:lineRule="auto"/>
              <w:rPr>
                <w:rFonts w:ascii="Times New Roman"/>
                <w:snapToGrid w:val="0"/>
                <w:kern w:val="21"/>
                <w:szCs w:val="21"/>
              </w:rPr>
            </w:pPr>
          </w:p>
        </w:tc>
        <w:tc>
          <w:tcPr>
            <w:tcW w:w="2410" w:type="dxa"/>
            <w:vAlign w:val="center"/>
          </w:tcPr>
          <w:p w14:paraId="5B492440">
            <w:pPr>
              <w:widowControl/>
              <w:jc w:val="center"/>
              <w:rPr>
                <w:kern w:val="0"/>
                <w:szCs w:val="21"/>
              </w:rPr>
            </w:pPr>
            <w:r>
              <w:rPr>
                <w:szCs w:val="21"/>
              </w:rPr>
              <w:t>废油（HW08，900-249-08）</w:t>
            </w:r>
          </w:p>
        </w:tc>
        <w:tc>
          <w:tcPr>
            <w:tcW w:w="1405" w:type="dxa"/>
            <w:vAlign w:val="center"/>
          </w:tcPr>
          <w:p w14:paraId="2000A4C9">
            <w:pPr>
              <w:pStyle w:val="70"/>
              <w:spacing w:beforeLines="0" w:afterLines="0" w:line="240" w:lineRule="auto"/>
              <w:rPr>
                <w:rFonts w:ascii="Times New Roman"/>
                <w:szCs w:val="21"/>
              </w:rPr>
            </w:pPr>
            <w:r>
              <w:rPr>
                <w:rFonts w:ascii="Times New Roman"/>
                <w:szCs w:val="21"/>
              </w:rPr>
              <w:t>250</w:t>
            </w:r>
          </w:p>
        </w:tc>
        <w:tc>
          <w:tcPr>
            <w:tcW w:w="1263" w:type="dxa"/>
            <w:vAlign w:val="center"/>
          </w:tcPr>
          <w:p w14:paraId="53BE7E52">
            <w:pPr>
              <w:pStyle w:val="70"/>
              <w:spacing w:beforeLines="0" w:afterLines="0" w:line="240" w:lineRule="auto"/>
              <w:rPr>
                <w:rFonts w:ascii="Times New Roman"/>
                <w:szCs w:val="21"/>
              </w:rPr>
            </w:pPr>
            <w:r>
              <w:rPr>
                <w:rFonts w:ascii="Times New Roman"/>
                <w:szCs w:val="21"/>
              </w:rPr>
              <w:t>0</w:t>
            </w:r>
          </w:p>
        </w:tc>
        <w:tc>
          <w:tcPr>
            <w:tcW w:w="1683" w:type="dxa"/>
            <w:vAlign w:val="center"/>
          </w:tcPr>
          <w:p w14:paraId="4E00FEAF">
            <w:pPr>
              <w:pStyle w:val="70"/>
              <w:spacing w:beforeLines="0" w:afterLines="0" w:line="240" w:lineRule="auto"/>
              <w:rPr>
                <w:rFonts w:ascii="Times New Roman"/>
                <w:szCs w:val="21"/>
              </w:rPr>
            </w:pPr>
            <w:r>
              <w:rPr>
                <w:rFonts w:ascii="Times New Roman"/>
                <w:szCs w:val="21"/>
              </w:rPr>
              <w:t>0</w:t>
            </w:r>
          </w:p>
        </w:tc>
        <w:tc>
          <w:tcPr>
            <w:tcW w:w="1543" w:type="dxa"/>
            <w:vAlign w:val="center"/>
          </w:tcPr>
          <w:p w14:paraId="173752D3">
            <w:pPr>
              <w:pStyle w:val="70"/>
              <w:spacing w:beforeLines="0" w:afterLines="0" w:line="240" w:lineRule="auto"/>
              <w:rPr>
                <w:rFonts w:ascii="Times New Roman"/>
                <w:snapToGrid w:val="0"/>
                <w:kern w:val="21"/>
                <w:szCs w:val="21"/>
              </w:rPr>
            </w:pPr>
            <w:r>
              <w:rPr>
                <w:rFonts w:ascii="Times New Roman"/>
                <w:szCs w:val="21"/>
              </w:rPr>
              <w:t>20</w:t>
            </w:r>
          </w:p>
        </w:tc>
        <w:tc>
          <w:tcPr>
            <w:tcW w:w="1743" w:type="dxa"/>
            <w:vAlign w:val="center"/>
          </w:tcPr>
          <w:p w14:paraId="40711490">
            <w:pPr>
              <w:pStyle w:val="70"/>
              <w:spacing w:beforeLines="0" w:afterLines="0" w:line="240" w:lineRule="auto"/>
              <w:rPr>
                <w:rFonts w:ascii="Times New Roman"/>
                <w:snapToGrid w:val="0"/>
                <w:kern w:val="21"/>
                <w:szCs w:val="21"/>
              </w:rPr>
            </w:pPr>
            <w:r>
              <w:rPr>
                <w:rFonts w:ascii="Times New Roman"/>
                <w:szCs w:val="21"/>
              </w:rPr>
              <w:t>20</w:t>
            </w:r>
          </w:p>
        </w:tc>
        <w:tc>
          <w:tcPr>
            <w:tcW w:w="1727" w:type="dxa"/>
            <w:vAlign w:val="center"/>
          </w:tcPr>
          <w:p w14:paraId="4D2E9CB9">
            <w:pPr>
              <w:pStyle w:val="70"/>
              <w:spacing w:beforeLines="0" w:afterLines="0" w:line="240" w:lineRule="auto"/>
              <w:rPr>
                <w:rFonts w:ascii="Times New Roman"/>
                <w:szCs w:val="21"/>
              </w:rPr>
            </w:pPr>
            <w:r>
              <w:rPr>
                <w:rFonts w:ascii="Times New Roman"/>
                <w:szCs w:val="21"/>
              </w:rPr>
              <w:t>250</w:t>
            </w:r>
          </w:p>
        </w:tc>
        <w:tc>
          <w:tcPr>
            <w:tcW w:w="1029" w:type="dxa"/>
            <w:vAlign w:val="center"/>
          </w:tcPr>
          <w:p w14:paraId="103F38D5">
            <w:pPr>
              <w:pStyle w:val="70"/>
              <w:spacing w:beforeLines="0" w:afterLines="0" w:line="240" w:lineRule="auto"/>
              <w:rPr>
                <w:rFonts w:ascii="Times New Roman"/>
                <w:szCs w:val="21"/>
              </w:rPr>
            </w:pPr>
            <w:r>
              <w:rPr>
                <w:rFonts w:ascii="Times New Roman"/>
                <w:szCs w:val="21"/>
              </w:rPr>
              <w:t>0</w:t>
            </w:r>
          </w:p>
        </w:tc>
      </w:tr>
      <w:tr w14:paraId="18E0D6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4E28945F">
            <w:pPr>
              <w:pStyle w:val="70"/>
              <w:spacing w:beforeLines="0" w:afterLines="0" w:line="240" w:lineRule="auto"/>
              <w:rPr>
                <w:rFonts w:ascii="Times New Roman"/>
                <w:snapToGrid w:val="0"/>
                <w:kern w:val="21"/>
                <w:szCs w:val="21"/>
              </w:rPr>
            </w:pPr>
          </w:p>
        </w:tc>
        <w:tc>
          <w:tcPr>
            <w:tcW w:w="2410" w:type="dxa"/>
            <w:vAlign w:val="center"/>
          </w:tcPr>
          <w:p w14:paraId="05D0D602">
            <w:pPr>
              <w:widowControl/>
              <w:jc w:val="center"/>
              <w:rPr>
                <w:kern w:val="0"/>
                <w:szCs w:val="21"/>
              </w:rPr>
            </w:pPr>
            <w:r>
              <w:rPr>
                <w:szCs w:val="21"/>
              </w:rPr>
              <w:t>废润滑油脂（HW08，900-249-08）</w:t>
            </w:r>
          </w:p>
        </w:tc>
        <w:tc>
          <w:tcPr>
            <w:tcW w:w="1405" w:type="dxa"/>
            <w:vAlign w:val="center"/>
          </w:tcPr>
          <w:p w14:paraId="37AEC7DE">
            <w:pPr>
              <w:pStyle w:val="70"/>
              <w:spacing w:beforeLines="0" w:afterLines="0" w:line="240" w:lineRule="auto"/>
              <w:rPr>
                <w:rFonts w:ascii="Times New Roman"/>
                <w:szCs w:val="21"/>
              </w:rPr>
            </w:pPr>
            <w:r>
              <w:rPr>
                <w:rFonts w:ascii="Times New Roman"/>
                <w:szCs w:val="21"/>
              </w:rPr>
              <w:t>2</w:t>
            </w:r>
          </w:p>
        </w:tc>
        <w:tc>
          <w:tcPr>
            <w:tcW w:w="1263" w:type="dxa"/>
            <w:vAlign w:val="center"/>
          </w:tcPr>
          <w:p w14:paraId="473671E1">
            <w:pPr>
              <w:pStyle w:val="70"/>
              <w:spacing w:beforeLines="0" w:afterLines="0" w:line="240" w:lineRule="auto"/>
              <w:rPr>
                <w:rFonts w:ascii="Times New Roman"/>
                <w:szCs w:val="21"/>
              </w:rPr>
            </w:pPr>
            <w:r>
              <w:rPr>
                <w:rFonts w:ascii="Times New Roman"/>
                <w:szCs w:val="21"/>
              </w:rPr>
              <w:t>0</w:t>
            </w:r>
          </w:p>
        </w:tc>
        <w:tc>
          <w:tcPr>
            <w:tcW w:w="1683" w:type="dxa"/>
            <w:vAlign w:val="center"/>
          </w:tcPr>
          <w:p w14:paraId="0EBBA39A">
            <w:pPr>
              <w:pStyle w:val="70"/>
              <w:spacing w:beforeLines="0" w:afterLines="0" w:line="240" w:lineRule="auto"/>
              <w:rPr>
                <w:rFonts w:ascii="Times New Roman"/>
                <w:szCs w:val="21"/>
              </w:rPr>
            </w:pPr>
            <w:r>
              <w:rPr>
                <w:rFonts w:ascii="Times New Roman"/>
                <w:szCs w:val="21"/>
              </w:rPr>
              <w:t>0</w:t>
            </w:r>
          </w:p>
        </w:tc>
        <w:tc>
          <w:tcPr>
            <w:tcW w:w="1543" w:type="dxa"/>
            <w:vAlign w:val="center"/>
          </w:tcPr>
          <w:p w14:paraId="4F7FFCC6">
            <w:pPr>
              <w:pStyle w:val="70"/>
              <w:spacing w:beforeLines="0" w:afterLines="0" w:line="240" w:lineRule="auto"/>
              <w:rPr>
                <w:rFonts w:ascii="Times New Roman"/>
                <w:snapToGrid w:val="0"/>
                <w:kern w:val="21"/>
                <w:szCs w:val="21"/>
              </w:rPr>
            </w:pPr>
            <w:r>
              <w:rPr>
                <w:rFonts w:ascii="Times New Roman"/>
                <w:szCs w:val="21"/>
              </w:rPr>
              <w:t>0.2</w:t>
            </w:r>
          </w:p>
        </w:tc>
        <w:tc>
          <w:tcPr>
            <w:tcW w:w="1743" w:type="dxa"/>
            <w:vAlign w:val="center"/>
          </w:tcPr>
          <w:p w14:paraId="7C1109BF">
            <w:pPr>
              <w:pStyle w:val="70"/>
              <w:spacing w:beforeLines="0" w:afterLines="0" w:line="240" w:lineRule="auto"/>
              <w:rPr>
                <w:rFonts w:ascii="Times New Roman"/>
                <w:snapToGrid w:val="0"/>
                <w:kern w:val="21"/>
                <w:szCs w:val="21"/>
              </w:rPr>
            </w:pPr>
            <w:r>
              <w:rPr>
                <w:rFonts w:ascii="Times New Roman"/>
                <w:szCs w:val="21"/>
              </w:rPr>
              <w:t>0.2</w:t>
            </w:r>
          </w:p>
        </w:tc>
        <w:tc>
          <w:tcPr>
            <w:tcW w:w="1727" w:type="dxa"/>
            <w:vAlign w:val="center"/>
          </w:tcPr>
          <w:p w14:paraId="34AFF214">
            <w:pPr>
              <w:pStyle w:val="70"/>
              <w:spacing w:beforeLines="0" w:afterLines="0" w:line="240" w:lineRule="auto"/>
              <w:rPr>
                <w:rFonts w:ascii="Times New Roman"/>
                <w:szCs w:val="21"/>
              </w:rPr>
            </w:pPr>
            <w:r>
              <w:rPr>
                <w:rFonts w:ascii="Times New Roman"/>
                <w:szCs w:val="21"/>
              </w:rPr>
              <w:t>2</w:t>
            </w:r>
          </w:p>
        </w:tc>
        <w:tc>
          <w:tcPr>
            <w:tcW w:w="1029" w:type="dxa"/>
            <w:vAlign w:val="center"/>
          </w:tcPr>
          <w:p w14:paraId="5CE6AF52">
            <w:pPr>
              <w:pStyle w:val="70"/>
              <w:spacing w:beforeLines="0" w:afterLines="0" w:line="240" w:lineRule="auto"/>
              <w:rPr>
                <w:rFonts w:ascii="Times New Roman"/>
                <w:szCs w:val="21"/>
              </w:rPr>
            </w:pPr>
            <w:r>
              <w:rPr>
                <w:rFonts w:ascii="Times New Roman"/>
                <w:szCs w:val="21"/>
              </w:rPr>
              <w:t>0</w:t>
            </w:r>
          </w:p>
        </w:tc>
      </w:tr>
      <w:tr w14:paraId="583301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049678F1">
            <w:pPr>
              <w:pStyle w:val="70"/>
              <w:spacing w:beforeLines="0" w:afterLines="0" w:line="240" w:lineRule="auto"/>
              <w:rPr>
                <w:rFonts w:ascii="Times New Roman"/>
                <w:snapToGrid w:val="0"/>
                <w:kern w:val="21"/>
                <w:szCs w:val="21"/>
              </w:rPr>
            </w:pPr>
          </w:p>
        </w:tc>
        <w:tc>
          <w:tcPr>
            <w:tcW w:w="2410" w:type="dxa"/>
            <w:vAlign w:val="center"/>
          </w:tcPr>
          <w:p w14:paraId="1BAA6D9A">
            <w:pPr>
              <w:widowControl/>
              <w:jc w:val="center"/>
              <w:rPr>
                <w:kern w:val="0"/>
                <w:szCs w:val="21"/>
              </w:rPr>
            </w:pPr>
            <w:r>
              <w:rPr>
                <w:szCs w:val="21"/>
              </w:rPr>
              <w:t>废有机溶剂S（HW06，900-404-06）</w:t>
            </w:r>
          </w:p>
        </w:tc>
        <w:tc>
          <w:tcPr>
            <w:tcW w:w="1405" w:type="dxa"/>
            <w:vAlign w:val="center"/>
          </w:tcPr>
          <w:p w14:paraId="743B5B53">
            <w:pPr>
              <w:pStyle w:val="70"/>
              <w:spacing w:beforeLines="0" w:afterLines="0" w:line="240" w:lineRule="auto"/>
              <w:rPr>
                <w:rFonts w:ascii="Times New Roman"/>
                <w:szCs w:val="21"/>
              </w:rPr>
            </w:pPr>
            <w:r>
              <w:rPr>
                <w:rFonts w:ascii="Times New Roman"/>
                <w:szCs w:val="21"/>
              </w:rPr>
              <w:t>10</w:t>
            </w:r>
          </w:p>
        </w:tc>
        <w:tc>
          <w:tcPr>
            <w:tcW w:w="1263" w:type="dxa"/>
            <w:vAlign w:val="center"/>
          </w:tcPr>
          <w:p w14:paraId="242B69B4">
            <w:pPr>
              <w:pStyle w:val="70"/>
              <w:spacing w:beforeLines="0" w:afterLines="0" w:line="240" w:lineRule="auto"/>
              <w:rPr>
                <w:rFonts w:ascii="Times New Roman"/>
                <w:szCs w:val="21"/>
              </w:rPr>
            </w:pPr>
            <w:r>
              <w:rPr>
                <w:rFonts w:ascii="Times New Roman"/>
                <w:szCs w:val="21"/>
              </w:rPr>
              <w:t>0</w:t>
            </w:r>
          </w:p>
        </w:tc>
        <w:tc>
          <w:tcPr>
            <w:tcW w:w="1683" w:type="dxa"/>
            <w:vAlign w:val="center"/>
          </w:tcPr>
          <w:p w14:paraId="3082DD42">
            <w:pPr>
              <w:pStyle w:val="70"/>
              <w:spacing w:beforeLines="0" w:afterLines="0" w:line="240" w:lineRule="auto"/>
              <w:rPr>
                <w:rFonts w:ascii="Times New Roman"/>
                <w:szCs w:val="21"/>
              </w:rPr>
            </w:pPr>
            <w:r>
              <w:rPr>
                <w:rFonts w:ascii="Times New Roman"/>
                <w:szCs w:val="21"/>
              </w:rPr>
              <w:t>0</w:t>
            </w:r>
          </w:p>
        </w:tc>
        <w:tc>
          <w:tcPr>
            <w:tcW w:w="1543" w:type="dxa"/>
            <w:vAlign w:val="center"/>
          </w:tcPr>
          <w:p w14:paraId="276EEFAA">
            <w:pPr>
              <w:pStyle w:val="70"/>
              <w:spacing w:beforeLines="0" w:afterLines="0" w:line="240" w:lineRule="auto"/>
              <w:rPr>
                <w:rFonts w:ascii="Times New Roman"/>
                <w:snapToGrid w:val="0"/>
                <w:kern w:val="21"/>
                <w:szCs w:val="21"/>
              </w:rPr>
            </w:pPr>
            <w:r>
              <w:rPr>
                <w:rFonts w:ascii="Times New Roman"/>
                <w:szCs w:val="21"/>
              </w:rPr>
              <w:t>1.5</w:t>
            </w:r>
          </w:p>
        </w:tc>
        <w:tc>
          <w:tcPr>
            <w:tcW w:w="1743" w:type="dxa"/>
            <w:vAlign w:val="center"/>
          </w:tcPr>
          <w:p w14:paraId="65ED198F">
            <w:pPr>
              <w:pStyle w:val="70"/>
              <w:spacing w:beforeLines="0" w:afterLines="0" w:line="240" w:lineRule="auto"/>
              <w:rPr>
                <w:rFonts w:ascii="Times New Roman"/>
                <w:snapToGrid w:val="0"/>
                <w:kern w:val="21"/>
                <w:szCs w:val="21"/>
              </w:rPr>
            </w:pPr>
            <w:r>
              <w:rPr>
                <w:rFonts w:ascii="Times New Roman"/>
                <w:szCs w:val="21"/>
              </w:rPr>
              <w:t>1.36</w:t>
            </w:r>
          </w:p>
        </w:tc>
        <w:tc>
          <w:tcPr>
            <w:tcW w:w="1727" w:type="dxa"/>
            <w:vAlign w:val="center"/>
          </w:tcPr>
          <w:p w14:paraId="53FA63C1">
            <w:pPr>
              <w:pStyle w:val="70"/>
              <w:spacing w:beforeLines="0" w:afterLines="0" w:line="240" w:lineRule="auto"/>
              <w:rPr>
                <w:rFonts w:ascii="Times New Roman"/>
                <w:szCs w:val="21"/>
              </w:rPr>
            </w:pPr>
            <w:r>
              <w:rPr>
                <w:rFonts w:ascii="Times New Roman"/>
                <w:szCs w:val="21"/>
              </w:rPr>
              <w:t>10.14</w:t>
            </w:r>
          </w:p>
        </w:tc>
        <w:tc>
          <w:tcPr>
            <w:tcW w:w="1029" w:type="dxa"/>
            <w:vAlign w:val="center"/>
          </w:tcPr>
          <w:p w14:paraId="47D1D707">
            <w:pPr>
              <w:pStyle w:val="70"/>
              <w:spacing w:beforeLines="0" w:afterLines="0" w:line="240" w:lineRule="auto"/>
              <w:rPr>
                <w:rFonts w:ascii="Times New Roman"/>
                <w:szCs w:val="21"/>
              </w:rPr>
            </w:pPr>
            <w:r>
              <w:rPr>
                <w:rFonts w:ascii="Times New Roman"/>
                <w:szCs w:val="21"/>
              </w:rPr>
              <w:t>+0.14</w:t>
            </w:r>
          </w:p>
        </w:tc>
      </w:tr>
      <w:tr w14:paraId="2CE148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37C5FE67">
            <w:pPr>
              <w:pStyle w:val="70"/>
              <w:spacing w:beforeLines="0" w:afterLines="0" w:line="240" w:lineRule="auto"/>
              <w:rPr>
                <w:rFonts w:ascii="Times New Roman"/>
                <w:snapToGrid w:val="0"/>
                <w:kern w:val="21"/>
                <w:szCs w:val="21"/>
              </w:rPr>
            </w:pPr>
          </w:p>
        </w:tc>
        <w:tc>
          <w:tcPr>
            <w:tcW w:w="2410" w:type="dxa"/>
            <w:vAlign w:val="center"/>
          </w:tcPr>
          <w:p w14:paraId="41BD92EE">
            <w:pPr>
              <w:widowControl/>
              <w:jc w:val="center"/>
              <w:rPr>
                <w:kern w:val="0"/>
                <w:szCs w:val="21"/>
              </w:rPr>
            </w:pPr>
            <w:r>
              <w:rPr>
                <w:szCs w:val="21"/>
              </w:rPr>
              <w:t>废弃油漆（HW12，900-299-12）</w:t>
            </w:r>
          </w:p>
        </w:tc>
        <w:tc>
          <w:tcPr>
            <w:tcW w:w="1405" w:type="dxa"/>
            <w:vAlign w:val="center"/>
          </w:tcPr>
          <w:p w14:paraId="20BA8250">
            <w:pPr>
              <w:pStyle w:val="70"/>
              <w:spacing w:beforeLines="0" w:afterLines="0" w:line="240" w:lineRule="auto"/>
              <w:rPr>
                <w:rFonts w:ascii="Times New Roman"/>
                <w:szCs w:val="21"/>
              </w:rPr>
            </w:pPr>
            <w:r>
              <w:rPr>
                <w:rFonts w:ascii="Times New Roman"/>
                <w:szCs w:val="21"/>
              </w:rPr>
              <w:t>1</w:t>
            </w:r>
          </w:p>
        </w:tc>
        <w:tc>
          <w:tcPr>
            <w:tcW w:w="1263" w:type="dxa"/>
            <w:vAlign w:val="center"/>
          </w:tcPr>
          <w:p w14:paraId="2E260657">
            <w:pPr>
              <w:pStyle w:val="70"/>
              <w:spacing w:beforeLines="0" w:afterLines="0" w:line="240" w:lineRule="auto"/>
              <w:rPr>
                <w:rFonts w:ascii="Times New Roman"/>
                <w:szCs w:val="21"/>
              </w:rPr>
            </w:pPr>
            <w:r>
              <w:rPr>
                <w:rFonts w:ascii="Times New Roman"/>
                <w:szCs w:val="21"/>
              </w:rPr>
              <w:t>0</w:t>
            </w:r>
          </w:p>
        </w:tc>
        <w:tc>
          <w:tcPr>
            <w:tcW w:w="1683" w:type="dxa"/>
            <w:vAlign w:val="center"/>
          </w:tcPr>
          <w:p w14:paraId="03CDF1D4">
            <w:pPr>
              <w:pStyle w:val="70"/>
              <w:spacing w:beforeLines="0" w:afterLines="0" w:line="240" w:lineRule="auto"/>
              <w:rPr>
                <w:rFonts w:ascii="Times New Roman"/>
                <w:szCs w:val="21"/>
              </w:rPr>
            </w:pPr>
            <w:r>
              <w:rPr>
                <w:rFonts w:ascii="Times New Roman"/>
                <w:szCs w:val="21"/>
              </w:rPr>
              <w:t>0</w:t>
            </w:r>
          </w:p>
        </w:tc>
        <w:tc>
          <w:tcPr>
            <w:tcW w:w="1543" w:type="dxa"/>
            <w:vAlign w:val="center"/>
          </w:tcPr>
          <w:p w14:paraId="0EC30AAA">
            <w:pPr>
              <w:pStyle w:val="70"/>
              <w:spacing w:beforeLines="0" w:afterLines="0" w:line="240" w:lineRule="auto"/>
              <w:rPr>
                <w:rFonts w:ascii="Times New Roman"/>
                <w:snapToGrid w:val="0"/>
                <w:kern w:val="21"/>
                <w:szCs w:val="21"/>
              </w:rPr>
            </w:pPr>
            <w:r>
              <w:rPr>
                <w:rFonts w:ascii="Times New Roman"/>
                <w:szCs w:val="21"/>
              </w:rPr>
              <w:t>0</w:t>
            </w:r>
          </w:p>
        </w:tc>
        <w:tc>
          <w:tcPr>
            <w:tcW w:w="1743" w:type="dxa"/>
            <w:vAlign w:val="center"/>
          </w:tcPr>
          <w:p w14:paraId="6B7CDB85">
            <w:pPr>
              <w:pStyle w:val="70"/>
              <w:spacing w:beforeLines="0" w:afterLines="0" w:line="240" w:lineRule="auto"/>
              <w:rPr>
                <w:rFonts w:ascii="Times New Roman"/>
                <w:snapToGrid w:val="0"/>
                <w:kern w:val="21"/>
                <w:szCs w:val="21"/>
              </w:rPr>
            </w:pPr>
            <w:r>
              <w:rPr>
                <w:rFonts w:ascii="Times New Roman"/>
                <w:szCs w:val="21"/>
              </w:rPr>
              <w:t>0</w:t>
            </w:r>
          </w:p>
        </w:tc>
        <w:tc>
          <w:tcPr>
            <w:tcW w:w="1727" w:type="dxa"/>
            <w:vAlign w:val="center"/>
          </w:tcPr>
          <w:p w14:paraId="2FFE6D43">
            <w:pPr>
              <w:pStyle w:val="70"/>
              <w:spacing w:beforeLines="0" w:afterLines="0" w:line="240" w:lineRule="auto"/>
              <w:rPr>
                <w:rFonts w:ascii="Times New Roman"/>
                <w:szCs w:val="21"/>
              </w:rPr>
            </w:pPr>
            <w:r>
              <w:rPr>
                <w:rFonts w:ascii="Times New Roman"/>
                <w:szCs w:val="21"/>
              </w:rPr>
              <w:t>1</w:t>
            </w:r>
          </w:p>
        </w:tc>
        <w:tc>
          <w:tcPr>
            <w:tcW w:w="1029" w:type="dxa"/>
            <w:vAlign w:val="center"/>
          </w:tcPr>
          <w:p w14:paraId="4EB26534">
            <w:pPr>
              <w:pStyle w:val="70"/>
              <w:spacing w:beforeLines="0" w:afterLines="0" w:line="240" w:lineRule="auto"/>
              <w:rPr>
                <w:rFonts w:ascii="Times New Roman"/>
                <w:szCs w:val="21"/>
              </w:rPr>
            </w:pPr>
            <w:r>
              <w:rPr>
                <w:rFonts w:ascii="Times New Roman"/>
                <w:szCs w:val="21"/>
              </w:rPr>
              <w:t>0</w:t>
            </w:r>
          </w:p>
        </w:tc>
      </w:tr>
      <w:tr w14:paraId="509155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59B16EFA">
            <w:pPr>
              <w:pStyle w:val="70"/>
              <w:spacing w:beforeLines="0" w:afterLines="0" w:line="240" w:lineRule="auto"/>
              <w:rPr>
                <w:rFonts w:ascii="Times New Roman"/>
                <w:snapToGrid w:val="0"/>
                <w:kern w:val="21"/>
                <w:szCs w:val="21"/>
              </w:rPr>
            </w:pPr>
          </w:p>
        </w:tc>
        <w:tc>
          <w:tcPr>
            <w:tcW w:w="2410" w:type="dxa"/>
            <w:vAlign w:val="center"/>
          </w:tcPr>
          <w:p w14:paraId="06FB5C9E">
            <w:pPr>
              <w:widowControl/>
              <w:jc w:val="center"/>
              <w:rPr>
                <w:kern w:val="0"/>
                <w:szCs w:val="21"/>
              </w:rPr>
            </w:pPr>
            <w:r>
              <w:rPr>
                <w:szCs w:val="21"/>
              </w:rPr>
              <w:t>废包装桶（瓶）（HW49，900-041-49）</w:t>
            </w:r>
          </w:p>
        </w:tc>
        <w:tc>
          <w:tcPr>
            <w:tcW w:w="1405" w:type="dxa"/>
            <w:vAlign w:val="center"/>
          </w:tcPr>
          <w:p w14:paraId="741CCD2C">
            <w:pPr>
              <w:pStyle w:val="70"/>
              <w:spacing w:beforeLines="0" w:afterLines="0" w:line="240" w:lineRule="auto"/>
              <w:rPr>
                <w:rFonts w:ascii="Times New Roman"/>
                <w:szCs w:val="21"/>
              </w:rPr>
            </w:pPr>
            <w:r>
              <w:rPr>
                <w:rFonts w:ascii="Times New Roman"/>
                <w:szCs w:val="21"/>
              </w:rPr>
              <w:t>50</w:t>
            </w:r>
          </w:p>
        </w:tc>
        <w:tc>
          <w:tcPr>
            <w:tcW w:w="1263" w:type="dxa"/>
            <w:vAlign w:val="center"/>
          </w:tcPr>
          <w:p w14:paraId="0FF7FE88">
            <w:pPr>
              <w:pStyle w:val="70"/>
              <w:spacing w:beforeLines="0" w:afterLines="0" w:line="240" w:lineRule="auto"/>
              <w:rPr>
                <w:rFonts w:ascii="Times New Roman"/>
                <w:szCs w:val="21"/>
              </w:rPr>
            </w:pPr>
            <w:r>
              <w:rPr>
                <w:rFonts w:ascii="Times New Roman"/>
                <w:szCs w:val="21"/>
              </w:rPr>
              <w:t>0</w:t>
            </w:r>
          </w:p>
        </w:tc>
        <w:tc>
          <w:tcPr>
            <w:tcW w:w="1683" w:type="dxa"/>
            <w:vAlign w:val="center"/>
          </w:tcPr>
          <w:p w14:paraId="37EC7076">
            <w:pPr>
              <w:pStyle w:val="70"/>
              <w:spacing w:beforeLines="0" w:afterLines="0" w:line="240" w:lineRule="auto"/>
              <w:rPr>
                <w:rFonts w:ascii="Times New Roman"/>
                <w:szCs w:val="21"/>
              </w:rPr>
            </w:pPr>
            <w:r>
              <w:rPr>
                <w:rFonts w:ascii="Times New Roman"/>
                <w:szCs w:val="21"/>
              </w:rPr>
              <w:t>0</w:t>
            </w:r>
          </w:p>
        </w:tc>
        <w:tc>
          <w:tcPr>
            <w:tcW w:w="1543" w:type="dxa"/>
            <w:vAlign w:val="center"/>
          </w:tcPr>
          <w:p w14:paraId="04A33C88">
            <w:pPr>
              <w:pStyle w:val="70"/>
              <w:spacing w:beforeLines="0" w:afterLines="0" w:line="240" w:lineRule="auto"/>
              <w:rPr>
                <w:rFonts w:ascii="Times New Roman"/>
                <w:snapToGrid w:val="0"/>
                <w:kern w:val="21"/>
                <w:szCs w:val="21"/>
              </w:rPr>
            </w:pPr>
            <w:r>
              <w:rPr>
                <w:rFonts w:ascii="Times New Roman"/>
                <w:szCs w:val="21"/>
              </w:rPr>
              <w:t>8</w:t>
            </w:r>
          </w:p>
        </w:tc>
        <w:tc>
          <w:tcPr>
            <w:tcW w:w="1743" w:type="dxa"/>
            <w:vAlign w:val="center"/>
          </w:tcPr>
          <w:p w14:paraId="0555E2D6">
            <w:pPr>
              <w:pStyle w:val="70"/>
              <w:spacing w:beforeLines="0" w:afterLines="0" w:line="240" w:lineRule="auto"/>
              <w:rPr>
                <w:rFonts w:ascii="Times New Roman"/>
                <w:snapToGrid w:val="0"/>
                <w:kern w:val="21"/>
                <w:szCs w:val="21"/>
              </w:rPr>
            </w:pPr>
            <w:r>
              <w:rPr>
                <w:rFonts w:ascii="Times New Roman"/>
                <w:szCs w:val="21"/>
              </w:rPr>
              <w:t>8</w:t>
            </w:r>
          </w:p>
        </w:tc>
        <w:tc>
          <w:tcPr>
            <w:tcW w:w="1727" w:type="dxa"/>
            <w:vAlign w:val="center"/>
          </w:tcPr>
          <w:p w14:paraId="4AEBCC69">
            <w:pPr>
              <w:pStyle w:val="70"/>
              <w:spacing w:beforeLines="0" w:afterLines="0" w:line="240" w:lineRule="auto"/>
              <w:rPr>
                <w:rFonts w:ascii="Times New Roman"/>
                <w:szCs w:val="21"/>
              </w:rPr>
            </w:pPr>
            <w:r>
              <w:rPr>
                <w:rFonts w:ascii="Times New Roman"/>
                <w:szCs w:val="21"/>
              </w:rPr>
              <w:t>50</w:t>
            </w:r>
          </w:p>
        </w:tc>
        <w:tc>
          <w:tcPr>
            <w:tcW w:w="1029" w:type="dxa"/>
            <w:vAlign w:val="center"/>
          </w:tcPr>
          <w:p w14:paraId="530DB97A">
            <w:pPr>
              <w:pStyle w:val="70"/>
              <w:spacing w:beforeLines="0" w:afterLines="0" w:line="240" w:lineRule="auto"/>
              <w:rPr>
                <w:rFonts w:ascii="Times New Roman"/>
                <w:szCs w:val="21"/>
              </w:rPr>
            </w:pPr>
            <w:r>
              <w:rPr>
                <w:rFonts w:ascii="Times New Roman"/>
                <w:szCs w:val="21"/>
              </w:rPr>
              <w:t>0</w:t>
            </w:r>
          </w:p>
        </w:tc>
      </w:tr>
      <w:tr w14:paraId="146504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7281B4CC">
            <w:pPr>
              <w:pStyle w:val="70"/>
              <w:spacing w:beforeLines="0" w:afterLines="0" w:line="240" w:lineRule="auto"/>
              <w:rPr>
                <w:rFonts w:ascii="Times New Roman"/>
                <w:snapToGrid w:val="0"/>
                <w:kern w:val="21"/>
                <w:szCs w:val="21"/>
              </w:rPr>
            </w:pPr>
          </w:p>
        </w:tc>
        <w:tc>
          <w:tcPr>
            <w:tcW w:w="2410" w:type="dxa"/>
            <w:vAlign w:val="center"/>
          </w:tcPr>
          <w:p w14:paraId="7501E9CC">
            <w:pPr>
              <w:widowControl/>
              <w:jc w:val="center"/>
              <w:rPr>
                <w:kern w:val="0"/>
                <w:szCs w:val="21"/>
              </w:rPr>
            </w:pPr>
            <w:r>
              <w:rPr>
                <w:szCs w:val="21"/>
              </w:rPr>
              <w:t>废蓄电池（HW31，900-052-31）</w:t>
            </w:r>
          </w:p>
        </w:tc>
        <w:tc>
          <w:tcPr>
            <w:tcW w:w="1405" w:type="dxa"/>
            <w:vAlign w:val="center"/>
          </w:tcPr>
          <w:p w14:paraId="65732254">
            <w:pPr>
              <w:pStyle w:val="70"/>
              <w:spacing w:beforeLines="0" w:afterLines="0" w:line="240" w:lineRule="auto"/>
              <w:rPr>
                <w:rFonts w:ascii="Times New Roman"/>
                <w:szCs w:val="21"/>
              </w:rPr>
            </w:pPr>
            <w:r>
              <w:rPr>
                <w:rFonts w:ascii="Times New Roman"/>
                <w:szCs w:val="21"/>
              </w:rPr>
              <w:t>6</w:t>
            </w:r>
          </w:p>
        </w:tc>
        <w:tc>
          <w:tcPr>
            <w:tcW w:w="1263" w:type="dxa"/>
            <w:vAlign w:val="center"/>
          </w:tcPr>
          <w:p w14:paraId="0CF8EE06">
            <w:pPr>
              <w:pStyle w:val="70"/>
              <w:spacing w:beforeLines="0" w:afterLines="0" w:line="240" w:lineRule="auto"/>
              <w:rPr>
                <w:rFonts w:ascii="Times New Roman"/>
                <w:szCs w:val="21"/>
              </w:rPr>
            </w:pPr>
            <w:r>
              <w:rPr>
                <w:rFonts w:ascii="Times New Roman"/>
                <w:szCs w:val="21"/>
              </w:rPr>
              <w:t>0</w:t>
            </w:r>
          </w:p>
        </w:tc>
        <w:tc>
          <w:tcPr>
            <w:tcW w:w="1683" w:type="dxa"/>
            <w:vAlign w:val="center"/>
          </w:tcPr>
          <w:p w14:paraId="44D0192C">
            <w:pPr>
              <w:pStyle w:val="70"/>
              <w:spacing w:beforeLines="0" w:afterLines="0" w:line="240" w:lineRule="auto"/>
              <w:rPr>
                <w:rFonts w:ascii="Times New Roman"/>
                <w:szCs w:val="21"/>
              </w:rPr>
            </w:pPr>
            <w:r>
              <w:rPr>
                <w:rFonts w:ascii="Times New Roman"/>
                <w:szCs w:val="21"/>
              </w:rPr>
              <w:t>0</w:t>
            </w:r>
          </w:p>
        </w:tc>
        <w:tc>
          <w:tcPr>
            <w:tcW w:w="1543" w:type="dxa"/>
            <w:vAlign w:val="center"/>
          </w:tcPr>
          <w:p w14:paraId="7E628146">
            <w:pPr>
              <w:pStyle w:val="70"/>
              <w:spacing w:beforeLines="0" w:afterLines="0" w:line="240" w:lineRule="auto"/>
              <w:rPr>
                <w:rFonts w:ascii="Times New Roman"/>
                <w:snapToGrid w:val="0"/>
                <w:kern w:val="21"/>
                <w:szCs w:val="21"/>
              </w:rPr>
            </w:pPr>
            <w:r>
              <w:rPr>
                <w:rFonts w:ascii="Times New Roman"/>
                <w:szCs w:val="21"/>
              </w:rPr>
              <w:t>0</w:t>
            </w:r>
          </w:p>
        </w:tc>
        <w:tc>
          <w:tcPr>
            <w:tcW w:w="1743" w:type="dxa"/>
            <w:vAlign w:val="center"/>
          </w:tcPr>
          <w:p w14:paraId="240667E5">
            <w:pPr>
              <w:pStyle w:val="70"/>
              <w:spacing w:beforeLines="0" w:afterLines="0" w:line="240" w:lineRule="auto"/>
              <w:rPr>
                <w:rFonts w:ascii="Times New Roman"/>
                <w:snapToGrid w:val="0"/>
                <w:kern w:val="21"/>
                <w:szCs w:val="21"/>
              </w:rPr>
            </w:pPr>
            <w:r>
              <w:rPr>
                <w:rFonts w:ascii="Times New Roman"/>
                <w:szCs w:val="21"/>
              </w:rPr>
              <w:t>0</w:t>
            </w:r>
          </w:p>
        </w:tc>
        <w:tc>
          <w:tcPr>
            <w:tcW w:w="1727" w:type="dxa"/>
            <w:vAlign w:val="center"/>
          </w:tcPr>
          <w:p w14:paraId="24CC93A2">
            <w:pPr>
              <w:pStyle w:val="70"/>
              <w:spacing w:beforeLines="0" w:afterLines="0" w:line="240" w:lineRule="auto"/>
              <w:rPr>
                <w:rFonts w:ascii="Times New Roman"/>
                <w:szCs w:val="21"/>
              </w:rPr>
            </w:pPr>
            <w:r>
              <w:rPr>
                <w:rFonts w:ascii="Times New Roman"/>
                <w:szCs w:val="21"/>
              </w:rPr>
              <w:t>6</w:t>
            </w:r>
          </w:p>
        </w:tc>
        <w:tc>
          <w:tcPr>
            <w:tcW w:w="1029" w:type="dxa"/>
            <w:vAlign w:val="center"/>
          </w:tcPr>
          <w:p w14:paraId="574886B7">
            <w:pPr>
              <w:pStyle w:val="70"/>
              <w:spacing w:beforeLines="0" w:afterLines="0" w:line="240" w:lineRule="auto"/>
              <w:rPr>
                <w:rFonts w:ascii="Times New Roman"/>
                <w:szCs w:val="21"/>
              </w:rPr>
            </w:pPr>
            <w:r>
              <w:rPr>
                <w:rFonts w:ascii="Times New Roman"/>
                <w:szCs w:val="21"/>
              </w:rPr>
              <w:t>0</w:t>
            </w:r>
          </w:p>
        </w:tc>
      </w:tr>
      <w:tr w14:paraId="422EB8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02706346">
            <w:pPr>
              <w:pStyle w:val="70"/>
              <w:spacing w:beforeLines="0" w:afterLines="0" w:line="240" w:lineRule="auto"/>
              <w:rPr>
                <w:rFonts w:ascii="Times New Roman"/>
                <w:snapToGrid w:val="0"/>
                <w:kern w:val="21"/>
                <w:szCs w:val="21"/>
              </w:rPr>
            </w:pPr>
          </w:p>
        </w:tc>
        <w:tc>
          <w:tcPr>
            <w:tcW w:w="2410" w:type="dxa"/>
            <w:vAlign w:val="center"/>
          </w:tcPr>
          <w:p w14:paraId="2C9D176C">
            <w:pPr>
              <w:widowControl/>
              <w:jc w:val="center"/>
              <w:rPr>
                <w:kern w:val="0"/>
                <w:szCs w:val="21"/>
              </w:rPr>
            </w:pPr>
            <w:r>
              <w:rPr>
                <w:szCs w:val="21"/>
              </w:rPr>
              <w:t>废溴化锂溶液（HW13，336-068-17）</w:t>
            </w:r>
          </w:p>
        </w:tc>
        <w:tc>
          <w:tcPr>
            <w:tcW w:w="1405" w:type="dxa"/>
            <w:vAlign w:val="center"/>
          </w:tcPr>
          <w:p w14:paraId="21985D69">
            <w:pPr>
              <w:pStyle w:val="70"/>
              <w:spacing w:beforeLines="0" w:afterLines="0" w:line="240" w:lineRule="auto"/>
              <w:rPr>
                <w:rFonts w:ascii="Times New Roman"/>
                <w:szCs w:val="21"/>
              </w:rPr>
            </w:pPr>
            <w:r>
              <w:rPr>
                <w:rFonts w:ascii="Times New Roman"/>
                <w:szCs w:val="21"/>
              </w:rPr>
              <w:t>20</w:t>
            </w:r>
          </w:p>
        </w:tc>
        <w:tc>
          <w:tcPr>
            <w:tcW w:w="1263" w:type="dxa"/>
            <w:vAlign w:val="center"/>
          </w:tcPr>
          <w:p w14:paraId="6D444116">
            <w:pPr>
              <w:pStyle w:val="70"/>
              <w:spacing w:beforeLines="0" w:afterLines="0" w:line="240" w:lineRule="auto"/>
              <w:rPr>
                <w:rFonts w:ascii="Times New Roman"/>
                <w:szCs w:val="21"/>
              </w:rPr>
            </w:pPr>
            <w:r>
              <w:rPr>
                <w:rFonts w:ascii="Times New Roman"/>
                <w:szCs w:val="21"/>
              </w:rPr>
              <w:t>0</w:t>
            </w:r>
          </w:p>
        </w:tc>
        <w:tc>
          <w:tcPr>
            <w:tcW w:w="1683" w:type="dxa"/>
            <w:vAlign w:val="center"/>
          </w:tcPr>
          <w:p w14:paraId="6E81CED1">
            <w:pPr>
              <w:pStyle w:val="70"/>
              <w:spacing w:beforeLines="0" w:afterLines="0" w:line="240" w:lineRule="auto"/>
              <w:rPr>
                <w:rFonts w:ascii="Times New Roman"/>
                <w:szCs w:val="21"/>
              </w:rPr>
            </w:pPr>
            <w:r>
              <w:rPr>
                <w:rFonts w:ascii="Times New Roman"/>
                <w:szCs w:val="21"/>
              </w:rPr>
              <w:t>0</w:t>
            </w:r>
          </w:p>
        </w:tc>
        <w:tc>
          <w:tcPr>
            <w:tcW w:w="1543" w:type="dxa"/>
            <w:vAlign w:val="center"/>
          </w:tcPr>
          <w:p w14:paraId="04E82270">
            <w:pPr>
              <w:pStyle w:val="70"/>
              <w:spacing w:beforeLines="0" w:afterLines="0" w:line="240" w:lineRule="auto"/>
              <w:rPr>
                <w:rFonts w:ascii="Times New Roman"/>
                <w:snapToGrid w:val="0"/>
                <w:kern w:val="21"/>
                <w:szCs w:val="21"/>
              </w:rPr>
            </w:pPr>
            <w:r>
              <w:rPr>
                <w:rFonts w:ascii="Times New Roman"/>
                <w:szCs w:val="21"/>
              </w:rPr>
              <w:t>0</w:t>
            </w:r>
          </w:p>
        </w:tc>
        <w:tc>
          <w:tcPr>
            <w:tcW w:w="1743" w:type="dxa"/>
            <w:vAlign w:val="center"/>
          </w:tcPr>
          <w:p w14:paraId="587DD590">
            <w:pPr>
              <w:pStyle w:val="70"/>
              <w:spacing w:beforeLines="0" w:afterLines="0" w:line="240" w:lineRule="auto"/>
              <w:rPr>
                <w:rFonts w:ascii="Times New Roman"/>
                <w:snapToGrid w:val="0"/>
                <w:kern w:val="21"/>
                <w:szCs w:val="21"/>
              </w:rPr>
            </w:pPr>
            <w:r>
              <w:rPr>
                <w:rFonts w:ascii="Times New Roman"/>
                <w:szCs w:val="21"/>
              </w:rPr>
              <w:t>0</w:t>
            </w:r>
          </w:p>
        </w:tc>
        <w:tc>
          <w:tcPr>
            <w:tcW w:w="1727" w:type="dxa"/>
            <w:vAlign w:val="center"/>
          </w:tcPr>
          <w:p w14:paraId="6E76DBF6">
            <w:pPr>
              <w:pStyle w:val="70"/>
              <w:spacing w:beforeLines="0" w:afterLines="0" w:line="240" w:lineRule="auto"/>
              <w:rPr>
                <w:rFonts w:ascii="Times New Roman"/>
                <w:szCs w:val="21"/>
              </w:rPr>
            </w:pPr>
            <w:r>
              <w:rPr>
                <w:rFonts w:ascii="Times New Roman"/>
                <w:szCs w:val="21"/>
              </w:rPr>
              <w:t>20</w:t>
            </w:r>
          </w:p>
        </w:tc>
        <w:tc>
          <w:tcPr>
            <w:tcW w:w="1029" w:type="dxa"/>
            <w:vAlign w:val="center"/>
          </w:tcPr>
          <w:p w14:paraId="60E166B9">
            <w:pPr>
              <w:pStyle w:val="70"/>
              <w:spacing w:beforeLines="0" w:afterLines="0" w:line="240" w:lineRule="auto"/>
              <w:rPr>
                <w:rFonts w:ascii="Times New Roman"/>
                <w:szCs w:val="21"/>
              </w:rPr>
            </w:pPr>
            <w:r>
              <w:rPr>
                <w:rFonts w:ascii="Times New Roman"/>
                <w:szCs w:val="21"/>
              </w:rPr>
              <w:t>0</w:t>
            </w:r>
          </w:p>
        </w:tc>
      </w:tr>
      <w:tr w14:paraId="789166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157731E9">
            <w:pPr>
              <w:pStyle w:val="70"/>
              <w:spacing w:beforeLines="0" w:afterLines="0" w:line="240" w:lineRule="auto"/>
              <w:rPr>
                <w:rFonts w:ascii="Times New Roman"/>
                <w:snapToGrid w:val="0"/>
                <w:kern w:val="21"/>
                <w:szCs w:val="21"/>
              </w:rPr>
            </w:pPr>
          </w:p>
        </w:tc>
        <w:tc>
          <w:tcPr>
            <w:tcW w:w="2410" w:type="dxa"/>
            <w:vAlign w:val="center"/>
          </w:tcPr>
          <w:p w14:paraId="18C26488">
            <w:pPr>
              <w:widowControl/>
              <w:jc w:val="center"/>
              <w:rPr>
                <w:kern w:val="0"/>
                <w:szCs w:val="21"/>
              </w:rPr>
            </w:pPr>
            <w:r>
              <w:rPr>
                <w:szCs w:val="21"/>
              </w:rPr>
              <w:t>废活性炭1 （HW49，900-041-49）</w:t>
            </w:r>
          </w:p>
        </w:tc>
        <w:tc>
          <w:tcPr>
            <w:tcW w:w="1405" w:type="dxa"/>
            <w:vAlign w:val="center"/>
          </w:tcPr>
          <w:p w14:paraId="74976150">
            <w:pPr>
              <w:pStyle w:val="70"/>
              <w:spacing w:beforeLines="0" w:afterLines="0" w:line="240" w:lineRule="auto"/>
              <w:rPr>
                <w:rFonts w:ascii="Times New Roman"/>
                <w:szCs w:val="21"/>
              </w:rPr>
            </w:pPr>
            <w:r>
              <w:rPr>
                <w:rFonts w:ascii="Times New Roman"/>
                <w:szCs w:val="21"/>
              </w:rPr>
              <w:t>456</w:t>
            </w:r>
          </w:p>
        </w:tc>
        <w:tc>
          <w:tcPr>
            <w:tcW w:w="1263" w:type="dxa"/>
            <w:vAlign w:val="center"/>
          </w:tcPr>
          <w:p w14:paraId="6E7D24D5">
            <w:pPr>
              <w:pStyle w:val="70"/>
              <w:spacing w:beforeLines="0" w:afterLines="0" w:line="240" w:lineRule="auto"/>
              <w:rPr>
                <w:rFonts w:ascii="Times New Roman"/>
                <w:szCs w:val="21"/>
              </w:rPr>
            </w:pPr>
            <w:r>
              <w:rPr>
                <w:rFonts w:ascii="Times New Roman"/>
                <w:szCs w:val="21"/>
              </w:rPr>
              <w:t>0</w:t>
            </w:r>
          </w:p>
        </w:tc>
        <w:tc>
          <w:tcPr>
            <w:tcW w:w="1683" w:type="dxa"/>
            <w:vAlign w:val="center"/>
          </w:tcPr>
          <w:p w14:paraId="51FAF970">
            <w:pPr>
              <w:pStyle w:val="70"/>
              <w:spacing w:beforeLines="0" w:afterLines="0" w:line="240" w:lineRule="auto"/>
              <w:rPr>
                <w:rFonts w:ascii="Times New Roman"/>
                <w:szCs w:val="21"/>
              </w:rPr>
            </w:pPr>
            <w:r>
              <w:rPr>
                <w:rFonts w:ascii="Times New Roman"/>
                <w:szCs w:val="21"/>
              </w:rPr>
              <w:t>0</w:t>
            </w:r>
          </w:p>
        </w:tc>
        <w:tc>
          <w:tcPr>
            <w:tcW w:w="1543" w:type="dxa"/>
            <w:vAlign w:val="center"/>
          </w:tcPr>
          <w:p w14:paraId="2440137B">
            <w:pPr>
              <w:pStyle w:val="70"/>
              <w:spacing w:beforeLines="0" w:afterLines="0" w:line="240" w:lineRule="auto"/>
              <w:rPr>
                <w:rFonts w:ascii="Times New Roman"/>
                <w:snapToGrid w:val="0"/>
                <w:kern w:val="21"/>
                <w:szCs w:val="21"/>
              </w:rPr>
            </w:pPr>
            <w:r>
              <w:rPr>
                <w:rFonts w:ascii="Times New Roman"/>
                <w:szCs w:val="21"/>
              </w:rPr>
              <w:t>0</w:t>
            </w:r>
          </w:p>
        </w:tc>
        <w:tc>
          <w:tcPr>
            <w:tcW w:w="1743" w:type="dxa"/>
            <w:vAlign w:val="center"/>
          </w:tcPr>
          <w:p w14:paraId="49382EB3">
            <w:pPr>
              <w:pStyle w:val="70"/>
              <w:spacing w:beforeLines="0" w:afterLines="0" w:line="240" w:lineRule="auto"/>
              <w:rPr>
                <w:rFonts w:ascii="Times New Roman"/>
                <w:snapToGrid w:val="0"/>
                <w:kern w:val="21"/>
                <w:szCs w:val="21"/>
              </w:rPr>
            </w:pPr>
            <w:r>
              <w:rPr>
                <w:rFonts w:ascii="Times New Roman"/>
                <w:szCs w:val="21"/>
              </w:rPr>
              <w:t>0</w:t>
            </w:r>
          </w:p>
        </w:tc>
        <w:tc>
          <w:tcPr>
            <w:tcW w:w="1727" w:type="dxa"/>
            <w:vAlign w:val="center"/>
          </w:tcPr>
          <w:p w14:paraId="0B645AC7">
            <w:pPr>
              <w:pStyle w:val="70"/>
              <w:spacing w:beforeLines="0" w:afterLines="0" w:line="240" w:lineRule="auto"/>
              <w:rPr>
                <w:rFonts w:ascii="Times New Roman"/>
                <w:szCs w:val="21"/>
              </w:rPr>
            </w:pPr>
            <w:r>
              <w:rPr>
                <w:rFonts w:ascii="Times New Roman"/>
                <w:szCs w:val="21"/>
              </w:rPr>
              <w:t>456</w:t>
            </w:r>
          </w:p>
        </w:tc>
        <w:tc>
          <w:tcPr>
            <w:tcW w:w="1029" w:type="dxa"/>
            <w:vAlign w:val="center"/>
          </w:tcPr>
          <w:p w14:paraId="23FB3E4A">
            <w:pPr>
              <w:pStyle w:val="70"/>
              <w:spacing w:beforeLines="0" w:afterLines="0" w:line="240" w:lineRule="auto"/>
              <w:rPr>
                <w:rFonts w:ascii="Times New Roman"/>
                <w:szCs w:val="21"/>
              </w:rPr>
            </w:pPr>
            <w:r>
              <w:rPr>
                <w:rFonts w:ascii="Times New Roman"/>
                <w:szCs w:val="21"/>
              </w:rPr>
              <w:t>0</w:t>
            </w:r>
          </w:p>
        </w:tc>
      </w:tr>
      <w:tr w14:paraId="43C741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7D28C409">
            <w:pPr>
              <w:pStyle w:val="70"/>
              <w:spacing w:beforeLines="0" w:afterLines="0" w:line="240" w:lineRule="auto"/>
              <w:rPr>
                <w:rFonts w:ascii="Times New Roman"/>
                <w:snapToGrid w:val="0"/>
                <w:kern w:val="21"/>
                <w:szCs w:val="21"/>
              </w:rPr>
            </w:pPr>
          </w:p>
        </w:tc>
        <w:tc>
          <w:tcPr>
            <w:tcW w:w="2410" w:type="dxa"/>
            <w:vAlign w:val="center"/>
          </w:tcPr>
          <w:p w14:paraId="1FF57C17">
            <w:pPr>
              <w:widowControl/>
              <w:jc w:val="center"/>
              <w:rPr>
                <w:kern w:val="0"/>
                <w:szCs w:val="21"/>
              </w:rPr>
            </w:pPr>
            <w:r>
              <w:rPr>
                <w:szCs w:val="21"/>
              </w:rPr>
              <w:t>废离子交换树脂（HW13，900-015-13）</w:t>
            </w:r>
          </w:p>
        </w:tc>
        <w:tc>
          <w:tcPr>
            <w:tcW w:w="1405" w:type="dxa"/>
            <w:vAlign w:val="center"/>
          </w:tcPr>
          <w:p w14:paraId="27A64AB6">
            <w:pPr>
              <w:pStyle w:val="70"/>
              <w:spacing w:beforeLines="0" w:afterLines="0" w:line="240" w:lineRule="auto"/>
              <w:rPr>
                <w:rFonts w:ascii="Times New Roman"/>
                <w:szCs w:val="21"/>
              </w:rPr>
            </w:pPr>
            <w:r>
              <w:rPr>
                <w:rFonts w:ascii="Times New Roman"/>
                <w:szCs w:val="21"/>
              </w:rPr>
              <w:t>36</w:t>
            </w:r>
          </w:p>
        </w:tc>
        <w:tc>
          <w:tcPr>
            <w:tcW w:w="1263" w:type="dxa"/>
            <w:vAlign w:val="center"/>
          </w:tcPr>
          <w:p w14:paraId="318CDF1E">
            <w:pPr>
              <w:pStyle w:val="70"/>
              <w:spacing w:beforeLines="0" w:afterLines="0" w:line="240" w:lineRule="auto"/>
              <w:rPr>
                <w:rFonts w:ascii="Times New Roman"/>
                <w:szCs w:val="21"/>
              </w:rPr>
            </w:pPr>
            <w:r>
              <w:rPr>
                <w:rFonts w:ascii="Times New Roman"/>
                <w:szCs w:val="21"/>
              </w:rPr>
              <w:t>0</w:t>
            </w:r>
          </w:p>
        </w:tc>
        <w:tc>
          <w:tcPr>
            <w:tcW w:w="1683" w:type="dxa"/>
            <w:vAlign w:val="center"/>
          </w:tcPr>
          <w:p w14:paraId="045841D1">
            <w:pPr>
              <w:pStyle w:val="70"/>
              <w:spacing w:beforeLines="0" w:afterLines="0" w:line="240" w:lineRule="auto"/>
              <w:rPr>
                <w:rFonts w:ascii="Times New Roman"/>
                <w:szCs w:val="21"/>
              </w:rPr>
            </w:pPr>
            <w:r>
              <w:rPr>
                <w:rFonts w:ascii="Times New Roman"/>
                <w:szCs w:val="21"/>
              </w:rPr>
              <w:t>0</w:t>
            </w:r>
          </w:p>
        </w:tc>
        <w:tc>
          <w:tcPr>
            <w:tcW w:w="1543" w:type="dxa"/>
            <w:vAlign w:val="center"/>
          </w:tcPr>
          <w:p w14:paraId="48E1A014">
            <w:pPr>
              <w:pStyle w:val="70"/>
              <w:spacing w:beforeLines="0" w:afterLines="0" w:line="240" w:lineRule="auto"/>
              <w:rPr>
                <w:rFonts w:ascii="Times New Roman"/>
                <w:snapToGrid w:val="0"/>
                <w:kern w:val="21"/>
                <w:szCs w:val="21"/>
              </w:rPr>
            </w:pPr>
            <w:r>
              <w:rPr>
                <w:rFonts w:ascii="Times New Roman"/>
                <w:szCs w:val="21"/>
              </w:rPr>
              <w:t>0</w:t>
            </w:r>
          </w:p>
        </w:tc>
        <w:tc>
          <w:tcPr>
            <w:tcW w:w="1743" w:type="dxa"/>
            <w:vAlign w:val="center"/>
          </w:tcPr>
          <w:p w14:paraId="12C6FF1A">
            <w:pPr>
              <w:pStyle w:val="70"/>
              <w:spacing w:beforeLines="0" w:afterLines="0" w:line="240" w:lineRule="auto"/>
              <w:rPr>
                <w:rFonts w:ascii="Times New Roman"/>
                <w:szCs w:val="21"/>
              </w:rPr>
            </w:pPr>
            <w:r>
              <w:rPr>
                <w:rFonts w:ascii="Times New Roman"/>
                <w:szCs w:val="21"/>
              </w:rPr>
              <w:t>0</w:t>
            </w:r>
          </w:p>
        </w:tc>
        <w:tc>
          <w:tcPr>
            <w:tcW w:w="1727" w:type="dxa"/>
            <w:vAlign w:val="center"/>
          </w:tcPr>
          <w:p w14:paraId="77354822">
            <w:pPr>
              <w:pStyle w:val="70"/>
              <w:spacing w:beforeLines="0" w:afterLines="0" w:line="240" w:lineRule="auto"/>
              <w:rPr>
                <w:rFonts w:ascii="Times New Roman"/>
                <w:szCs w:val="21"/>
              </w:rPr>
            </w:pPr>
            <w:r>
              <w:rPr>
                <w:rFonts w:ascii="Times New Roman"/>
                <w:szCs w:val="21"/>
              </w:rPr>
              <w:t>36</w:t>
            </w:r>
          </w:p>
        </w:tc>
        <w:tc>
          <w:tcPr>
            <w:tcW w:w="1029" w:type="dxa"/>
            <w:vAlign w:val="center"/>
          </w:tcPr>
          <w:p w14:paraId="521D2953">
            <w:pPr>
              <w:pStyle w:val="70"/>
              <w:spacing w:beforeLines="0" w:afterLines="0" w:line="240" w:lineRule="auto"/>
              <w:rPr>
                <w:rFonts w:ascii="Times New Roman"/>
                <w:szCs w:val="21"/>
              </w:rPr>
            </w:pPr>
            <w:r>
              <w:rPr>
                <w:rFonts w:ascii="Times New Roman"/>
                <w:szCs w:val="21"/>
              </w:rPr>
              <w:t>0</w:t>
            </w:r>
          </w:p>
        </w:tc>
      </w:tr>
      <w:tr w14:paraId="5F1832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4E25B821">
            <w:pPr>
              <w:pStyle w:val="70"/>
              <w:spacing w:beforeLines="0" w:afterLines="0" w:line="240" w:lineRule="auto"/>
              <w:rPr>
                <w:rFonts w:ascii="Times New Roman"/>
                <w:snapToGrid w:val="0"/>
                <w:kern w:val="21"/>
                <w:szCs w:val="21"/>
              </w:rPr>
            </w:pPr>
          </w:p>
        </w:tc>
        <w:tc>
          <w:tcPr>
            <w:tcW w:w="2410" w:type="dxa"/>
            <w:vAlign w:val="center"/>
          </w:tcPr>
          <w:p w14:paraId="1815B969">
            <w:pPr>
              <w:widowControl/>
              <w:jc w:val="center"/>
              <w:rPr>
                <w:kern w:val="0"/>
                <w:szCs w:val="21"/>
              </w:rPr>
            </w:pPr>
            <w:r>
              <w:rPr>
                <w:szCs w:val="21"/>
              </w:rPr>
              <w:t>废RO膜（HW13，900-015-13）</w:t>
            </w:r>
          </w:p>
        </w:tc>
        <w:tc>
          <w:tcPr>
            <w:tcW w:w="1405" w:type="dxa"/>
            <w:vAlign w:val="center"/>
          </w:tcPr>
          <w:p w14:paraId="1476A872">
            <w:pPr>
              <w:pStyle w:val="70"/>
              <w:spacing w:beforeLines="0" w:afterLines="0" w:line="240" w:lineRule="auto"/>
              <w:rPr>
                <w:rFonts w:ascii="Times New Roman"/>
                <w:szCs w:val="21"/>
              </w:rPr>
            </w:pPr>
            <w:r>
              <w:rPr>
                <w:rFonts w:ascii="Times New Roman"/>
                <w:szCs w:val="21"/>
              </w:rPr>
              <w:t>6</w:t>
            </w:r>
          </w:p>
        </w:tc>
        <w:tc>
          <w:tcPr>
            <w:tcW w:w="1263" w:type="dxa"/>
            <w:vAlign w:val="center"/>
          </w:tcPr>
          <w:p w14:paraId="2728D2D7">
            <w:pPr>
              <w:pStyle w:val="70"/>
              <w:spacing w:beforeLines="0" w:afterLines="0" w:line="240" w:lineRule="auto"/>
              <w:rPr>
                <w:rFonts w:ascii="Times New Roman"/>
                <w:szCs w:val="21"/>
              </w:rPr>
            </w:pPr>
            <w:r>
              <w:rPr>
                <w:rFonts w:ascii="Times New Roman"/>
                <w:szCs w:val="21"/>
              </w:rPr>
              <w:t>0</w:t>
            </w:r>
          </w:p>
        </w:tc>
        <w:tc>
          <w:tcPr>
            <w:tcW w:w="1683" w:type="dxa"/>
            <w:vAlign w:val="center"/>
          </w:tcPr>
          <w:p w14:paraId="642D4923">
            <w:pPr>
              <w:pStyle w:val="70"/>
              <w:spacing w:beforeLines="0" w:afterLines="0" w:line="240" w:lineRule="auto"/>
              <w:rPr>
                <w:rFonts w:ascii="Times New Roman"/>
                <w:szCs w:val="21"/>
              </w:rPr>
            </w:pPr>
            <w:r>
              <w:rPr>
                <w:rFonts w:ascii="Times New Roman"/>
                <w:szCs w:val="21"/>
              </w:rPr>
              <w:t>0</w:t>
            </w:r>
          </w:p>
        </w:tc>
        <w:tc>
          <w:tcPr>
            <w:tcW w:w="1543" w:type="dxa"/>
            <w:vAlign w:val="center"/>
          </w:tcPr>
          <w:p w14:paraId="385BA50C">
            <w:pPr>
              <w:pStyle w:val="70"/>
              <w:spacing w:beforeLines="0" w:afterLines="0" w:line="240" w:lineRule="auto"/>
              <w:rPr>
                <w:rFonts w:ascii="Times New Roman"/>
                <w:snapToGrid w:val="0"/>
                <w:kern w:val="21"/>
                <w:szCs w:val="21"/>
              </w:rPr>
            </w:pPr>
            <w:r>
              <w:rPr>
                <w:rFonts w:ascii="Times New Roman"/>
                <w:szCs w:val="21"/>
              </w:rPr>
              <w:t>0</w:t>
            </w:r>
          </w:p>
        </w:tc>
        <w:tc>
          <w:tcPr>
            <w:tcW w:w="1743" w:type="dxa"/>
            <w:vAlign w:val="center"/>
          </w:tcPr>
          <w:p w14:paraId="2ED79554">
            <w:pPr>
              <w:pStyle w:val="70"/>
              <w:spacing w:beforeLines="0" w:afterLines="0" w:line="240" w:lineRule="auto"/>
              <w:rPr>
                <w:rFonts w:ascii="Times New Roman"/>
                <w:snapToGrid w:val="0"/>
                <w:kern w:val="21"/>
                <w:szCs w:val="21"/>
              </w:rPr>
            </w:pPr>
            <w:r>
              <w:rPr>
                <w:rFonts w:ascii="Times New Roman"/>
                <w:szCs w:val="21"/>
              </w:rPr>
              <w:t>0</w:t>
            </w:r>
          </w:p>
        </w:tc>
        <w:tc>
          <w:tcPr>
            <w:tcW w:w="1727" w:type="dxa"/>
            <w:vAlign w:val="center"/>
          </w:tcPr>
          <w:p w14:paraId="1F88746F">
            <w:pPr>
              <w:pStyle w:val="70"/>
              <w:spacing w:beforeLines="0" w:afterLines="0" w:line="240" w:lineRule="auto"/>
              <w:rPr>
                <w:rFonts w:ascii="Times New Roman"/>
                <w:szCs w:val="21"/>
              </w:rPr>
            </w:pPr>
            <w:r>
              <w:rPr>
                <w:rFonts w:ascii="Times New Roman"/>
                <w:szCs w:val="21"/>
              </w:rPr>
              <w:t>6</w:t>
            </w:r>
          </w:p>
        </w:tc>
        <w:tc>
          <w:tcPr>
            <w:tcW w:w="1029" w:type="dxa"/>
            <w:vAlign w:val="center"/>
          </w:tcPr>
          <w:p w14:paraId="50E793A6">
            <w:pPr>
              <w:pStyle w:val="70"/>
              <w:spacing w:beforeLines="0" w:afterLines="0" w:line="240" w:lineRule="auto"/>
              <w:rPr>
                <w:rFonts w:ascii="Times New Roman"/>
                <w:szCs w:val="21"/>
              </w:rPr>
            </w:pPr>
            <w:r>
              <w:rPr>
                <w:rFonts w:ascii="Times New Roman"/>
                <w:szCs w:val="21"/>
              </w:rPr>
              <w:t>0</w:t>
            </w:r>
          </w:p>
        </w:tc>
      </w:tr>
      <w:tr w14:paraId="6C7FAB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3E573C1C">
            <w:pPr>
              <w:pStyle w:val="70"/>
              <w:spacing w:beforeLines="0" w:afterLines="0" w:line="240" w:lineRule="auto"/>
              <w:rPr>
                <w:rFonts w:ascii="Times New Roman"/>
                <w:snapToGrid w:val="0"/>
                <w:kern w:val="21"/>
                <w:szCs w:val="21"/>
              </w:rPr>
            </w:pPr>
          </w:p>
        </w:tc>
        <w:tc>
          <w:tcPr>
            <w:tcW w:w="2410" w:type="dxa"/>
            <w:vAlign w:val="center"/>
          </w:tcPr>
          <w:p w14:paraId="33A9DA8F">
            <w:pPr>
              <w:widowControl/>
              <w:jc w:val="center"/>
              <w:rPr>
                <w:kern w:val="0"/>
                <w:szCs w:val="21"/>
              </w:rPr>
            </w:pPr>
            <w:r>
              <w:rPr>
                <w:szCs w:val="21"/>
              </w:rPr>
              <w:t>废电路板（HW49，900-045-49）</w:t>
            </w:r>
          </w:p>
        </w:tc>
        <w:tc>
          <w:tcPr>
            <w:tcW w:w="1405" w:type="dxa"/>
            <w:vAlign w:val="center"/>
          </w:tcPr>
          <w:p w14:paraId="1632785E">
            <w:pPr>
              <w:pStyle w:val="70"/>
              <w:spacing w:beforeLines="0" w:afterLines="0" w:line="240" w:lineRule="auto"/>
              <w:rPr>
                <w:rFonts w:ascii="Times New Roman"/>
                <w:szCs w:val="21"/>
              </w:rPr>
            </w:pPr>
            <w:r>
              <w:rPr>
                <w:rFonts w:ascii="Times New Roman"/>
                <w:szCs w:val="21"/>
              </w:rPr>
              <w:t>2</w:t>
            </w:r>
          </w:p>
        </w:tc>
        <w:tc>
          <w:tcPr>
            <w:tcW w:w="1263" w:type="dxa"/>
            <w:vAlign w:val="center"/>
          </w:tcPr>
          <w:p w14:paraId="29406E83">
            <w:pPr>
              <w:pStyle w:val="70"/>
              <w:spacing w:beforeLines="0" w:afterLines="0" w:line="240" w:lineRule="auto"/>
              <w:rPr>
                <w:rFonts w:ascii="Times New Roman"/>
                <w:szCs w:val="21"/>
              </w:rPr>
            </w:pPr>
            <w:r>
              <w:rPr>
                <w:rFonts w:ascii="Times New Roman"/>
                <w:szCs w:val="21"/>
              </w:rPr>
              <w:t>0</w:t>
            </w:r>
          </w:p>
        </w:tc>
        <w:tc>
          <w:tcPr>
            <w:tcW w:w="1683" w:type="dxa"/>
            <w:vAlign w:val="center"/>
          </w:tcPr>
          <w:p w14:paraId="27DC728E">
            <w:pPr>
              <w:pStyle w:val="70"/>
              <w:spacing w:beforeLines="0" w:afterLines="0" w:line="240" w:lineRule="auto"/>
              <w:rPr>
                <w:rFonts w:ascii="Times New Roman"/>
                <w:szCs w:val="21"/>
              </w:rPr>
            </w:pPr>
            <w:r>
              <w:rPr>
                <w:rFonts w:ascii="Times New Roman"/>
                <w:szCs w:val="21"/>
              </w:rPr>
              <w:t>0</w:t>
            </w:r>
          </w:p>
        </w:tc>
        <w:tc>
          <w:tcPr>
            <w:tcW w:w="1543" w:type="dxa"/>
            <w:vAlign w:val="center"/>
          </w:tcPr>
          <w:p w14:paraId="4F2378B1">
            <w:pPr>
              <w:pStyle w:val="70"/>
              <w:spacing w:beforeLines="0" w:afterLines="0" w:line="240" w:lineRule="auto"/>
              <w:rPr>
                <w:rFonts w:ascii="Times New Roman"/>
                <w:snapToGrid w:val="0"/>
                <w:kern w:val="21"/>
                <w:szCs w:val="21"/>
              </w:rPr>
            </w:pPr>
            <w:r>
              <w:rPr>
                <w:rFonts w:ascii="Times New Roman"/>
                <w:szCs w:val="21"/>
              </w:rPr>
              <w:t>0</w:t>
            </w:r>
          </w:p>
        </w:tc>
        <w:tc>
          <w:tcPr>
            <w:tcW w:w="1743" w:type="dxa"/>
            <w:vAlign w:val="center"/>
          </w:tcPr>
          <w:p w14:paraId="1EDA069A">
            <w:pPr>
              <w:pStyle w:val="70"/>
              <w:spacing w:beforeLines="0" w:afterLines="0" w:line="240" w:lineRule="auto"/>
              <w:rPr>
                <w:rFonts w:ascii="Times New Roman"/>
                <w:snapToGrid w:val="0"/>
                <w:kern w:val="21"/>
                <w:szCs w:val="21"/>
              </w:rPr>
            </w:pPr>
            <w:r>
              <w:rPr>
                <w:rFonts w:ascii="Times New Roman"/>
                <w:szCs w:val="21"/>
              </w:rPr>
              <w:t>0</w:t>
            </w:r>
          </w:p>
        </w:tc>
        <w:tc>
          <w:tcPr>
            <w:tcW w:w="1727" w:type="dxa"/>
            <w:vAlign w:val="center"/>
          </w:tcPr>
          <w:p w14:paraId="2D3C15CB">
            <w:pPr>
              <w:pStyle w:val="70"/>
              <w:spacing w:beforeLines="0" w:afterLines="0" w:line="240" w:lineRule="auto"/>
              <w:rPr>
                <w:rFonts w:ascii="Times New Roman"/>
                <w:szCs w:val="21"/>
              </w:rPr>
            </w:pPr>
            <w:r>
              <w:rPr>
                <w:rFonts w:ascii="Times New Roman"/>
                <w:szCs w:val="21"/>
              </w:rPr>
              <w:t>2</w:t>
            </w:r>
          </w:p>
        </w:tc>
        <w:tc>
          <w:tcPr>
            <w:tcW w:w="1029" w:type="dxa"/>
            <w:vAlign w:val="center"/>
          </w:tcPr>
          <w:p w14:paraId="751CCA09">
            <w:pPr>
              <w:pStyle w:val="70"/>
              <w:spacing w:beforeLines="0" w:afterLines="0" w:line="240" w:lineRule="auto"/>
              <w:rPr>
                <w:rFonts w:ascii="Times New Roman"/>
                <w:szCs w:val="21"/>
              </w:rPr>
            </w:pPr>
            <w:r>
              <w:rPr>
                <w:rFonts w:ascii="Times New Roman"/>
                <w:szCs w:val="21"/>
              </w:rPr>
              <w:t>0</w:t>
            </w:r>
          </w:p>
        </w:tc>
      </w:tr>
      <w:tr w14:paraId="2D2F02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78E0BE60">
            <w:pPr>
              <w:pStyle w:val="70"/>
              <w:spacing w:beforeLines="0" w:afterLines="0" w:line="240" w:lineRule="auto"/>
              <w:rPr>
                <w:rFonts w:ascii="Times New Roman"/>
                <w:snapToGrid w:val="0"/>
                <w:kern w:val="21"/>
                <w:szCs w:val="21"/>
              </w:rPr>
            </w:pPr>
          </w:p>
        </w:tc>
        <w:tc>
          <w:tcPr>
            <w:tcW w:w="2410" w:type="dxa"/>
            <w:vAlign w:val="center"/>
          </w:tcPr>
          <w:p w14:paraId="60F46F38">
            <w:pPr>
              <w:widowControl/>
              <w:jc w:val="center"/>
              <w:rPr>
                <w:kern w:val="0"/>
                <w:szCs w:val="21"/>
              </w:rPr>
            </w:pPr>
            <w:r>
              <w:rPr>
                <w:szCs w:val="21"/>
              </w:rPr>
              <w:t>过期药品（HW03，900-002-03）</w:t>
            </w:r>
          </w:p>
        </w:tc>
        <w:tc>
          <w:tcPr>
            <w:tcW w:w="1405" w:type="dxa"/>
            <w:vAlign w:val="center"/>
          </w:tcPr>
          <w:p w14:paraId="1C5BAB69">
            <w:pPr>
              <w:pStyle w:val="70"/>
              <w:spacing w:beforeLines="0" w:afterLines="0" w:line="240" w:lineRule="auto"/>
              <w:rPr>
                <w:rFonts w:ascii="Times New Roman"/>
                <w:szCs w:val="21"/>
              </w:rPr>
            </w:pPr>
            <w:r>
              <w:rPr>
                <w:rFonts w:ascii="Times New Roman"/>
                <w:szCs w:val="21"/>
              </w:rPr>
              <w:t>0.1</w:t>
            </w:r>
          </w:p>
        </w:tc>
        <w:tc>
          <w:tcPr>
            <w:tcW w:w="1263" w:type="dxa"/>
            <w:vAlign w:val="center"/>
          </w:tcPr>
          <w:p w14:paraId="03CB9C7C">
            <w:pPr>
              <w:pStyle w:val="70"/>
              <w:spacing w:beforeLines="0" w:afterLines="0" w:line="240" w:lineRule="auto"/>
              <w:rPr>
                <w:rFonts w:ascii="Times New Roman"/>
                <w:szCs w:val="21"/>
              </w:rPr>
            </w:pPr>
            <w:r>
              <w:rPr>
                <w:rFonts w:ascii="Times New Roman"/>
                <w:szCs w:val="21"/>
              </w:rPr>
              <w:t>0</w:t>
            </w:r>
          </w:p>
        </w:tc>
        <w:tc>
          <w:tcPr>
            <w:tcW w:w="1683" w:type="dxa"/>
            <w:vAlign w:val="center"/>
          </w:tcPr>
          <w:p w14:paraId="353F0382">
            <w:pPr>
              <w:pStyle w:val="70"/>
              <w:spacing w:beforeLines="0" w:afterLines="0" w:line="240" w:lineRule="auto"/>
              <w:rPr>
                <w:rFonts w:ascii="Times New Roman"/>
                <w:szCs w:val="21"/>
              </w:rPr>
            </w:pPr>
            <w:r>
              <w:rPr>
                <w:rFonts w:ascii="Times New Roman"/>
                <w:szCs w:val="21"/>
              </w:rPr>
              <w:t>0</w:t>
            </w:r>
          </w:p>
        </w:tc>
        <w:tc>
          <w:tcPr>
            <w:tcW w:w="1543" w:type="dxa"/>
            <w:vAlign w:val="center"/>
          </w:tcPr>
          <w:p w14:paraId="4D76707C">
            <w:pPr>
              <w:pStyle w:val="70"/>
              <w:spacing w:beforeLines="0" w:afterLines="0" w:line="240" w:lineRule="auto"/>
              <w:rPr>
                <w:rFonts w:ascii="Times New Roman"/>
                <w:snapToGrid w:val="0"/>
                <w:kern w:val="21"/>
                <w:szCs w:val="21"/>
              </w:rPr>
            </w:pPr>
            <w:r>
              <w:rPr>
                <w:rFonts w:ascii="Times New Roman"/>
                <w:szCs w:val="21"/>
              </w:rPr>
              <w:t>0</w:t>
            </w:r>
          </w:p>
        </w:tc>
        <w:tc>
          <w:tcPr>
            <w:tcW w:w="1743" w:type="dxa"/>
            <w:vAlign w:val="center"/>
          </w:tcPr>
          <w:p w14:paraId="53C63237">
            <w:pPr>
              <w:pStyle w:val="70"/>
              <w:spacing w:beforeLines="0" w:afterLines="0" w:line="240" w:lineRule="auto"/>
              <w:rPr>
                <w:rFonts w:ascii="Times New Roman"/>
                <w:snapToGrid w:val="0"/>
                <w:kern w:val="21"/>
                <w:szCs w:val="21"/>
              </w:rPr>
            </w:pPr>
            <w:r>
              <w:rPr>
                <w:rFonts w:ascii="Times New Roman"/>
                <w:szCs w:val="21"/>
              </w:rPr>
              <w:t>0</w:t>
            </w:r>
          </w:p>
        </w:tc>
        <w:tc>
          <w:tcPr>
            <w:tcW w:w="1727" w:type="dxa"/>
            <w:vAlign w:val="center"/>
          </w:tcPr>
          <w:p w14:paraId="75815AC5">
            <w:pPr>
              <w:pStyle w:val="70"/>
              <w:spacing w:beforeLines="0" w:afterLines="0" w:line="240" w:lineRule="auto"/>
              <w:rPr>
                <w:rFonts w:ascii="Times New Roman"/>
                <w:szCs w:val="21"/>
              </w:rPr>
            </w:pPr>
            <w:r>
              <w:rPr>
                <w:rFonts w:ascii="Times New Roman"/>
                <w:szCs w:val="21"/>
              </w:rPr>
              <w:t>0.1</w:t>
            </w:r>
          </w:p>
        </w:tc>
        <w:tc>
          <w:tcPr>
            <w:tcW w:w="1029" w:type="dxa"/>
            <w:vAlign w:val="center"/>
          </w:tcPr>
          <w:p w14:paraId="7E841BE4">
            <w:pPr>
              <w:pStyle w:val="70"/>
              <w:spacing w:beforeLines="0" w:afterLines="0" w:line="240" w:lineRule="auto"/>
              <w:rPr>
                <w:rFonts w:ascii="Times New Roman"/>
                <w:szCs w:val="21"/>
              </w:rPr>
            </w:pPr>
            <w:r>
              <w:rPr>
                <w:rFonts w:ascii="Times New Roman"/>
                <w:szCs w:val="21"/>
              </w:rPr>
              <w:t>0</w:t>
            </w:r>
          </w:p>
        </w:tc>
      </w:tr>
      <w:tr w14:paraId="048447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7F7CC82A">
            <w:pPr>
              <w:pStyle w:val="70"/>
              <w:spacing w:beforeLines="0" w:afterLines="0" w:line="240" w:lineRule="auto"/>
              <w:rPr>
                <w:rFonts w:ascii="Times New Roman"/>
                <w:snapToGrid w:val="0"/>
                <w:kern w:val="21"/>
                <w:szCs w:val="21"/>
              </w:rPr>
            </w:pPr>
          </w:p>
        </w:tc>
        <w:tc>
          <w:tcPr>
            <w:tcW w:w="2410" w:type="dxa"/>
            <w:vAlign w:val="center"/>
          </w:tcPr>
          <w:p w14:paraId="7117F8C7">
            <w:pPr>
              <w:widowControl/>
              <w:jc w:val="center"/>
              <w:rPr>
                <w:kern w:val="0"/>
                <w:szCs w:val="21"/>
              </w:rPr>
            </w:pPr>
            <w:r>
              <w:rPr>
                <w:szCs w:val="21"/>
              </w:rPr>
              <w:t>废日光灯管（HW29，900-023-29）</w:t>
            </w:r>
          </w:p>
        </w:tc>
        <w:tc>
          <w:tcPr>
            <w:tcW w:w="1405" w:type="dxa"/>
            <w:vAlign w:val="center"/>
          </w:tcPr>
          <w:p w14:paraId="3FAFDE82">
            <w:pPr>
              <w:pStyle w:val="70"/>
              <w:spacing w:beforeLines="0" w:afterLines="0" w:line="240" w:lineRule="auto"/>
              <w:rPr>
                <w:rFonts w:ascii="Times New Roman"/>
                <w:szCs w:val="21"/>
              </w:rPr>
            </w:pPr>
            <w:r>
              <w:rPr>
                <w:rFonts w:ascii="Times New Roman"/>
                <w:szCs w:val="21"/>
              </w:rPr>
              <w:t>2</w:t>
            </w:r>
          </w:p>
        </w:tc>
        <w:tc>
          <w:tcPr>
            <w:tcW w:w="1263" w:type="dxa"/>
            <w:vAlign w:val="center"/>
          </w:tcPr>
          <w:p w14:paraId="58F7F093">
            <w:pPr>
              <w:pStyle w:val="70"/>
              <w:spacing w:beforeLines="0" w:afterLines="0" w:line="240" w:lineRule="auto"/>
              <w:rPr>
                <w:rFonts w:ascii="Times New Roman"/>
                <w:szCs w:val="21"/>
              </w:rPr>
            </w:pPr>
            <w:r>
              <w:rPr>
                <w:rFonts w:ascii="Times New Roman"/>
                <w:szCs w:val="21"/>
              </w:rPr>
              <w:t>0</w:t>
            </w:r>
          </w:p>
        </w:tc>
        <w:tc>
          <w:tcPr>
            <w:tcW w:w="1683" w:type="dxa"/>
            <w:vAlign w:val="center"/>
          </w:tcPr>
          <w:p w14:paraId="3AD51EF4">
            <w:pPr>
              <w:pStyle w:val="70"/>
              <w:spacing w:beforeLines="0" w:afterLines="0" w:line="240" w:lineRule="auto"/>
              <w:rPr>
                <w:rFonts w:ascii="Times New Roman"/>
                <w:szCs w:val="21"/>
              </w:rPr>
            </w:pPr>
            <w:r>
              <w:rPr>
                <w:rFonts w:ascii="Times New Roman"/>
                <w:szCs w:val="21"/>
              </w:rPr>
              <w:t>0</w:t>
            </w:r>
          </w:p>
        </w:tc>
        <w:tc>
          <w:tcPr>
            <w:tcW w:w="1543" w:type="dxa"/>
            <w:vAlign w:val="center"/>
          </w:tcPr>
          <w:p w14:paraId="1D115188">
            <w:pPr>
              <w:pStyle w:val="70"/>
              <w:spacing w:beforeLines="0" w:afterLines="0" w:line="240" w:lineRule="auto"/>
              <w:rPr>
                <w:rFonts w:ascii="Times New Roman"/>
                <w:snapToGrid w:val="0"/>
                <w:kern w:val="21"/>
                <w:szCs w:val="21"/>
              </w:rPr>
            </w:pPr>
            <w:r>
              <w:rPr>
                <w:rFonts w:ascii="Times New Roman"/>
                <w:szCs w:val="21"/>
              </w:rPr>
              <w:t>0</w:t>
            </w:r>
          </w:p>
        </w:tc>
        <w:tc>
          <w:tcPr>
            <w:tcW w:w="1743" w:type="dxa"/>
            <w:vAlign w:val="center"/>
          </w:tcPr>
          <w:p w14:paraId="3C718E8C">
            <w:pPr>
              <w:pStyle w:val="70"/>
              <w:spacing w:beforeLines="0" w:afterLines="0" w:line="240" w:lineRule="auto"/>
              <w:rPr>
                <w:rFonts w:ascii="Times New Roman"/>
                <w:snapToGrid w:val="0"/>
                <w:kern w:val="21"/>
                <w:szCs w:val="21"/>
              </w:rPr>
            </w:pPr>
            <w:r>
              <w:rPr>
                <w:rFonts w:ascii="Times New Roman"/>
                <w:szCs w:val="21"/>
              </w:rPr>
              <w:t>0</w:t>
            </w:r>
          </w:p>
        </w:tc>
        <w:tc>
          <w:tcPr>
            <w:tcW w:w="1727" w:type="dxa"/>
            <w:vAlign w:val="center"/>
          </w:tcPr>
          <w:p w14:paraId="6B7656EA">
            <w:pPr>
              <w:pStyle w:val="70"/>
              <w:spacing w:beforeLines="0" w:afterLines="0" w:line="240" w:lineRule="auto"/>
              <w:rPr>
                <w:rFonts w:ascii="Times New Roman"/>
                <w:szCs w:val="21"/>
              </w:rPr>
            </w:pPr>
            <w:r>
              <w:rPr>
                <w:rFonts w:ascii="Times New Roman"/>
                <w:szCs w:val="21"/>
              </w:rPr>
              <w:t>2</w:t>
            </w:r>
          </w:p>
        </w:tc>
        <w:tc>
          <w:tcPr>
            <w:tcW w:w="1029" w:type="dxa"/>
            <w:vAlign w:val="center"/>
          </w:tcPr>
          <w:p w14:paraId="35F148D8">
            <w:pPr>
              <w:pStyle w:val="70"/>
              <w:spacing w:beforeLines="0" w:afterLines="0" w:line="240" w:lineRule="auto"/>
              <w:rPr>
                <w:rFonts w:ascii="Times New Roman"/>
                <w:szCs w:val="21"/>
              </w:rPr>
            </w:pPr>
            <w:r>
              <w:rPr>
                <w:rFonts w:ascii="Times New Roman"/>
                <w:szCs w:val="21"/>
              </w:rPr>
              <w:t>0</w:t>
            </w:r>
          </w:p>
        </w:tc>
      </w:tr>
      <w:tr w14:paraId="2FAA5A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61B5334E">
            <w:pPr>
              <w:pStyle w:val="70"/>
              <w:spacing w:beforeLines="0" w:afterLines="0" w:line="240" w:lineRule="auto"/>
              <w:rPr>
                <w:rFonts w:ascii="Times New Roman"/>
                <w:snapToGrid w:val="0"/>
                <w:kern w:val="21"/>
                <w:szCs w:val="21"/>
              </w:rPr>
            </w:pPr>
          </w:p>
        </w:tc>
        <w:tc>
          <w:tcPr>
            <w:tcW w:w="2410" w:type="dxa"/>
            <w:vAlign w:val="center"/>
          </w:tcPr>
          <w:p w14:paraId="7F7E2A33">
            <w:pPr>
              <w:widowControl/>
              <w:jc w:val="center"/>
              <w:rPr>
                <w:kern w:val="0"/>
                <w:szCs w:val="21"/>
              </w:rPr>
            </w:pPr>
            <w:r>
              <w:rPr>
                <w:szCs w:val="21"/>
              </w:rPr>
              <w:t>废乙二醇（HW06，900-404-06）</w:t>
            </w:r>
          </w:p>
        </w:tc>
        <w:tc>
          <w:tcPr>
            <w:tcW w:w="1405" w:type="dxa"/>
            <w:vAlign w:val="center"/>
          </w:tcPr>
          <w:p w14:paraId="2625D1D4">
            <w:pPr>
              <w:pStyle w:val="70"/>
              <w:spacing w:beforeLines="0" w:afterLines="0" w:line="240" w:lineRule="auto"/>
              <w:rPr>
                <w:rFonts w:ascii="Times New Roman"/>
                <w:szCs w:val="21"/>
              </w:rPr>
            </w:pPr>
            <w:r>
              <w:rPr>
                <w:rFonts w:ascii="Times New Roman"/>
                <w:szCs w:val="21"/>
              </w:rPr>
              <w:t>1000</w:t>
            </w:r>
          </w:p>
        </w:tc>
        <w:tc>
          <w:tcPr>
            <w:tcW w:w="1263" w:type="dxa"/>
            <w:vAlign w:val="center"/>
          </w:tcPr>
          <w:p w14:paraId="13EF69B1">
            <w:pPr>
              <w:pStyle w:val="70"/>
              <w:spacing w:beforeLines="0" w:afterLines="0" w:line="240" w:lineRule="auto"/>
              <w:rPr>
                <w:rFonts w:ascii="Times New Roman"/>
                <w:szCs w:val="21"/>
              </w:rPr>
            </w:pPr>
            <w:r>
              <w:rPr>
                <w:rFonts w:ascii="Times New Roman"/>
                <w:szCs w:val="21"/>
              </w:rPr>
              <w:t>0</w:t>
            </w:r>
          </w:p>
        </w:tc>
        <w:tc>
          <w:tcPr>
            <w:tcW w:w="1683" w:type="dxa"/>
            <w:vAlign w:val="center"/>
          </w:tcPr>
          <w:p w14:paraId="62B65D34">
            <w:pPr>
              <w:pStyle w:val="70"/>
              <w:spacing w:beforeLines="0" w:afterLines="0" w:line="240" w:lineRule="auto"/>
              <w:rPr>
                <w:rFonts w:ascii="Times New Roman"/>
                <w:szCs w:val="21"/>
              </w:rPr>
            </w:pPr>
            <w:r>
              <w:rPr>
                <w:rFonts w:ascii="Times New Roman"/>
                <w:szCs w:val="21"/>
              </w:rPr>
              <w:t>0</w:t>
            </w:r>
          </w:p>
        </w:tc>
        <w:tc>
          <w:tcPr>
            <w:tcW w:w="1543" w:type="dxa"/>
            <w:vAlign w:val="center"/>
          </w:tcPr>
          <w:p w14:paraId="09226CAF">
            <w:pPr>
              <w:pStyle w:val="70"/>
              <w:spacing w:beforeLines="0" w:afterLines="0" w:line="240" w:lineRule="auto"/>
              <w:rPr>
                <w:rFonts w:ascii="Times New Roman"/>
                <w:snapToGrid w:val="0"/>
                <w:kern w:val="21"/>
                <w:szCs w:val="21"/>
              </w:rPr>
            </w:pPr>
            <w:r>
              <w:rPr>
                <w:rFonts w:ascii="Times New Roman"/>
                <w:szCs w:val="21"/>
              </w:rPr>
              <w:t>0</w:t>
            </w:r>
          </w:p>
        </w:tc>
        <w:tc>
          <w:tcPr>
            <w:tcW w:w="1743" w:type="dxa"/>
            <w:vAlign w:val="center"/>
          </w:tcPr>
          <w:p w14:paraId="08B0326B">
            <w:pPr>
              <w:pStyle w:val="70"/>
              <w:spacing w:beforeLines="0" w:afterLines="0" w:line="240" w:lineRule="auto"/>
              <w:rPr>
                <w:rFonts w:ascii="Times New Roman"/>
                <w:snapToGrid w:val="0"/>
                <w:kern w:val="21"/>
                <w:szCs w:val="21"/>
              </w:rPr>
            </w:pPr>
            <w:r>
              <w:rPr>
                <w:rFonts w:ascii="Times New Roman"/>
                <w:szCs w:val="21"/>
              </w:rPr>
              <w:t>0</w:t>
            </w:r>
          </w:p>
        </w:tc>
        <w:tc>
          <w:tcPr>
            <w:tcW w:w="1727" w:type="dxa"/>
            <w:vAlign w:val="center"/>
          </w:tcPr>
          <w:p w14:paraId="6A8AF93A">
            <w:pPr>
              <w:pStyle w:val="70"/>
              <w:spacing w:beforeLines="0" w:afterLines="0" w:line="240" w:lineRule="auto"/>
              <w:rPr>
                <w:rFonts w:ascii="Times New Roman"/>
                <w:szCs w:val="21"/>
              </w:rPr>
            </w:pPr>
            <w:r>
              <w:rPr>
                <w:rFonts w:ascii="Times New Roman"/>
                <w:szCs w:val="21"/>
              </w:rPr>
              <w:t>1000</w:t>
            </w:r>
          </w:p>
        </w:tc>
        <w:tc>
          <w:tcPr>
            <w:tcW w:w="1029" w:type="dxa"/>
            <w:vAlign w:val="center"/>
          </w:tcPr>
          <w:p w14:paraId="70881569">
            <w:pPr>
              <w:pStyle w:val="70"/>
              <w:spacing w:beforeLines="0" w:afterLines="0" w:line="240" w:lineRule="auto"/>
              <w:rPr>
                <w:rFonts w:ascii="Times New Roman"/>
                <w:szCs w:val="21"/>
              </w:rPr>
            </w:pPr>
            <w:r>
              <w:rPr>
                <w:rFonts w:ascii="Times New Roman"/>
                <w:szCs w:val="21"/>
              </w:rPr>
              <w:t>0</w:t>
            </w:r>
          </w:p>
        </w:tc>
      </w:tr>
      <w:tr w14:paraId="616C01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35533683">
            <w:pPr>
              <w:pStyle w:val="70"/>
              <w:spacing w:beforeLines="0" w:afterLines="0" w:line="240" w:lineRule="auto"/>
              <w:rPr>
                <w:rFonts w:ascii="Times New Roman"/>
                <w:snapToGrid w:val="0"/>
                <w:kern w:val="21"/>
                <w:szCs w:val="21"/>
              </w:rPr>
            </w:pPr>
          </w:p>
        </w:tc>
        <w:tc>
          <w:tcPr>
            <w:tcW w:w="2410" w:type="dxa"/>
            <w:vAlign w:val="center"/>
          </w:tcPr>
          <w:p w14:paraId="545F0D37">
            <w:pPr>
              <w:widowControl/>
              <w:jc w:val="center"/>
              <w:rPr>
                <w:kern w:val="0"/>
                <w:szCs w:val="21"/>
              </w:rPr>
            </w:pPr>
            <w:r>
              <w:rPr>
                <w:szCs w:val="21"/>
              </w:rPr>
              <w:t>废油（HW08，900-249-08）</w:t>
            </w:r>
          </w:p>
        </w:tc>
        <w:tc>
          <w:tcPr>
            <w:tcW w:w="1405" w:type="dxa"/>
            <w:vAlign w:val="center"/>
          </w:tcPr>
          <w:p w14:paraId="5D8AD7B6">
            <w:pPr>
              <w:pStyle w:val="70"/>
              <w:spacing w:beforeLines="0" w:afterLines="0" w:line="240" w:lineRule="auto"/>
              <w:rPr>
                <w:rFonts w:ascii="Times New Roman"/>
                <w:szCs w:val="21"/>
              </w:rPr>
            </w:pPr>
            <w:r>
              <w:rPr>
                <w:rFonts w:ascii="Times New Roman"/>
                <w:szCs w:val="21"/>
              </w:rPr>
              <w:t>250</w:t>
            </w:r>
          </w:p>
        </w:tc>
        <w:tc>
          <w:tcPr>
            <w:tcW w:w="1263" w:type="dxa"/>
            <w:vAlign w:val="center"/>
          </w:tcPr>
          <w:p w14:paraId="32824E10">
            <w:pPr>
              <w:pStyle w:val="70"/>
              <w:spacing w:beforeLines="0" w:afterLines="0" w:line="240" w:lineRule="auto"/>
              <w:rPr>
                <w:rFonts w:ascii="Times New Roman"/>
                <w:szCs w:val="21"/>
              </w:rPr>
            </w:pPr>
            <w:r>
              <w:rPr>
                <w:rFonts w:ascii="Times New Roman"/>
                <w:szCs w:val="21"/>
              </w:rPr>
              <w:t>0</w:t>
            </w:r>
          </w:p>
        </w:tc>
        <w:tc>
          <w:tcPr>
            <w:tcW w:w="1683" w:type="dxa"/>
            <w:vAlign w:val="center"/>
          </w:tcPr>
          <w:p w14:paraId="4BF999B2">
            <w:pPr>
              <w:pStyle w:val="70"/>
              <w:spacing w:beforeLines="0" w:afterLines="0" w:line="240" w:lineRule="auto"/>
              <w:rPr>
                <w:rFonts w:ascii="Times New Roman"/>
                <w:szCs w:val="21"/>
              </w:rPr>
            </w:pPr>
            <w:r>
              <w:rPr>
                <w:rFonts w:ascii="Times New Roman"/>
                <w:szCs w:val="21"/>
              </w:rPr>
              <w:t>0</w:t>
            </w:r>
          </w:p>
        </w:tc>
        <w:tc>
          <w:tcPr>
            <w:tcW w:w="1543" w:type="dxa"/>
            <w:vAlign w:val="center"/>
          </w:tcPr>
          <w:p w14:paraId="418A325B">
            <w:pPr>
              <w:pStyle w:val="70"/>
              <w:spacing w:beforeLines="0" w:afterLines="0" w:line="240" w:lineRule="auto"/>
              <w:rPr>
                <w:rFonts w:ascii="Times New Roman"/>
                <w:snapToGrid w:val="0"/>
                <w:kern w:val="21"/>
                <w:szCs w:val="21"/>
              </w:rPr>
            </w:pPr>
            <w:r>
              <w:rPr>
                <w:rFonts w:ascii="Times New Roman"/>
                <w:szCs w:val="21"/>
              </w:rPr>
              <w:t>0</w:t>
            </w:r>
          </w:p>
        </w:tc>
        <w:tc>
          <w:tcPr>
            <w:tcW w:w="1743" w:type="dxa"/>
            <w:vAlign w:val="center"/>
          </w:tcPr>
          <w:p w14:paraId="6DBAAE17">
            <w:pPr>
              <w:pStyle w:val="70"/>
              <w:spacing w:beforeLines="0" w:afterLines="0" w:line="240" w:lineRule="auto"/>
              <w:rPr>
                <w:rFonts w:ascii="Times New Roman"/>
                <w:snapToGrid w:val="0"/>
                <w:kern w:val="21"/>
                <w:szCs w:val="21"/>
              </w:rPr>
            </w:pPr>
            <w:r>
              <w:rPr>
                <w:rFonts w:ascii="Times New Roman"/>
                <w:szCs w:val="21"/>
              </w:rPr>
              <w:t>0</w:t>
            </w:r>
          </w:p>
        </w:tc>
        <w:tc>
          <w:tcPr>
            <w:tcW w:w="1727" w:type="dxa"/>
            <w:vAlign w:val="center"/>
          </w:tcPr>
          <w:p w14:paraId="2DB58AD0">
            <w:pPr>
              <w:pStyle w:val="70"/>
              <w:spacing w:beforeLines="0" w:afterLines="0" w:line="240" w:lineRule="auto"/>
              <w:rPr>
                <w:rFonts w:ascii="Times New Roman"/>
                <w:szCs w:val="21"/>
              </w:rPr>
            </w:pPr>
            <w:r>
              <w:rPr>
                <w:rFonts w:ascii="Times New Roman"/>
                <w:szCs w:val="21"/>
              </w:rPr>
              <w:t>250</w:t>
            </w:r>
          </w:p>
        </w:tc>
        <w:tc>
          <w:tcPr>
            <w:tcW w:w="1029" w:type="dxa"/>
            <w:vAlign w:val="center"/>
          </w:tcPr>
          <w:p w14:paraId="289B1B1D">
            <w:pPr>
              <w:pStyle w:val="70"/>
              <w:spacing w:beforeLines="0" w:afterLines="0" w:line="240" w:lineRule="auto"/>
              <w:rPr>
                <w:rFonts w:ascii="Times New Roman"/>
                <w:szCs w:val="21"/>
              </w:rPr>
            </w:pPr>
            <w:r>
              <w:rPr>
                <w:rFonts w:ascii="Times New Roman"/>
                <w:szCs w:val="21"/>
              </w:rPr>
              <w:t>0</w:t>
            </w:r>
          </w:p>
        </w:tc>
      </w:tr>
      <w:tr w14:paraId="27AE59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077AB1AE">
            <w:pPr>
              <w:pStyle w:val="70"/>
              <w:spacing w:beforeLines="0" w:afterLines="0" w:line="240" w:lineRule="auto"/>
              <w:rPr>
                <w:rFonts w:ascii="Times New Roman"/>
                <w:snapToGrid w:val="0"/>
                <w:kern w:val="21"/>
                <w:szCs w:val="21"/>
              </w:rPr>
            </w:pPr>
          </w:p>
        </w:tc>
        <w:tc>
          <w:tcPr>
            <w:tcW w:w="2410" w:type="dxa"/>
            <w:vAlign w:val="center"/>
          </w:tcPr>
          <w:p w14:paraId="08FF175D">
            <w:pPr>
              <w:widowControl/>
              <w:jc w:val="center"/>
              <w:rPr>
                <w:kern w:val="0"/>
                <w:szCs w:val="21"/>
              </w:rPr>
            </w:pPr>
            <w:r>
              <w:rPr>
                <w:szCs w:val="21"/>
              </w:rPr>
              <w:t>废润滑油脂（HW08，900-249-08）</w:t>
            </w:r>
          </w:p>
        </w:tc>
        <w:tc>
          <w:tcPr>
            <w:tcW w:w="1405" w:type="dxa"/>
            <w:vAlign w:val="center"/>
          </w:tcPr>
          <w:p w14:paraId="3D2FF246">
            <w:pPr>
              <w:pStyle w:val="70"/>
              <w:spacing w:beforeLines="0" w:afterLines="0" w:line="240" w:lineRule="auto"/>
              <w:rPr>
                <w:rFonts w:ascii="Times New Roman"/>
                <w:szCs w:val="21"/>
              </w:rPr>
            </w:pPr>
            <w:r>
              <w:rPr>
                <w:rFonts w:ascii="Times New Roman"/>
                <w:szCs w:val="21"/>
              </w:rPr>
              <w:t>2</w:t>
            </w:r>
          </w:p>
        </w:tc>
        <w:tc>
          <w:tcPr>
            <w:tcW w:w="1263" w:type="dxa"/>
            <w:vAlign w:val="center"/>
          </w:tcPr>
          <w:p w14:paraId="736E36B3">
            <w:pPr>
              <w:pStyle w:val="70"/>
              <w:spacing w:beforeLines="0" w:afterLines="0" w:line="240" w:lineRule="auto"/>
              <w:rPr>
                <w:rFonts w:ascii="Times New Roman"/>
                <w:szCs w:val="21"/>
              </w:rPr>
            </w:pPr>
            <w:r>
              <w:rPr>
                <w:rFonts w:ascii="Times New Roman"/>
                <w:szCs w:val="21"/>
              </w:rPr>
              <w:t>0</w:t>
            </w:r>
          </w:p>
        </w:tc>
        <w:tc>
          <w:tcPr>
            <w:tcW w:w="1683" w:type="dxa"/>
            <w:vAlign w:val="center"/>
          </w:tcPr>
          <w:p w14:paraId="663577F9">
            <w:pPr>
              <w:pStyle w:val="70"/>
              <w:spacing w:beforeLines="0" w:afterLines="0" w:line="240" w:lineRule="auto"/>
              <w:rPr>
                <w:rFonts w:ascii="Times New Roman"/>
                <w:szCs w:val="21"/>
              </w:rPr>
            </w:pPr>
            <w:r>
              <w:rPr>
                <w:rFonts w:ascii="Times New Roman"/>
                <w:szCs w:val="21"/>
              </w:rPr>
              <w:t>0</w:t>
            </w:r>
          </w:p>
        </w:tc>
        <w:tc>
          <w:tcPr>
            <w:tcW w:w="1543" w:type="dxa"/>
            <w:vAlign w:val="center"/>
          </w:tcPr>
          <w:p w14:paraId="2C486A8B">
            <w:pPr>
              <w:pStyle w:val="70"/>
              <w:spacing w:beforeLines="0" w:afterLines="0" w:line="240" w:lineRule="auto"/>
              <w:rPr>
                <w:rFonts w:ascii="Times New Roman"/>
                <w:snapToGrid w:val="0"/>
                <w:kern w:val="21"/>
                <w:szCs w:val="21"/>
              </w:rPr>
            </w:pPr>
            <w:r>
              <w:rPr>
                <w:rFonts w:ascii="Times New Roman"/>
                <w:szCs w:val="21"/>
              </w:rPr>
              <w:t>0</w:t>
            </w:r>
          </w:p>
        </w:tc>
        <w:tc>
          <w:tcPr>
            <w:tcW w:w="1743" w:type="dxa"/>
            <w:vAlign w:val="center"/>
          </w:tcPr>
          <w:p w14:paraId="712C1D3A">
            <w:pPr>
              <w:pStyle w:val="70"/>
              <w:spacing w:beforeLines="0" w:afterLines="0" w:line="240" w:lineRule="auto"/>
              <w:rPr>
                <w:rFonts w:ascii="Times New Roman"/>
                <w:snapToGrid w:val="0"/>
                <w:kern w:val="21"/>
                <w:szCs w:val="21"/>
              </w:rPr>
            </w:pPr>
            <w:r>
              <w:rPr>
                <w:rFonts w:ascii="Times New Roman"/>
                <w:szCs w:val="21"/>
              </w:rPr>
              <w:t>0</w:t>
            </w:r>
          </w:p>
        </w:tc>
        <w:tc>
          <w:tcPr>
            <w:tcW w:w="1727" w:type="dxa"/>
            <w:vAlign w:val="center"/>
          </w:tcPr>
          <w:p w14:paraId="446A25E4">
            <w:pPr>
              <w:pStyle w:val="70"/>
              <w:spacing w:beforeLines="0" w:afterLines="0" w:line="240" w:lineRule="auto"/>
              <w:rPr>
                <w:rFonts w:ascii="Times New Roman"/>
                <w:szCs w:val="21"/>
              </w:rPr>
            </w:pPr>
            <w:r>
              <w:rPr>
                <w:rFonts w:ascii="Times New Roman"/>
                <w:szCs w:val="21"/>
              </w:rPr>
              <w:t>2</w:t>
            </w:r>
          </w:p>
        </w:tc>
        <w:tc>
          <w:tcPr>
            <w:tcW w:w="1029" w:type="dxa"/>
            <w:vAlign w:val="center"/>
          </w:tcPr>
          <w:p w14:paraId="373C845B">
            <w:pPr>
              <w:pStyle w:val="70"/>
              <w:spacing w:beforeLines="0" w:afterLines="0" w:line="240" w:lineRule="auto"/>
              <w:rPr>
                <w:rFonts w:ascii="Times New Roman"/>
                <w:szCs w:val="21"/>
              </w:rPr>
            </w:pPr>
            <w:r>
              <w:rPr>
                <w:rFonts w:ascii="Times New Roman"/>
                <w:szCs w:val="21"/>
              </w:rPr>
              <w:t>0</w:t>
            </w:r>
          </w:p>
        </w:tc>
      </w:tr>
      <w:tr w14:paraId="3D27D7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41" w:type="dxa"/>
            <w:vMerge w:val="continue"/>
            <w:vAlign w:val="center"/>
          </w:tcPr>
          <w:p w14:paraId="66AA41B4">
            <w:pPr>
              <w:pStyle w:val="70"/>
              <w:spacing w:beforeLines="0" w:afterLines="0" w:line="240" w:lineRule="auto"/>
              <w:rPr>
                <w:rFonts w:ascii="Times New Roman"/>
                <w:snapToGrid w:val="0"/>
                <w:kern w:val="21"/>
                <w:szCs w:val="21"/>
              </w:rPr>
            </w:pPr>
          </w:p>
        </w:tc>
        <w:tc>
          <w:tcPr>
            <w:tcW w:w="2410" w:type="dxa"/>
            <w:vAlign w:val="center"/>
          </w:tcPr>
          <w:p w14:paraId="2CA787AF">
            <w:pPr>
              <w:widowControl/>
              <w:jc w:val="center"/>
              <w:rPr>
                <w:szCs w:val="21"/>
              </w:rPr>
            </w:pPr>
            <w:r>
              <w:rPr>
                <w:szCs w:val="21"/>
              </w:rPr>
              <w:t>油泥（HW08，900-211-08）</w:t>
            </w:r>
          </w:p>
        </w:tc>
        <w:tc>
          <w:tcPr>
            <w:tcW w:w="1405" w:type="dxa"/>
            <w:vAlign w:val="center"/>
          </w:tcPr>
          <w:p w14:paraId="320D10A1">
            <w:pPr>
              <w:pStyle w:val="70"/>
              <w:spacing w:beforeLines="0" w:afterLines="0" w:line="240" w:lineRule="auto"/>
              <w:rPr>
                <w:rFonts w:ascii="Times New Roman"/>
                <w:szCs w:val="21"/>
              </w:rPr>
            </w:pPr>
            <w:r>
              <w:rPr>
                <w:rFonts w:ascii="Times New Roman"/>
                <w:szCs w:val="21"/>
              </w:rPr>
              <w:t>0</w:t>
            </w:r>
          </w:p>
        </w:tc>
        <w:tc>
          <w:tcPr>
            <w:tcW w:w="1263" w:type="dxa"/>
            <w:vAlign w:val="center"/>
          </w:tcPr>
          <w:p w14:paraId="3A43B1FA">
            <w:pPr>
              <w:pStyle w:val="70"/>
              <w:spacing w:beforeLines="0" w:afterLines="0" w:line="240" w:lineRule="auto"/>
              <w:rPr>
                <w:rFonts w:ascii="Times New Roman"/>
                <w:szCs w:val="21"/>
              </w:rPr>
            </w:pPr>
            <w:r>
              <w:rPr>
                <w:rFonts w:ascii="Times New Roman"/>
                <w:szCs w:val="21"/>
              </w:rPr>
              <w:t>0</w:t>
            </w:r>
          </w:p>
        </w:tc>
        <w:tc>
          <w:tcPr>
            <w:tcW w:w="1683" w:type="dxa"/>
            <w:vAlign w:val="center"/>
          </w:tcPr>
          <w:p w14:paraId="520F9438">
            <w:pPr>
              <w:pStyle w:val="70"/>
              <w:spacing w:beforeLines="0" w:afterLines="0" w:line="240" w:lineRule="auto"/>
              <w:rPr>
                <w:rFonts w:ascii="Times New Roman"/>
                <w:szCs w:val="21"/>
              </w:rPr>
            </w:pPr>
            <w:r>
              <w:rPr>
                <w:rFonts w:ascii="Times New Roman"/>
                <w:szCs w:val="21"/>
              </w:rPr>
              <w:t>0</w:t>
            </w:r>
          </w:p>
        </w:tc>
        <w:tc>
          <w:tcPr>
            <w:tcW w:w="1543" w:type="dxa"/>
            <w:vAlign w:val="center"/>
          </w:tcPr>
          <w:p w14:paraId="3AB5FE5D">
            <w:pPr>
              <w:pStyle w:val="70"/>
              <w:spacing w:beforeLines="0" w:afterLines="0" w:line="240" w:lineRule="auto"/>
              <w:rPr>
                <w:rFonts w:ascii="Times New Roman"/>
                <w:szCs w:val="21"/>
              </w:rPr>
            </w:pPr>
            <w:r>
              <w:rPr>
                <w:rFonts w:ascii="Times New Roman"/>
                <w:szCs w:val="21"/>
              </w:rPr>
              <w:t>0.1</w:t>
            </w:r>
          </w:p>
        </w:tc>
        <w:tc>
          <w:tcPr>
            <w:tcW w:w="1743" w:type="dxa"/>
            <w:vAlign w:val="center"/>
          </w:tcPr>
          <w:p w14:paraId="72EBFD57">
            <w:pPr>
              <w:pStyle w:val="70"/>
              <w:spacing w:beforeLines="0" w:afterLines="0" w:line="240" w:lineRule="auto"/>
              <w:rPr>
                <w:rFonts w:ascii="Times New Roman"/>
                <w:szCs w:val="21"/>
              </w:rPr>
            </w:pPr>
            <w:r>
              <w:rPr>
                <w:rFonts w:ascii="Times New Roman"/>
                <w:szCs w:val="21"/>
              </w:rPr>
              <w:t>0</w:t>
            </w:r>
          </w:p>
        </w:tc>
        <w:tc>
          <w:tcPr>
            <w:tcW w:w="1727" w:type="dxa"/>
            <w:vAlign w:val="center"/>
          </w:tcPr>
          <w:p w14:paraId="6262DE5A">
            <w:pPr>
              <w:pStyle w:val="70"/>
              <w:spacing w:beforeLines="0" w:afterLines="0" w:line="240" w:lineRule="auto"/>
              <w:rPr>
                <w:rFonts w:ascii="Times New Roman"/>
                <w:szCs w:val="21"/>
              </w:rPr>
            </w:pPr>
            <w:r>
              <w:rPr>
                <w:rFonts w:ascii="Times New Roman"/>
                <w:szCs w:val="21"/>
              </w:rPr>
              <w:t>0.1</w:t>
            </w:r>
          </w:p>
        </w:tc>
        <w:tc>
          <w:tcPr>
            <w:tcW w:w="1029" w:type="dxa"/>
            <w:vAlign w:val="center"/>
          </w:tcPr>
          <w:p w14:paraId="05F90455">
            <w:pPr>
              <w:pStyle w:val="70"/>
              <w:spacing w:beforeLines="0" w:afterLines="0" w:line="240" w:lineRule="auto"/>
              <w:rPr>
                <w:rFonts w:ascii="Times New Roman"/>
                <w:szCs w:val="21"/>
              </w:rPr>
            </w:pPr>
            <w:r>
              <w:rPr>
                <w:rFonts w:ascii="Times New Roman"/>
                <w:szCs w:val="21"/>
              </w:rPr>
              <w:t>+0.1</w:t>
            </w:r>
          </w:p>
        </w:tc>
      </w:tr>
    </w:tbl>
    <w:p w14:paraId="3C95FE12">
      <w:pPr>
        <w:pStyle w:val="70"/>
        <w:spacing w:before="192" w:beforeLines="80" w:after="24"/>
        <w:jc w:val="left"/>
        <w:rPr>
          <w:rFonts w:ascii="Times New Roman"/>
          <w:sz w:val="28"/>
          <w:szCs w:val="36"/>
        </w:rPr>
      </w:pPr>
      <w:r>
        <w:rPr>
          <w:rFonts w:ascii="Times New Roman"/>
          <w:snapToGrid w:val="0"/>
          <w:kern w:val="21"/>
          <w:szCs w:val="21"/>
        </w:rPr>
        <w:t>注：</w:t>
      </w:r>
      <w:r>
        <w:rPr>
          <w:rFonts w:hint="eastAsia" w:ascii="Times New Roman"/>
          <w:snapToGrid w:val="0"/>
          <w:kern w:val="21"/>
          <w:szCs w:val="21"/>
        </w:rPr>
        <w:t>由于现有项目分阶段建设因此本项目</w:t>
      </w:r>
      <w:r>
        <w:rPr>
          <w:rFonts w:ascii="Cambria Math" w:hAnsi="Cambria Math" w:cs="Cambria Math"/>
          <w:snapToGrid w:val="0"/>
          <w:spacing w:val="-6"/>
          <w:kern w:val="21"/>
          <w:szCs w:val="21"/>
        </w:rPr>
        <w:t>①</w:t>
      </w:r>
      <w:r>
        <w:rPr>
          <w:rFonts w:hint="eastAsia" w:ascii="Cambria Math" w:hAnsi="Cambria Math" w:cs="Cambria Math"/>
          <w:snapToGrid w:val="0"/>
          <w:spacing w:val="-6"/>
          <w:kern w:val="21"/>
          <w:szCs w:val="21"/>
        </w:rPr>
        <w:t>为现有已建设项目对应总量，</w:t>
      </w:r>
      <w:r>
        <w:rPr>
          <w:rFonts w:ascii="Times New Roman"/>
          <w:snapToGrid w:val="0"/>
          <w:spacing w:val="-6"/>
          <w:kern w:val="21"/>
          <w:szCs w:val="21"/>
        </w:rPr>
        <w:fldChar w:fldCharType="begin"/>
      </w:r>
      <w:r>
        <w:rPr>
          <w:rFonts w:ascii="Times New Roman"/>
          <w:snapToGrid w:val="0"/>
          <w:spacing w:val="-6"/>
          <w:kern w:val="21"/>
          <w:szCs w:val="21"/>
        </w:rPr>
        <w:instrText xml:space="preserve"> = 2 \* GB3 \* MERGEFORMAT </w:instrText>
      </w:r>
      <w:r>
        <w:rPr>
          <w:rFonts w:ascii="Times New Roman"/>
          <w:snapToGrid w:val="0"/>
          <w:spacing w:val="-6"/>
          <w:kern w:val="21"/>
          <w:szCs w:val="21"/>
        </w:rPr>
        <w:fldChar w:fldCharType="separate"/>
      </w:r>
      <w:r>
        <w:rPr>
          <w:rFonts w:ascii="Cambria Math" w:hAnsi="Cambria Math" w:cs="Cambria Math"/>
          <w:snapToGrid w:val="0"/>
          <w:spacing w:val="-6"/>
          <w:kern w:val="21"/>
          <w:szCs w:val="21"/>
        </w:rPr>
        <w:t>②</w:t>
      </w:r>
      <w:r>
        <w:rPr>
          <w:rFonts w:ascii="Times New Roman"/>
          <w:snapToGrid w:val="0"/>
          <w:spacing w:val="-6"/>
          <w:kern w:val="21"/>
          <w:szCs w:val="21"/>
        </w:rPr>
        <w:fldChar w:fldCharType="end"/>
      </w:r>
      <w:r>
        <w:rPr>
          <w:rFonts w:hint="eastAsia" w:ascii="Times New Roman"/>
          <w:snapToGrid w:val="0"/>
          <w:spacing w:val="-6"/>
          <w:kern w:val="21"/>
          <w:szCs w:val="21"/>
        </w:rPr>
        <w:t>为全厂现有项目批复总量，因此</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Cambria Math" w:hAnsi="Cambria Math" w:cs="Cambria Math"/>
          <w:szCs w:val="21"/>
        </w:rPr>
        <w:t>⑥</w:t>
      </w:r>
      <w:r>
        <w:rPr>
          <w:rFonts w:ascii="Times New Roman"/>
          <w:snapToGrid w:val="0"/>
          <w:spacing w:val="-16"/>
          <w:kern w:val="21"/>
          <w:szCs w:val="21"/>
        </w:rPr>
        <w:fldChar w:fldCharType="end"/>
      </w:r>
      <w:r>
        <w:rPr>
          <w:rFonts w:hint="eastAsia"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2 \* GB3 \* MERGEFORMAT </w:instrText>
      </w:r>
      <w:r>
        <w:rPr>
          <w:rFonts w:ascii="Times New Roman"/>
          <w:snapToGrid w:val="0"/>
          <w:spacing w:val="-6"/>
          <w:kern w:val="21"/>
          <w:szCs w:val="21"/>
        </w:rPr>
        <w:fldChar w:fldCharType="separate"/>
      </w:r>
      <w:r>
        <w:rPr>
          <w:rFonts w:ascii="Cambria Math" w:hAnsi="Cambria Math" w:cs="Cambria Math"/>
          <w:snapToGrid w:val="0"/>
          <w:spacing w:val="-6"/>
          <w:kern w:val="21"/>
          <w:szCs w:val="21"/>
        </w:rPr>
        <w:t>②</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ascii="Cambria Math" w:hAnsi="Cambria Math" w:cs="Cambria Math"/>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ascii="Cambria Math" w:hAnsi="Cambria Math" w:cs="Cambria Math"/>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ascii="Cambria Math" w:hAnsi="Cambria Math" w:cs="Cambria Math"/>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ascii="Cambria Math" w:hAnsi="Cambria Math" w:cs="Cambria Math"/>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Cambria Math" w:hAnsi="Cambria Math" w:cs="Cambria Math"/>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2 \* GB3 \* MERGEFORMAT </w:instrText>
      </w:r>
      <w:r>
        <w:rPr>
          <w:rFonts w:ascii="Times New Roman"/>
          <w:snapToGrid w:val="0"/>
          <w:spacing w:val="-6"/>
          <w:kern w:val="21"/>
          <w:szCs w:val="21"/>
        </w:rPr>
        <w:fldChar w:fldCharType="separate"/>
      </w:r>
      <w:r>
        <w:rPr>
          <w:rFonts w:ascii="Cambria Math" w:hAnsi="Cambria Math" w:cs="Cambria Math"/>
          <w:snapToGrid w:val="0"/>
          <w:spacing w:val="-6"/>
          <w:kern w:val="21"/>
          <w:szCs w:val="21"/>
        </w:rPr>
        <w:t>②</w:t>
      </w:r>
      <w:r>
        <w:rPr>
          <w:rFonts w:ascii="Times New Roman"/>
          <w:snapToGrid w:val="0"/>
          <w:spacing w:val="-6"/>
          <w:kern w:val="21"/>
          <w:szCs w:val="21"/>
        </w:rPr>
        <w:fldChar w:fldCharType="end"/>
      </w:r>
      <w:r>
        <w:rPr>
          <w:rFonts w:hint="eastAsia" w:ascii="Times New Roman"/>
          <w:snapToGrid w:val="0"/>
          <w:spacing w:val="-6"/>
          <w:kern w:val="21"/>
          <w:szCs w:val="21"/>
        </w:rPr>
        <w:t>。本项目相比于被替代的一期项目成子河西侧建设内容新增了废丝回收生产线产生的颗粒物、非甲烷总烃及切片纺丝干燥产生的颗粒物，优先从现有批复总量内调配，后续建设所需总量根据实际情况增减，履行相应手续，故本项目按照全厂总量不新增考虑。</w:t>
      </w:r>
    </w:p>
    <w:p w14:paraId="70720400">
      <w:pPr>
        <w:pStyle w:val="42"/>
        <w:adjustRightInd w:val="0"/>
        <w:snapToGrid w:val="0"/>
        <w:spacing w:before="0" w:beforeAutospacing="0" w:after="0" w:afterAutospacing="0" w:line="648" w:lineRule="auto"/>
        <w:outlineLvl w:val="0"/>
        <w:rPr>
          <w:rFonts w:ascii="Times New Roman" w:hAnsi="Times New Roman"/>
          <w:sz w:val="28"/>
          <w:szCs w:val="36"/>
        </w:rPr>
      </w:pPr>
    </w:p>
    <w:sectPr>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013A0">
    <w:pPr>
      <w:pStyle w:val="3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49DFE">
    <w:pPr>
      <w:pStyle w:val="32"/>
      <w:framePr w:wrap="around" w:vAnchor="text" w:hAnchor="margin" w:xAlign="center" w:y="1"/>
      <w:rPr>
        <w:rStyle w:val="52"/>
      </w:rPr>
    </w:pPr>
    <w:r>
      <w:fldChar w:fldCharType="begin"/>
    </w:r>
    <w:r>
      <w:rPr>
        <w:rStyle w:val="52"/>
      </w:rPr>
      <w:instrText xml:space="preserve">PAGE  </w:instrText>
    </w:r>
    <w:r>
      <w:fldChar w:fldCharType="end"/>
    </w:r>
  </w:p>
  <w:p w14:paraId="4739FB94">
    <w:pPr>
      <w:pStyle w:val="3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9B057">
    <w:pPr>
      <w:pStyle w:val="32"/>
      <w:ind w:right="360" w:firstLine="360"/>
      <w:jc w:val="center"/>
    </w:pPr>
    <w:r>
      <w:fldChar w:fldCharType="begin"/>
    </w:r>
    <w:r>
      <w:instrText xml:space="preserve">PAGE   \* MERGEFORMAT</w:instrText>
    </w:r>
    <w:r>
      <w:fldChar w:fldCharType="separate"/>
    </w:r>
    <w:r>
      <w:rPr>
        <w:lang w:val="zh-CN"/>
      </w:rPr>
      <w:t>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6B6B8">
    <w:pPr>
      <w:pStyle w:val="32"/>
      <w:ind w:right="360" w:firstLine="360"/>
      <w:jc w:val="center"/>
    </w:pPr>
    <w:r>
      <w:fldChar w:fldCharType="begin"/>
    </w:r>
    <w:r>
      <w:instrText xml:space="preserve">PAGE   \* MERGEFORMAT</w:instrText>
    </w:r>
    <w:r>
      <w:fldChar w:fldCharType="separate"/>
    </w:r>
    <w:r>
      <w:rPr>
        <w:lang w:val="zh-CN"/>
      </w:rPr>
      <w:t>102</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AD474">
    <w:pPr>
      <w:pStyle w:val="3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BE88">
    <w:pPr>
      <w:pStyle w:val="3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B9095"/>
    <w:multiLevelType w:val="singleLevel"/>
    <w:tmpl w:val="F7AB9095"/>
    <w:lvl w:ilvl="0" w:tentative="0">
      <w:start w:val="1"/>
      <w:numFmt w:val="decimal"/>
      <w:suff w:val="nothing"/>
      <w:lvlText w:val="%1、"/>
      <w:lvlJc w:val="left"/>
    </w:lvl>
  </w:abstractNum>
  <w:abstractNum w:abstractNumId="1">
    <w:nsid w:val="329A045E"/>
    <w:multiLevelType w:val="multilevel"/>
    <w:tmpl w:val="329A045E"/>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BB63985"/>
    <w:multiLevelType w:val="multilevel"/>
    <w:tmpl w:val="4BB63985"/>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931"/>
        </w:tabs>
        <w:ind w:left="1418" w:hanging="567"/>
      </w:pPr>
    </w:lvl>
    <w:lvl w:ilvl="3" w:tentative="0">
      <w:start w:val="1"/>
      <w:numFmt w:val="decimal"/>
      <w:lvlText w:val="%1.%2.%3.%4"/>
      <w:lvlJc w:val="left"/>
      <w:pPr>
        <w:tabs>
          <w:tab w:val="left" w:pos="2716"/>
        </w:tabs>
        <w:ind w:left="1984" w:hanging="708"/>
      </w:pPr>
    </w:lvl>
    <w:lvl w:ilvl="4" w:tentative="0">
      <w:start w:val="1"/>
      <w:numFmt w:val="decimal"/>
      <w:lvlText w:val="%1.%2.%3.%4.%5"/>
      <w:lvlJc w:val="left"/>
      <w:pPr>
        <w:tabs>
          <w:tab w:val="left" w:pos="3501"/>
        </w:tabs>
        <w:ind w:left="2551" w:hanging="850"/>
      </w:pPr>
    </w:lvl>
    <w:lvl w:ilvl="5" w:tentative="0">
      <w:start w:val="1"/>
      <w:numFmt w:val="decimal"/>
      <w:lvlText w:val="%1.%2.%3.%4.%5.%6"/>
      <w:lvlJc w:val="left"/>
      <w:pPr>
        <w:tabs>
          <w:tab w:val="left" w:pos="4286"/>
        </w:tabs>
        <w:ind w:left="3260" w:hanging="1134"/>
      </w:pPr>
    </w:lvl>
    <w:lvl w:ilvl="6" w:tentative="0">
      <w:start w:val="1"/>
      <w:numFmt w:val="decimal"/>
      <w:lvlText w:val="%1.%2.%3.%4.%5.%6.%7"/>
      <w:lvlJc w:val="left"/>
      <w:pPr>
        <w:tabs>
          <w:tab w:val="left" w:pos="5071"/>
        </w:tabs>
        <w:ind w:left="3827" w:hanging="1276"/>
      </w:pPr>
    </w:lvl>
    <w:lvl w:ilvl="7" w:tentative="0">
      <w:start w:val="1"/>
      <w:numFmt w:val="decimal"/>
      <w:lvlText w:val="%1.%2.%3.%4.%5.%6.%7.%8"/>
      <w:lvlJc w:val="left"/>
      <w:pPr>
        <w:tabs>
          <w:tab w:val="left" w:pos="5856"/>
        </w:tabs>
        <w:ind w:left="4394" w:hanging="1418"/>
      </w:pPr>
    </w:lvl>
    <w:lvl w:ilvl="8" w:tentative="0">
      <w:start w:val="1"/>
      <w:numFmt w:val="decimal"/>
      <w:lvlText w:val="%1.%2.%3.%4.%5.%6.%7.%8.%9"/>
      <w:lvlJc w:val="left"/>
      <w:pPr>
        <w:tabs>
          <w:tab w:val="left" w:pos="6282"/>
        </w:tabs>
        <w:ind w:left="5102" w:hanging="1700"/>
      </w:pPr>
    </w:lvl>
  </w:abstractNum>
  <w:abstractNum w:abstractNumId="3">
    <w:nsid w:val="61D57940"/>
    <w:multiLevelType w:val="multilevel"/>
    <w:tmpl w:val="61D57940"/>
    <w:lvl w:ilvl="0" w:tentative="0">
      <w:start w:val="1"/>
      <w:numFmt w:val="decimal"/>
      <w:pStyle w:val="243"/>
      <w:lvlText w:val="%1"/>
      <w:lvlJc w:val="left"/>
      <w:pPr>
        <w:tabs>
          <w:tab w:val="left" w:pos="432"/>
        </w:tabs>
        <w:ind w:left="432" w:hanging="432"/>
      </w:pPr>
      <w:rPr>
        <w:rFonts w:hint="default" w:ascii="Times New Roman" w:hAnsi="Times New Roman" w:eastAsia="宋体" w:cs="Times New Roman"/>
        <w:b/>
        <w:i w:val="0"/>
        <w:sz w:val="32"/>
        <w:szCs w:val="32"/>
        <w:u w:val="none"/>
      </w:rPr>
    </w:lvl>
    <w:lvl w:ilvl="1" w:tentative="0">
      <w:start w:val="1"/>
      <w:numFmt w:val="decimal"/>
      <w:pStyle w:val="241"/>
      <w:lvlText w:val="%1.%2"/>
      <w:lvlJc w:val="left"/>
      <w:pPr>
        <w:tabs>
          <w:tab w:val="left" w:pos="720"/>
        </w:tabs>
        <w:ind w:left="397" w:hanging="397"/>
      </w:pPr>
      <w:rPr>
        <w:rFonts w:hint="default" w:ascii="Times New Roman" w:hAnsi="Times New Roman" w:eastAsia="宋体" w:cs="Times New Roman"/>
        <w:b/>
        <w:i w:val="0"/>
        <w:sz w:val="28"/>
        <w:szCs w:val="28"/>
      </w:rPr>
    </w:lvl>
    <w:lvl w:ilvl="2" w:tentative="0">
      <w:start w:val="1"/>
      <w:numFmt w:val="decimal"/>
      <w:pStyle w:val="242"/>
      <w:lvlText w:val="%1.%2.%3"/>
      <w:lvlJc w:val="left"/>
      <w:pPr>
        <w:tabs>
          <w:tab w:val="left" w:pos="1021"/>
        </w:tabs>
        <w:ind w:left="1021" w:hanging="1021"/>
      </w:pPr>
      <w:rPr>
        <w:rFonts w:hint="default" w:ascii="Times New Roman" w:hAnsi="Times New Roman" w:eastAsia="宋体" w:cs="Times New Roman"/>
        <w:b/>
        <w:i w:val="0"/>
        <w:iCs w:val="0"/>
        <w:caps w:val="0"/>
        <w:smallCaps w:val="0"/>
        <w:strike w:val="0"/>
        <w:dstrike w:val="0"/>
        <w:snapToGrid w:val="0"/>
        <w:vanish w:val="0"/>
        <w:color w:val="000000"/>
        <w:spacing w:val="0"/>
        <w:kern w:val="0"/>
        <w:position w:val="0"/>
        <w:sz w:val="24"/>
        <w:szCs w:val="24"/>
        <w:u w:val="none"/>
        <w:vertAlign w:val="baseline"/>
        <w14:shadow w14:blurRad="0" w14:dist="0" w14:dir="0" w14:sx="0" w14:sy="0" w14:kx="0" w14:ky="0" w14:algn="none">
          <w14:srgbClr w14:val="000000"/>
        </w14:shadow>
      </w:rPr>
    </w:lvl>
    <w:lvl w:ilvl="3" w:tentative="0">
      <w:start w:val="1"/>
      <w:numFmt w:val="decimal"/>
      <w:pStyle w:val="244"/>
      <w:lvlText w:val="%1.%2.%3.%4"/>
      <w:lvlJc w:val="left"/>
      <w:pPr>
        <w:tabs>
          <w:tab w:val="left" w:pos="1247"/>
        </w:tabs>
        <w:ind w:left="964" w:hanging="964"/>
      </w:pPr>
      <w:rPr>
        <w:rFonts w:hint="eastAsia" w:ascii="宋体" w:hAnsi="宋体" w:eastAsia="宋体" w:cs="Times New Roman"/>
        <w:sz w:val="24"/>
        <w:szCs w:val="24"/>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719231B1"/>
    <w:multiLevelType w:val="multilevel"/>
    <w:tmpl w:val="719231B1"/>
    <w:lvl w:ilvl="0" w:tentative="0">
      <w:start w:val="1"/>
      <w:numFmt w:val="decimal"/>
      <w:lvlText w:val="%1、"/>
      <w:lvlJc w:val="left"/>
      <w:pPr>
        <w:ind w:left="375" w:hanging="37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2"/>
    <w:lvlOverride w:ilvl="0">
      <w:lvl w:ilvl="0" w:tentative="1">
        <w:start w:val="1"/>
        <w:numFmt w:val="decimal"/>
        <w:lvlText w:val="%1"/>
        <w:lvlJc w:val="left"/>
        <w:pPr>
          <w:tabs>
            <w:tab w:val="left" w:pos="425"/>
          </w:tabs>
          <w:ind w:left="425" w:hanging="425"/>
        </w:pPr>
      </w:lvl>
    </w:lvlOverride>
    <w:lvlOverride w:ilvl="1">
      <w:lvl w:ilvl="1" w:tentative="1">
        <w:start w:val="1"/>
        <w:numFmt w:val="decimal"/>
        <w:lvlText w:val="%1.%2"/>
        <w:lvlJc w:val="left"/>
        <w:pPr>
          <w:tabs>
            <w:tab w:val="left" w:pos="567"/>
          </w:tabs>
          <w:ind w:left="567" w:hanging="567"/>
        </w:pPr>
      </w:lvl>
    </w:lvlOverride>
    <w:lvlOverride w:ilvl="2">
      <w:lvl w:ilvl="2" w:tentative="1">
        <w:start w:val="1"/>
        <w:numFmt w:val="decimal"/>
        <w:lvlText w:val="%1.%2.%3"/>
        <w:lvlJc w:val="left"/>
        <w:pPr>
          <w:tabs>
            <w:tab w:val="left" w:pos="1931"/>
          </w:tabs>
          <w:ind w:left="1418" w:hanging="567"/>
        </w:pPr>
      </w:lvl>
    </w:lvlOverride>
    <w:lvlOverride w:ilvl="3">
      <w:lvl w:ilvl="3" w:tentative="1">
        <w:start w:val="1"/>
        <w:numFmt w:val="decimal"/>
        <w:lvlText w:val="%1.%2.%3.%4"/>
        <w:lvlJc w:val="left"/>
        <w:pPr>
          <w:tabs>
            <w:tab w:val="left" w:pos="2716"/>
          </w:tabs>
          <w:ind w:left="1984" w:hanging="708"/>
        </w:pPr>
      </w:lvl>
    </w:lvlOverride>
    <w:lvlOverride w:ilvl="4">
      <w:lvl w:ilvl="4" w:tentative="1">
        <w:start w:val="1"/>
        <w:numFmt w:val="decimal"/>
        <w:pStyle w:val="259"/>
        <w:lvlText w:val="%1.%2.%3.%4.%5"/>
        <w:lvlJc w:val="left"/>
        <w:pPr>
          <w:tabs>
            <w:tab w:val="left" w:pos="3501"/>
          </w:tabs>
          <w:ind w:left="2551" w:hanging="850"/>
        </w:pPr>
      </w:lvl>
    </w:lvlOverride>
    <w:lvlOverride w:ilvl="5">
      <w:lvl w:ilvl="5" w:tentative="1">
        <w:start w:val="1"/>
        <w:numFmt w:val="decimal"/>
        <w:lvlText w:val="%1.%2.%3.%4.%5.%6"/>
        <w:lvlJc w:val="left"/>
        <w:pPr>
          <w:tabs>
            <w:tab w:val="left" w:pos="4286"/>
          </w:tabs>
          <w:ind w:left="3260" w:hanging="1134"/>
        </w:pPr>
      </w:lvl>
    </w:lvlOverride>
    <w:lvlOverride w:ilvl="6">
      <w:lvl w:ilvl="6" w:tentative="1">
        <w:start w:val="1"/>
        <w:numFmt w:val="decimal"/>
        <w:lvlText w:val="%1.%2.%3.%4.%5.%6.%7"/>
        <w:lvlJc w:val="left"/>
        <w:pPr>
          <w:tabs>
            <w:tab w:val="left" w:pos="5071"/>
          </w:tabs>
          <w:ind w:left="3827" w:hanging="1276"/>
        </w:pPr>
      </w:lvl>
    </w:lvlOverride>
    <w:lvlOverride w:ilvl="7">
      <w:lvl w:ilvl="7" w:tentative="1">
        <w:start w:val="1"/>
        <w:numFmt w:val="decimal"/>
        <w:lvlText w:val="%1.%2.%3.%4.%5.%6.%7.%8"/>
        <w:lvlJc w:val="left"/>
        <w:pPr>
          <w:tabs>
            <w:tab w:val="left" w:pos="5856"/>
          </w:tabs>
          <w:ind w:left="4394" w:hanging="1418"/>
        </w:pPr>
      </w:lvl>
    </w:lvlOverride>
    <w:lvlOverride w:ilvl="8">
      <w:lvl w:ilvl="8" w:tentative="1">
        <w:start w:val="1"/>
        <w:numFmt w:val="decimal"/>
        <w:lvlText w:val="%1.%2.%3.%4.%5.%6.%7.%8.%9"/>
        <w:lvlJc w:val="left"/>
        <w:pPr>
          <w:tabs>
            <w:tab w:val="left" w:pos="6282"/>
          </w:tabs>
          <w:ind w:left="5102" w:hanging="1700"/>
        </w:pPr>
      </w:lvl>
    </w:lvlOverride>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Q3YmEzZDZlYzY2MzlhYjk1MWZlYjQ4NTRjMzBhODMifQ=="/>
  </w:docVars>
  <w:rsids>
    <w:rsidRoot w:val="00A14947"/>
    <w:rsid w:val="00000381"/>
    <w:rsid w:val="00000458"/>
    <w:rsid w:val="000004B8"/>
    <w:rsid w:val="00000876"/>
    <w:rsid w:val="00000EED"/>
    <w:rsid w:val="00001414"/>
    <w:rsid w:val="000015AF"/>
    <w:rsid w:val="00001640"/>
    <w:rsid w:val="00001BFE"/>
    <w:rsid w:val="000022E0"/>
    <w:rsid w:val="0000231C"/>
    <w:rsid w:val="00002D5E"/>
    <w:rsid w:val="00003434"/>
    <w:rsid w:val="00003633"/>
    <w:rsid w:val="00004554"/>
    <w:rsid w:val="00004B40"/>
    <w:rsid w:val="00005618"/>
    <w:rsid w:val="000060B3"/>
    <w:rsid w:val="00006D00"/>
    <w:rsid w:val="000076E5"/>
    <w:rsid w:val="00007C90"/>
    <w:rsid w:val="000103FB"/>
    <w:rsid w:val="00010AC8"/>
    <w:rsid w:val="00010EEC"/>
    <w:rsid w:val="00010F8E"/>
    <w:rsid w:val="00011C07"/>
    <w:rsid w:val="000123B9"/>
    <w:rsid w:val="00012C0D"/>
    <w:rsid w:val="00013147"/>
    <w:rsid w:val="000136A3"/>
    <w:rsid w:val="0001411C"/>
    <w:rsid w:val="000149BE"/>
    <w:rsid w:val="00014A58"/>
    <w:rsid w:val="00014E15"/>
    <w:rsid w:val="0001518A"/>
    <w:rsid w:val="00015628"/>
    <w:rsid w:val="00015807"/>
    <w:rsid w:val="00015E7C"/>
    <w:rsid w:val="00017286"/>
    <w:rsid w:val="00017740"/>
    <w:rsid w:val="00017C06"/>
    <w:rsid w:val="00017E28"/>
    <w:rsid w:val="00017EC3"/>
    <w:rsid w:val="00020368"/>
    <w:rsid w:val="00020BFA"/>
    <w:rsid w:val="00021232"/>
    <w:rsid w:val="0002226C"/>
    <w:rsid w:val="00022DE5"/>
    <w:rsid w:val="00022E0B"/>
    <w:rsid w:val="000231D4"/>
    <w:rsid w:val="0002350F"/>
    <w:rsid w:val="000249D0"/>
    <w:rsid w:val="00024E92"/>
    <w:rsid w:val="00025002"/>
    <w:rsid w:val="000256AD"/>
    <w:rsid w:val="00025850"/>
    <w:rsid w:val="000277DF"/>
    <w:rsid w:val="00027CB7"/>
    <w:rsid w:val="00027DF2"/>
    <w:rsid w:val="00027E4B"/>
    <w:rsid w:val="00031709"/>
    <w:rsid w:val="00031D8C"/>
    <w:rsid w:val="0003292D"/>
    <w:rsid w:val="000338D4"/>
    <w:rsid w:val="00033F35"/>
    <w:rsid w:val="00034285"/>
    <w:rsid w:val="00034A2A"/>
    <w:rsid w:val="00034A54"/>
    <w:rsid w:val="000353C6"/>
    <w:rsid w:val="00035592"/>
    <w:rsid w:val="0003568C"/>
    <w:rsid w:val="000357DC"/>
    <w:rsid w:val="0003588D"/>
    <w:rsid w:val="000359A3"/>
    <w:rsid w:val="00035B45"/>
    <w:rsid w:val="00035D07"/>
    <w:rsid w:val="0003612B"/>
    <w:rsid w:val="00036CB3"/>
    <w:rsid w:val="00036EFC"/>
    <w:rsid w:val="000379F1"/>
    <w:rsid w:val="00037DA0"/>
    <w:rsid w:val="00037F6A"/>
    <w:rsid w:val="000405DF"/>
    <w:rsid w:val="00040A63"/>
    <w:rsid w:val="00040E5A"/>
    <w:rsid w:val="00040EBE"/>
    <w:rsid w:val="00041381"/>
    <w:rsid w:val="0004199E"/>
    <w:rsid w:val="00041FBD"/>
    <w:rsid w:val="00042050"/>
    <w:rsid w:val="00042248"/>
    <w:rsid w:val="00042263"/>
    <w:rsid w:val="000427F0"/>
    <w:rsid w:val="000429F7"/>
    <w:rsid w:val="00042B5D"/>
    <w:rsid w:val="00042EE3"/>
    <w:rsid w:val="0004364B"/>
    <w:rsid w:val="0004372E"/>
    <w:rsid w:val="0004467B"/>
    <w:rsid w:val="0004586F"/>
    <w:rsid w:val="00046151"/>
    <w:rsid w:val="00046A29"/>
    <w:rsid w:val="00047ADB"/>
    <w:rsid w:val="00050A28"/>
    <w:rsid w:val="00050D83"/>
    <w:rsid w:val="00050E25"/>
    <w:rsid w:val="0005114E"/>
    <w:rsid w:val="00051E77"/>
    <w:rsid w:val="00051EA2"/>
    <w:rsid w:val="000521F1"/>
    <w:rsid w:val="00053C67"/>
    <w:rsid w:val="00054605"/>
    <w:rsid w:val="00055714"/>
    <w:rsid w:val="0005612E"/>
    <w:rsid w:val="000561B1"/>
    <w:rsid w:val="000569B9"/>
    <w:rsid w:val="000569FE"/>
    <w:rsid w:val="00056F15"/>
    <w:rsid w:val="00057162"/>
    <w:rsid w:val="000579C7"/>
    <w:rsid w:val="00057BF1"/>
    <w:rsid w:val="000601D1"/>
    <w:rsid w:val="000603DB"/>
    <w:rsid w:val="000608A9"/>
    <w:rsid w:val="00061277"/>
    <w:rsid w:val="00061758"/>
    <w:rsid w:val="00061826"/>
    <w:rsid w:val="00061B1F"/>
    <w:rsid w:val="00061B2E"/>
    <w:rsid w:val="00061D2F"/>
    <w:rsid w:val="00061FEB"/>
    <w:rsid w:val="00062221"/>
    <w:rsid w:val="00062458"/>
    <w:rsid w:val="00062790"/>
    <w:rsid w:val="0006294C"/>
    <w:rsid w:val="00062BF9"/>
    <w:rsid w:val="0006320A"/>
    <w:rsid w:val="00063345"/>
    <w:rsid w:val="000635AD"/>
    <w:rsid w:val="00066A0B"/>
    <w:rsid w:val="00066BB3"/>
    <w:rsid w:val="00067613"/>
    <w:rsid w:val="00070B12"/>
    <w:rsid w:val="0007152D"/>
    <w:rsid w:val="00073124"/>
    <w:rsid w:val="000733C4"/>
    <w:rsid w:val="000736EC"/>
    <w:rsid w:val="00073A67"/>
    <w:rsid w:val="00073D3A"/>
    <w:rsid w:val="00073FF6"/>
    <w:rsid w:val="00074783"/>
    <w:rsid w:val="00075C31"/>
    <w:rsid w:val="00076680"/>
    <w:rsid w:val="00076772"/>
    <w:rsid w:val="000771E9"/>
    <w:rsid w:val="000775A2"/>
    <w:rsid w:val="00077B8F"/>
    <w:rsid w:val="00077CE0"/>
    <w:rsid w:val="00080032"/>
    <w:rsid w:val="0008070B"/>
    <w:rsid w:val="00080B6C"/>
    <w:rsid w:val="00080CBC"/>
    <w:rsid w:val="00080D86"/>
    <w:rsid w:val="00080F5A"/>
    <w:rsid w:val="000810AC"/>
    <w:rsid w:val="000811CE"/>
    <w:rsid w:val="0008182F"/>
    <w:rsid w:val="00081A02"/>
    <w:rsid w:val="00081D0F"/>
    <w:rsid w:val="00082231"/>
    <w:rsid w:val="00082CA8"/>
    <w:rsid w:val="00083018"/>
    <w:rsid w:val="00085194"/>
    <w:rsid w:val="00085334"/>
    <w:rsid w:val="00085786"/>
    <w:rsid w:val="00085CFA"/>
    <w:rsid w:val="00085DCF"/>
    <w:rsid w:val="00085DFF"/>
    <w:rsid w:val="000876A8"/>
    <w:rsid w:val="00087A21"/>
    <w:rsid w:val="00090042"/>
    <w:rsid w:val="00090374"/>
    <w:rsid w:val="00090726"/>
    <w:rsid w:val="000908A6"/>
    <w:rsid w:val="000912A6"/>
    <w:rsid w:val="00091804"/>
    <w:rsid w:val="00091B74"/>
    <w:rsid w:val="000921CB"/>
    <w:rsid w:val="00092D38"/>
    <w:rsid w:val="0009377B"/>
    <w:rsid w:val="00093F9C"/>
    <w:rsid w:val="00094644"/>
    <w:rsid w:val="00094881"/>
    <w:rsid w:val="000959FF"/>
    <w:rsid w:val="00096FFC"/>
    <w:rsid w:val="000975A6"/>
    <w:rsid w:val="00097898"/>
    <w:rsid w:val="00097E77"/>
    <w:rsid w:val="000A0644"/>
    <w:rsid w:val="000A070F"/>
    <w:rsid w:val="000A0794"/>
    <w:rsid w:val="000A0BEF"/>
    <w:rsid w:val="000A0C19"/>
    <w:rsid w:val="000A1191"/>
    <w:rsid w:val="000A1D53"/>
    <w:rsid w:val="000A1F22"/>
    <w:rsid w:val="000A20C9"/>
    <w:rsid w:val="000A2A06"/>
    <w:rsid w:val="000A2C68"/>
    <w:rsid w:val="000A2CF0"/>
    <w:rsid w:val="000A32CF"/>
    <w:rsid w:val="000A36AD"/>
    <w:rsid w:val="000A47C0"/>
    <w:rsid w:val="000A4B0D"/>
    <w:rsid w:val="000A4B6D"/>
    <w:rsid w:val="000A5140"/>
    <w:rsid w:val="000A59B4"/>
    <w:rsid w:val="000A69C2"/>
    <w:rsid w:val="000A74BA"/>
    <w:rsid w:val="000B04C0"/>
    <w:rsid w:val="000B058F"/>
    <w:rsid w:val="000B08CB"/>
    <w:rsid w:val="000B0F18"/>
    <w:rsid w:val="000B171B"/>
    <w:rsid w:val="000B1939"/>
    <w:rsid w:val="000B213E"/>
    <w:rsid w:val="000B250C"/>
    <w:rsid w:val="000B25DB"/>
    <w:rsid w:val="000B2906"/>
    <w:rsid w:val="000B2AA2"/>
    <w:rsid w:val="000B3C28"/>
    <w:rsid w:val="000B4467"/>
    <w:rsid w:val="000B4ACE"/>
    <w:rsid w:val="000B4DB9"/>
    <w:rsid w:val="000B5E6D"/>
    <w:rsid w:val="000B6B91"/>
    <w:rsid w:val="000B7455"/>
    <w:rsid w:val="000B764A"/>
    <w:rsid w:val="000C0212"/>
    <w:rsid w:val="000C076F"/>
    <w:rsid w:val="000C09AC"/>
    <w:rsid w:val="000C0D15"/>
    <w:rsid w:val="000C1083"/>
    <w:rsid w:val="000C1564"/>
    <w:rsid w:val="000C15ED"/>
    <w:rsid w:val="000C1B24"/>
    <w:rsid w:val="000C1C81"/>
    <w:rsid w:val="000C25F5"/>
    <w:rsid w:val="000C2C3A"/>
    <w:rsid w:val="000C3596"/>
    <w:rsid w:val="000C40DF"/>
    <w:rsid w:val="000C436D"/>
    <w:rsid w:val="000C4AE9"/>
    <w:rsid w:val="000C528C"/>
    <w:rsid w:val="000C59C6"/>
    <w:rsid w:val="000C6C56"/>
    <w:rsid w:val="000C7421"/>
    <w:rsid w:val="000C767F"/>
    <w:rsid w:val="000C77A0"/>
    <w:rsid w:val="000D01D4"/>
    <w:rsid w:val="000D02BD"/>
    <w:rsid w:val="000D0B33"/>
    <w:rsid w:val="000D0E2E"/>
    <w:rsid w:val="000D1055"/>
    <w:rsid w:val="000D185D"/>
    <w:rsid w:val="000D1A13"/>
    <w:rsid w:val="000D1AF9"/>
    <w:rsid w:val="000D2412"/>
    <w:rsid w:val="000D3F82"/>
    <w:rsid w:val="000D4226"/>
    <w:rsid w:val="000D49CE"/>
    <w:rsid w:val="000D4BC4"/>
    <w:rsid w:val="000D56DE"/>
    <w:rsid w:val="000D56F6"/>
    <w:rsid w:val="000D5A44"/>
    <w:rsid w:val="000D6187"/>
    <w:rsid w:val="000D62BA"/>
    <w:rsid w:val="000D63C1"/>
    <w:rsid w:val="000D64FA"/>
    <w:rsid w:val="000D68D8"/>
    <w:rsid w:val="000D6A1C"/>
    <w:rsid w:val="000D6A53"/>
    <w:rsid w:val="000D72B5"/>
    <w:rsid w:val="000D790D"/>
    <w:rsid w:val="000D7AB3"/>
    <w:rsid w:val="000D7F0E"/>
    <w:rsid w:val="000E02ED"/>
    <w:rsid w:val="000E1BAF"/>
    <w:rsid w:val="000E2451"/>
    <w:rsid w:val="000E26BE"/>
    <w:rsid w:val="000E2C00"/>
    <w:rsid w:val="000E2EDA"/>
    <w:rsid w:val="000E3A23"/>
    <w:rsid w:val="000E3ED2"/>
    <w:rsid w:val="000E4113"/>
    <w:rsid w:val="000E447D"/>
    <w:rsid w:val="000E4611"/>
    <w:rsid w:val="000E499C"/>
    <w:rsid w:val="000E4B8C"/>
    <w:rsid w:val="000E5078"/>
    <w:rsid w:val="000E5509"/>
    <w:rsid w:val="000E7993"/>
    <w:rsid w:val="000F03B4"/>
    <w:rsid w:val="000F03CC"/>
    <w:rsid w:val="000F0885"/>
    <w:rsid w:val="000F0A86"/>
    <w:rsid w:val="000F1147"/>
    <w:rsid w:val="000F11AF"/>
    <w:rsid w:val="000F143D"/>
    <w:rsid w:val="000F1BC2"/>
    <w:rsid w:val="000F1BF5"/>
    <w:rsid w:val="000F2425"/>
    <w:rsid w:val="000F2C45"/>
    <w:rsid w:val="000F2FB4"/>
    <w:rsid w:val="000F30B2"/>
    <w:rsid w:val="000F30E7"/>
    <w:rsid w:val="000F3121"/>
    <w:rsid w:val="000F35A6"/>
    <w:rsid w:val="000F4BEE"/>
    <w:rsid w:val="000F5112"/>
    <w:rsid w:val="000F5246"/>
    <w:rsid w:val="000F5B84"/>
    <w:rsid w:val="000F5EFF"/>
    <w:rsid w:val="000F6266"/>
    <w:rsid w:val="000F6783"/>
    <w:rsid w:val="000F6D00"/>
    <w:rsid w:val="000F6DB1"/>
    <w:rsid w:val="000F7619"/>
    <w:rsid w:val="000F7DA3"/>
    <w:rsid w:val="000F7F39"/>
    <w:rsid w:val="00100CB5"/>
    <w:rsid w:val="00100CBE"/>
    <w:rsid w:val="00100D6E"/>
    <w:rsid w:val="00101800"/>
    <w:rsid w:val="00102540"/>
    <w:rsid w:val="0010283E"/>
    <w:rsid w:val="00102A71"/>
    <w:rsid w:val="00103250"/>
    <w:rsid w:val="00103904"/>
    <w:rsid w:val="00103A88"/>
    <w:rsid w:val="00103F0F"/>
    <w:rsid w:val="00104250"/>
    <w:rsid w:val="00105487"/>
    <w:rsid w:val="001056E8"/>
    <w:rsid w:val="00105B53"/>
    <w:rsid w:val="00105CA2"/>
    <w:rsid w:val="00105F77"/>
    <w:rsid w:val="0010630F"/>
    <w:rsid w:val="0010755F"/>
    <w:rsid w:val="00107862"/>
    <w:rsid w:val="00107F43"/>
    <w:rsid w:val="00111458"/>
    <w:rsid w:val="00111A8D"/>
    <w:rsid w:val="00112287"/>
    <w:rsid w:val="00112B24"/>
    <w:rsid w:val="00113755"/>
    <w:rsid w:val="00114294"/>
    <w:rsid w:val="0011484B"/>
    <w:rsid w:val="00114CB7"/>
    <w:rsid w:val="00115726"/>
    <w:rsid w:val="00115E20"/>
    <w:rsid w:val="00115F19"/>
    <w:rsid w:val="00116106"/>
    <w:rsid w:val="00116649"/>
    <w:rsid w:val="00116893"/>
    <w:rsid w:val="001168AD"/>
    <w:rsid w:val="00116950"/>
    <w:rsid w:val="00116D57"/>
    <w:rsid w:val="001175FD"/>
    <w:rsid w:val="00117DEF"/>
    <w:rsid w:val="001200D0"/>
    <w:rsid w:val="001209E4"/>
    <w:rsid w:val="001215C2"/>
    <w:rsid w:val="001220B2"/>
    <w:rsid w:val="00122643"/>
    <w:rsid w:val="00123711"/>
    <w:rsid w:val="00123DF6"/>
    <w:rsid w:val="00123E40"/>
    <w:rsid w:val="00123F43"/>
    <w:rsid w:val="00124574"/>
    <w:rsid w:val="00124D96"/>
    <w:rsid w:val="00124F99"/>
    <w:rsid w:val="0012519C"/>
    <w:rsid w:val="00125246"/>
    <w:rsid w:val="001253BA"/>
    <w:rsid w:val="00125B77"/>
    <w:rsid w:val="001262EF"/>
    <w:rsid w:val="001267A3"/>
    <w:rsid w:val="00126B04"/>
    <w:rsid w:val="0012702A"/>
    <w:rsid w:val="00127908"/>
    <w:rsid w:val="001306D1"/>
    <w:rsid w:val="0013095B"/>
    <w:rsid w:val="00130BE9"/>
    <w:rsid w:val="00130E00"/>
    <w:rsid w:val="0013123F"/>
    <w:rsid w:val="001317FD"/>
    <w:rsid w:val="00131809"/>
    <w:rsid w:val="0013181B"/>
    <w:rsid w:val="00131F42"/>
    <w:rsid w:val="0013283D"/>
    <w:rsid w:val="00133EDD"/>
    <w:rsid w:val="001344AF"/>
    <w:rsid w:val="001351DC"/>
    <w:rsid w:val="00135581"/>
    <w:rsid w:val="001357F1"/>
    <w:rsid w:val="00135B4B"/>
    <w:rsid w:val="00136453"/>
    <w:rsid w:val="00136745"/>
    <w:rsid w:val="00136A10"/>
    <w:rsid w:val="00136C60"/>
    <w:rsid w:val="00137323"/>
    <w:rsid w:val="0013789F"/>
    <w:rsid w:val="0013791F"/>
    <w:rsid w:val="00137ED9"/>
    <w:rsid w:val="00137F6E"/>
    <w:rsid w:val="00137F9D"/>
    <w:rsid w:val="001402DD"/>
    <w:rsid w:val="00140F56"/>
    <w:rsid w:val="00140FA8"/>
    <w:rsid w:val="00141156"/>
    <w:rsid w:val="00141C91"/>
    <w:rsid w:val="00141CE9"/>
    <w:rsid w:val="001422BE"/>
    <w:rsid w:val="001424EE"/>
    <w:rsid w:val="001428E3"/>
    <w:rsid w:val="00142F1B"/>
    <w:rsid w:val="00142FEB"/>
    <w:rsid w:val="00143284"/>
    <w:rsid w:val="0014354D"/>
    <w:rsid w:val="00143A2D"/>
    <w:rsid w:val="00143D8A"/>
    <w:rsid w:val="00144004"/>
    <w:rsid w:val="00144FE1"/>
    <w:rsid w:val="00145343"/>
    <w:rsid w:val="00145A41"/>
    <w:rsid w:val="001461C4"/>
    <w:rsid w:val="001466A1"/>
    <w:rsid w:val="001466C7"/>
    <w:rsid w:val="001467AB"/>
    <w:rsid w:val="00146FE9"/>
    <w:rsid w:val="00147723"/>
    <w:rsid w:val="00147A71"/>
    <w:rsid w:val="00147AE9"/>
    <w:rsid w:val="0015016D"/>
    <w:rsid w:val="001501E7"/>
    <w:rsid w:val="0015041E"/>
    <w:rsid w:val="00150981"/>
    <w:rsid w:val="00150CB6"/>
    <w:rsid w:val="001513D4"/>
    <w:rsid w:val="0015166B"/>
    <w:rsid w:val="00151675"/>
    <w:rsid w:val="0015178B"/>
    <w:rsid w:val="00151DDB"/>
    <w:rsid w:val="00151EA4"/>
    <w:rsid w:val="00152500"/>
    <w:rsid w:val="0015255F"/>
    <w:rsid w:val="00152D9D"/>
    <w:rsid w:val="00152DBA"/>
    <w:rsid w:val="00152FC3"/>
    <w:rsid w:val="00153604"/>
    <w:rsid w:val="001538A6"/>
    <w:rsid w:val="00153CC5"/>
    <w:rsid w:val="00154FEF"/>
    <w:rsid w:val="0015505A"/>
    <w:rsid w:val="00155916"/>
    <w:rsid w:val="00155C2D"/>
    <w:rsid w:val="00155C5E"/>
    <w:rsid w:val="001568E6"/>
    <w:rsid w:val="0015690E"/>
    <w:rsid w:val="00156922"/>
    <w:rsid w:val="00157435"/>
    <w:rsid w:val="00160253"/>
    <w:rsid w:val="00160839"/>
    <w:rsid w:val="00161183"/>
    <w:rsid w:val="00161286"/>
    <w:rsid w:val="00161ADD"/>
    <w:rsid w:val="00161BD5"/>
    <w:rsid w:val="00162C20"/>
    <w:rsid w:val="00163561"/>
    <w:rsid w:val="001635FC"/>
    <w:rsid w:val="00163606"/>
    <w:rsid w:val="00163EEE"/>
    <w:rsid w:val="00163FF1"/>
    <w:rsid w:val="001643E5"/>
    <w:rsid w:val="001651A0"/>
    <w:rsid w:val="00165C9C"/>
    <w:rsid w:val="0016623C"/>
    <w:rsid w:val="00166E91"/>
    <w:rsid w:val="00167366"/>
    <w:rsid w:val="0016794B"/>
    <w:rsid w:val="00167EA7"/>
    <w:rsid w:val="00170714"/>
    <w:rsid w:val="001713B4"/>
    <w:rsid w:val="0017203E"/>
    <w:rsid w:val="0017271B"/>
    <w:rsid w:val="001729B8"/>
    <w:rsid w:val="00172E85"/>
    <w:rsid w:val="00172E98"/>
    <w:rsid w:val="00173263"/>
    <w:rsid w:val="0017335E"/>
    <w:rsid w:val="00173DD8"/>
    <w:rsid w:val="001741B7"/>
    <w:rsid w:val="001742BA"/>
    <w:rsid w:val="001743CF"/>
    <w:rsid w:val="00174B30"/>
    <w:rsid w:val="0017504D"/>
    <w:rsid w:val="00175722"/>
    <w:rsid w:val="00175AEC"/>
    <w:rsid w:val="00175EE0"/>
    <w:rsid w:val="0017671A"/>
    <w:rsid w:val="0017688E"/>
    <w:rsid w:val="0017729D"/>
    <w:rsid w:val="00177422"/>
    <w:rsid w:val="001779E7"/>
    <w:rsid w:val="00180068"/>
    <w:rsid w:val="00180848"/>
    <w:rsid w:val="00181002"/>
    <w:rsid w:val="00181C44"/>
    <w:rsid w:val="001829CC"/>
    <w:rsid w:val="00182A78"/>
    <w:rsid w:val="00182B99"/>
    <w:rsid w:val="00183938"/>
    <w:rsid w:val="00183986"/>
    <w:rsid w:val="00184590"/>
    <w:rsid w:val="00184876"/>
    <w:rsid w:val="00185067"/>
    <w:rsid w:val="001850EB"/>
    <w:rsid w:val="00185321"/>
    <w:rsid w:val="0018599A"/>
    <w:rsid w:val="001860E7"/>
    <w:rsid w:val="00186536"/>
    <w:rsid w:val="00186921"/>
    <w:rsid w:val="001869F3"/>
    <w:rsid w:val="00186B37"/>
    <w:rsid w:val="001870D1"/>
    <w:rsid w:val="0018759A"/>
    <w:rsid w:val="001876CA"/>
    <w:rsid w:val="0018781E"/>
    <w:rsid w:val="001878D7"/>
    <w:rsid w:val="0019008E"/>
    <w:rsid w:val="001900E6"/>
    <w:rsid w:val="001901EB"/>
    <w:rsid w:val="001904FD"/>
    <w:rsid w:val="00190AAF"/>
    <w:rsid w:val="00190B8E"/>
    <w:rsid w:val="00190BE3"/>
    <w:rsid w:val="00190DA6"/>
    <w:rsid w:val="001920EB"/>
    <w:rsid w:val="0019262D"/>
    <w:rsid w:val="00192F5A"/>
    <w:rsid w:val="0019338D"/>
    <w:rsid w:val="00193C92"/>
    <w:rsid w:val="00194A82"/>
    <w:rsid w:val="00194FC8"/>
    <w:rsid w:val="001952D9"/>
    <w:rsid w:val="0019781A"/>
    <w:rsid w:val="001A0FBC"/>
    <w:rsid w:val="001A10AF"/>
    <w:rsid w:val="001A1161"/>
    <w:rsid w:val="001A1B35"/>
    <w:rsid w:val="001A243A"/>
    <w:rsid w:val="001A2F0C"/>
    <w:rsid w:val="001A3126"/>
    <w:rsid w:val="001A31DA"/>
    <w:rsid w:val="001A3816"/>
    <w:rsid w:val="001A48A2"/>
    <w:rsid w:val="001A517B"/>
    <w:rsid w:val="001A535A"/>
    <w:rsid w:val="001A569A"/>
    <w:rsid w:val="001A5B83"/>
    <w:rsid w:val="001A5C4D"/>
    <w:rsid w:val="001A619B"/>
    <w:rsid w:val="001A61E8"/>
    <w:rsid w:val="001A61F4"/>
    <w:rsid w:val="001A6F61"/>
    <w:rsid w:val="001A6F6A"/>
    <w:rsid w:val="001A7719"/>
    <w:rsid w:val="001A796A"/>
    <w:rsid w:val="001A7CB3"/>
    <w:rsid w:val="001A7D01"/>
    <w:rsid w:val="001A7DE5"/>
    <w:rsid w:val="001B0D62"/>
    <w:rsid w:val="001B11CC"/>
    <w:rsid w:val="001B17E3"/>
    <w:rsid w:val="001B198C"/>
    <w:rsid w:val="001B1E95"/>
    <w:rsid w:val="001B1F22"/>
    <w:rsid w:val="001B1FB5"/>
    <w:rsid w:val="001B30D9"/>
    <w:rsid w:val="001B37B7"/>
    <w:rsid w:val="001B3C1F"/>
    <w:rsid w:val="001B43A5"/>
    <w:rsid w:val="001B48CA"/>
    <w:rsid w:val="001B5301"/>
    <w:rsid w:val="001B5626"/>
    <w:rsid w:val="001B5DFB"/>
    <w:rsid w:val="001B6732"/>
    <w:rsid w:val="001B6A68"/>
    <w:rsid w:val="001B6F70"/>
    <w:rsid w:val="001B72B8"/>
    <w:rsid w:val="001C028C"/>
    <w:rsid w:val="001C04F7"/>
    <w:rsid w:val="001C126E"/>
    <w:rsid w:val="001C1B10"/>
    <w:rsid w:val="001C1B8B"/>
    <w:rsid w:val="001C25DE"/>
    <w:rsid w:val="001C3B2B"/>
    <w:rsid w:val="001C44FF"/>
    <w:rsid w:val="001C452E"/>
    <w:rsid w:val="001C4631"/>
    <w:rsid w:val="001C4E11"/>
    <w:rsid w:val="001C54A0"/>
    <w:rsid w:val="001C5944"/>
    <w:rsid w:val="001C614D"/>
    <w:rsid w:val="001C6888"/>
    <w:rsid w:val="001C69B3"/>
    <w:rsid w:val="001C7541"/>
    <w:rsid w:val="001D032C"/>
    <w:rsid w:val="001D0D3E"/>
    <w:rsid w:val="001D1737"/>
    <w:rsid w:val="001D1832"/>
    <w:rsid w:val="001D1A9C"/>
    <w:rsid w:val="001D2268"/>
    <w:rsid w:val="001D2519"/>
    <w:rsid w:val="001D26BF"/>
    <w:rsid w:val="001D2A7A"/>
    <w:rsid w:val="001D2C9F"/>
    <w:rsid w:val="001D3685"/>
    <w:rsid w:val="001D3953"/>
    <w:rsid w:val="001D3F47"/>
    <w:rsid w:val="001D437A"/>
    <w:rsid w:val="001D485C"/>
    <w:rsid w:val="001D493F"/>
    <w:rsid w:val="001D53A3"/>
    <w:rsid w:val="001D5595"/>
    <w:rsid w:val="001D55A7"/>
    <w:rsid w:val="001D5886"/>
    <w:rsid w:val="001D5A03"/>
    <w:rsid w:val="001D5B93"/>
    <w:rsid w:val="001D643A"/>
    <w:rsid w:val="001D6CC9"/>
    <w:rsid w:val="001D7874"/>
    <w:rsid w:val="001D7A3B"/>
    <w:rsid w:val="001D7F22"/>
    <w:rsid w:val="001E15E7"/>
    <w:rsid w:val="001E18E0"/>
    <w:rsid w:val="001E1FEF"/>
    <w:rsid w:val="001E20B9"/>
    <w:rsid w:val="001E3420"/>
    <w:rsid w:val="001E3AF6"/>
    <w:rsid w:val="001E4090"/>
    <w:rsid w:val="001E5092"/>
    <w:rsid w:val="001E5135"/>
    <w:rsid w:val="001E5E7E"/>
    <w:rsid w:val="001E6811"/>
    <w:rsid w:val="001E6B8A"/>
    <w:rsid w:val="001E7B3A"/>
    <w:rsid w:val="001E7C58"/>
    <w:rsid w:val="001F0F17"/>
    <w:rsid w:val="001F1337"/>
    <w:rsid w:val="001F14DD"/>
    <w:rsid w:val="001F1601"/>
    <w:rsid w:val="001F1DD6"/>
    <w:rsid w:val="001F2667"/>
    <w:rsid w:val="001F26EF"/>
    <w:rsid w:val="001F28A8"/>
    <w:rsid w:val="001F3347"/>
    <w:rsid w:val="001F34AE"/>
    <w:rsid w:val="001F3E65"/>
    <w:rsid w:val="001F49D2"/>
    <w:rsid w:val="001F4BBA"/>
    <w:rsid w:val="001F500E"/>
    <w:rsid w:val="001F5E24"/>
    <w:rsid w:val="001F69E4"/>
    <w:rsid w:val="001F6B2B"/>
    <w:rsid w:val="001F788A"/>
    <w:rsid w:val="001F7AB4"/>
    <w:rsid w:val="0020084F"/>
    <w:rsid w:val="00200BF0"/>
    <w:rsid w:val="00200C77"/>
    <w:rsid w:val="00200E05"/>
    <w:rsid w:val="00200E66"/>
    <w:rsid w:val="002014BD"/>
    <w:rsid w:val="00201EE5"/>
    <w:rsid w:val="00202ABA"/>
    <w:rsid w:val="00202ABB"/>
    <w:rsid w:val="00202B1C"/>
    <w:rsid w:val="00202EED"/>
    <w:rsid w:val="00202FD1"/>
    <w:rsid w:val="002034D4"/>
    <w:rsid w:val="00203BB7"/>
    <w:rsid w:val="00203C15"/>
    <w:rsid w:val="00204231"/>
    <w:rsid w:val="00204C82"/>
    <w:rsid w:val="00204E01"/>
    <w:rsid w:val="002065EB"/>
    <w:rsid w:val="00206790"/>
    <w:rsid w:val="002068E8"/>
    <w:rsid w:val="00206C9D"/>
    <w:rsid w:val="00206CEC"/>
    <w:rsid w:val="00207F11"/>
    <w:rsid w:val="00210157"/>
    <w:rsid w:val="00210413"/>
    <w:rsid w:val="0021058A"/>
    <w:rsid w:val="0021075D"/>
    <w:rsid w:val="00210EF6"/>
    <w:rsid w:val="002111FB"/>
    <w:rsid w:val="0021226A"/>
    <w:rsid w:val="00212386"/>
    <w:rsid w:val="00212500"/>
    <w:rsid w:val="002125B4"/>
    <w:rsid w:val="00212ACB"/>
    <w:rsid w:val="00212DC1"/>
    <w:rsid w:val="00212FA8"/>
    <w:rsid w:val="00213EAB"/>
    <w:rsid w:val="0021437D"/>
    <w:rsid w:val="00214467"/>
    <w:rsid w:val="002146FB"/>
    <w:rsid w:val="00214ACA"/>
    <w:rsid w:val="00214F60"/>
    <w:rsid w:val="00214FA8"/>
    <w:rsid w:val="002155B8"/>
    <w:rsid w:val="00215CAE"/>
    <w:rsid w:val="00216157"/>
    <w:rsid w:val="00216465"/>
    <w:rsid w:val="00216466"/>
    <w:rsid w:val="0021693A"/>
    <w:rsid w:val="00216F0D"/>
    <w:rsid w:val="0021788B"/>
    <w:rsid w:val="00217F12"/>
    <w:rsid w:val="00220703"/>
    <w:rsid w:val="002209E4"/>
    <w:rsid w:val="002210ED"/>
    <w:rsid w:val="002212C5"/>
    <w:rsid w:val="0022130D"/>
    <w:rsid w:val="002213FF"/>
    <w:rsid w:val="00222834"/>
    <w:rsid w:val="002228BB"/>
    <w:rsid w:val="00223960"/>
    <w:rsid w:val="00223B9E"/>
    <w:rsid w:val="00223EE1"/>
    <w:rsid w:val="00224839"/>
    <w:rsid w:val="002249B2"/>
    <w:rsid w:val="00224F4B"/>
    <w:rsid w:val="00225046"/>
    <w:rsid w:val="002250C0"/>
    <w:rsid w:val="00226574"/>
    <w:rsid w:val="0022705F"/>
    <w:rsid w:val="0022783F"/>
    <w:rsid w:val="002278EC"/>
    <w:rsid w:val="0023137D"/>
    <w:rsid w:val="00231940"/>
    <w:rsid w:val="00231F0A"/>
    <w:rsid w:val="002321DA"/>
    <w:rsid w:val="002326E0"/>
    <w:rsid w:val="0023280E"/>
    <w:rsid w:val="00232A38"/>
    <w:rsid w:val="002333DA"/>
    <w:rsid w:val="00233988"/>
    <w:rsid w:val="00233D3F"/>
    <w:rsid w:val="0023431E"/>
    <w:rsid w:val="002344CC"/>
    <w:rsid w:val="00234501"/>
    <w:rsid w:val="00234DD2"/>
    <w:rsid w:val="00235C45"/>
    <w:rsid w:val="00235E5F"/>
    <w:rsid w:val="00235FB1"/>
    <w:rsid w:val="00236934"/>
    <w:rsid w:val="00236976"/>
    <w:rsid w:val="00236B24"/>
    <w:rsid w:val="002377D1"/>
    <w:rsid w:val="00237D71"/>
    <w:rsid w:val="00237F31"/>
    <w:rsid w:val="00240E4B"/>
    <w:rsid w:val="002416DD"/>
    <w:rsid w:val="00241A5F"/>
    <w:rsid w:val="00241FEB"/>
    <w:rsid w:val="00242503"/>
    <w:rsid w:val="002432D4"/>
    <w:rsid w:val="00243662"/>
    <w:rsid w:val="0024370D"/>
    <w:rsid w:val="00243C78"/>
    <w:rsid w:val="0024524E"/>
    <w:rsid w:val="002456BB"/>
    <w:rsid w:val="0024622E"/>
    <w:rsid w:val="002469BC"/>
    <w:rsid w:val="00246ABB"/>
    <w:rsid w:val="00247342"/>
    <w:rsid w:val="00247B34"/>
    <w:rsid w:val="00247E46"/>
    <w:rsid w:val="002500ED"/>
    <w:rsid w:val="002501E0"/>
    <w:rsid w:val="002506BC"/>
    <w:rsid w:val="00250D11"/>
    <w:rsid w:val="00250E9D"/>
    <w:rsid w:val="00251DE5"/>
    <w:rsid w:val="00252A26"/>
    <w:rsid w:val="00252C6A"/>
    <w:rsid w:val="00252CE1"/>
    <w:rsid w:val="00252FED"/>
    <w:rsid w:val="00254345"/>
    <w:rsid w:val="0025568F"/>
    <w:rsid w:val="00255698"/>
    <w:rsid w:val="002563CD"/>
    <w:rsid w:val="00257491"/>
    <w:rsid w:val="00257653"/>
    <w:rsid w:val="00257BEE"/>
    <w:rsid w:val="00257E78"/>
    <w:rsid w:val="002600D8"/>
    <w:rsid w:val="00260DE2"/>
    <w:rsid w:val="00261D13"/>
    <w:rsid w:val="00261DE8"/>
    <w:rsid w:val="00262537"/>
    <w:rsid w:val="00262759"/>
    <w:rsid w:val="00264289"/>
    <w:rsid w:val="00264557"/>
    <w:rsid w:val="00264622"/>
    <w:rsid w:val="00264D9C"/>
    <w:rsid w:val="0026572B"/>
    <w:rsid w:val="00265A39"/>
    <w:rsid w:val="00265A48"/>
    <w:rsid w:val="00265B6A"/>
    <w:rsid w:val="00265BFC"/>
    <w:rsid w:val="00266688"/>
    <w:rsid w:val="00266A47"/>
    <w:rsid w:val="00266DFF"/>
    <w:rsid w:val="002671CD"/>
    <w:rsid w:val="002672DA"/>
    <w:rsid w:val="0026797C"/>
    <w:rsid w:val="002679F2"/>
    <w:rsid w:val="002700F1"/>
    <w:rsid w:val="002709E0"/>
    <w:rsid w:val="00270AD6"/>
    <w:rsid w:val="00270CD2"/>
    <w:rsid w:val="00270D6D"/>
    <w:rsid w:val="002715C4"/>
    <w:rsid w:val="00271C88"/>
    <w:rsid w:val="002728F6"/>
    <w:rsid w:val="00273436"/>
    <w:rsid w:val="002734FD"/>
    <w:rsid w:val="0027443A"/>
    <w:rsid w:val="0027476C"/>
    <w:rsid w:val="00274CFF"/>
    <w:rsid w:val="00275DFA"/>
    <w:rsid w:val="00275FCE"/>
    <w:rsid w:val="0027612E"/>
    <w:rsid w:val="00276A38"/>
    <w:rsid w:val="00277A2F"/>
    <w:rsid w:val="00277FD5"/>
    <w:rsid w:val="00280588"/>
    <w:rsid w:val="002805AB"/>
    <w:rsid w:val="002809E5"/>
    <w:rsid w:val="00280F53"/>
    <w:rsid w:val="002810F9"/>
    <w:rsid w:val="0028133A"/>
    <w:rsid w:val="0028148A"/>
    <w:rsid w:val="00281E05"/>
    <w:rsid w:val="002829F4"/>
    <w:rsid w:val="00283303"/>
    <w:rsid w:val="0028339A"/>
    <w:rsid w:val="00283681"/>
    <w:rsid w:val="002839DB"/>
    <w:rsid w:val="00283A63"/>
    <w:rsid w:val="00283CDA"/>
    <w:rsid w:val="00283E30"/>
    <w:rsid w:val="00283E81"/>
    <w:rsid w:val="00284204"/>
    <w:rsid w:val="0028440B"/>
    <w:rsid w:val="00284ACE"/>
    <w:rsid w:val="002856BD"/>
    <w:rsid w:val="002857F4"/>
    <w:rsid w:val="002859BE"/>
    <w:rsid w:val="002863DE"/>
    <w:rsid w:val="002867F0"/>
    <w:rsid w:val="00286923"/>
    <w:rsid w:val="00286B5E"/>
    <w:rsid w:val="00287675"/>
    <w:rsid w:val="00287ACD"/>
    <w:rsid w:val="002900A7"/>
    <w:rsid w:val="002908C5"/>
    <w:rsid w:val="00291575"/>
    <w:rsid w:val="00291773"/>
    <w:rsid w:val="00291BAF"/>
    <w:rsid w:val="00292491"/>
    <w:rsid w:val="00292CBD"/>
    <w:rsid w:val="00293B4E"/>
    <w:rsid w:val="00293DBE"/>
    <w:rsid w:val="00294203"/>
    <w:rsid w:val="002944B8"/>
    <w:rsid w:val="0029463C"/>
    <w:rsid w:val="002948A1"/>
    <w:rsid w:val="00294E39"/>
    <w:rsid w:val="00295CB4"/>
    <w:rsid w:val="00295FD0"/>
    <w:rsid w:val="00296175"/>
    <w:rsid w:val="0029617E"/>
    <w:rsid w:val="002964DF"/>
    <w:rsid w:val="00296527"/>
    <w:rsid w:val="00296705"/>
    <w:rsid w:val="00296759"/>
    <w:rsid w:val="0029718A"/>
    <w:rsid w:val="002977B3"/>
    <w:rsid w:val="00297980"/>
    <w:rsid w:val="00297C9C"/>
    <w:rsid w:val="00297CF9"/>
    <w:rsid w:val="002A0034"/>
    <w:rsid w:val="002A09AD"/>
    <w:rsid w:val="002A1475"/>
    <w:rsid w:val="002A168C"/>
    <w:rsid w:val="002A32CA"/>
    <w:rsid w:val="002A348A"/>
    <w:rsid w:val="002A3ABA"/>
    <w:rsid w:val="002A3DC7"/>
    <w:rsid w:val="002A4061"/>
    <w:rsid w:val="002A471D"/>
    <w:rsid w:val="002A4DB8"/>
    <w:rsid w:val="002A4EA7"/>
    <w:rsid w:val="002A4EB9"/>
    <w:rsid w:val="002A680B"/>
    <w:rsid w:val="002A6A67"/>
    <w:rsid w:val="002A6A8D"/>
    <w:rsid w:val="002A6AC8"/>
    <w:rsid w:val="002A73FB"/>
    <w:rsid w:val="002A76FD"/>
    <w:rsid w:val="002A790D"/>
    <w:rsid w:val="002A7BF0"/>
    <w:rsid w:val="002B070E"/>
    <w:rsid w:val="002B0715"/>
    <w:rsid w:val="002B090D"/>
    <w:rsid w:val="002B1906"/>
    <w:rsid w:val="002B19EB"/>
    <w:rsid w:val="002B1CFF"/>
    <w:rsid w:val="002B237C"/>
    <w:rsid w:val="002B2466"/>
    <w:rsid w:val="002B2740"/>
    <w:rsid w:val="002B2D56"/>
    <w:rsid w:val="002B354B"/>
    <w:rsid w:val="002B36FE"/>
    <w:rsid w:val="002B3B9C"/>
    <w:rsid w:val="002B49E2"/>
    <w:rsid w:val="002B5B8D"/>
    <w:rsid w:val="002B6490"/>
    <w:rsid w:val="002B6CA7"/>
    <w:rsid w:val="002B732E"/>
    <w:rsid w:val="002B7593"/>
    <w:rsid w:val="002B7B00"/>
    <w:rsid w:val="002B7C44"/>
    <w:rsid w:val="002C0586"/>
    <w:rsid w:val="002C0714"/>
    <w:rsid w:val="002C0891"/>
    <w:rsid w:val="002C0A04"/>
    <w:rsid w:val="002C0E76"/>
    <w:rsid w:val="002C1079"/>
    <w:rsid w:val="002C221F"/>
    <w:rsid w:val="002C23E8"/>
    <w:rsid w:val="002C2601"/>
    <w:rsid w:val="002C2B17"/>
    <w:rsid w:val="002C35CB"/>
    <w:rsid w:val="002C3623"/>
    <w:rsid w:val="002C4885"/>
    <w:rsid w:val="002C4EC8"/>
    <w:rsid w:val="002C5262"/>
    <w:rsid w:val="002C568A"/>
    <w:rsid w:val="002C5C35"/>
    <w:rsid w:val="002C7267"/>
    <w:rsid w:val="002C7896"/>
    <w:rsid w:val="002C79AE"/>
    <w:rsid w:val="002D0428"/>
    <w:rsid w:val="002D051C"/>
    <w:rsid w:val="002D0CE9"/>
    <w:rsid w:val="002D1C52"/>
    <w:rsid w:val="002D1D7B"/>
    <w:rsid w:val="002D39DB"/>
    <w:rsid w:val="002D3A15"/>
    <w:rsid w:val="002D3DD0"/>
    <w:rsid w:val="002D3F27"/>
    <w:rsid w:val="002D404E"/>
    <w:rsid w:val="002D41E5"/>
    <w:rsid w:val="002D4276"/>
    <w:rsid w:val="002D4437"/>
    <w:rsid w:val="002D4B55"/>
    <w:rsid w:val="002D4FAA"/>
    <w:rsid w:val="002D5777"/>
    <w:rsid w:val="002D59F3"/>
    <w:rsid w:val="002D5E77"/>
    <w:rsid w:val="002D619F"/>
    <w:rsid w:val="002D64DE"/>
    <w:rsid w:val="002D6F1C"/>
    <w:rsid w:val="002D73B8"/>
    <w:rsid w:val="002E0324"/>
    <w:rsid w:val="002E0AE4"/>
    <w:rsid w:val="002E0F84"/>
    <w:rsid w:val="002E1665"/>
    <w:rsid w:val="002E1E19"/>
    <w:rsid w:val="002E1F3A"/>
    <w:rsid w:val="002E2483"/>
    <w:rsid w:val="002E298A"/>
    <w:rsid w:val="002E2DB2"/>
    <w:rsid w:val="002E33A9"/>
    <w:rsid w:val="002E3BE7"/>
    <w:rsid w:val="002E3C40"/>
    <w:rsid w:val="002E4103"/>
    <w:rsid w:val="002E419D"/>
    <w:rsid w:val="002E4A6F"/>
    <w:rsid w:val="002E5502"/>
    <w:rsid w:val="002E6E7E"/>
    <w:rsid w:val="002E737E"/>
    <w:rsid w:val="002E74CC"/>
    <w:rsid w:val="002E7A90"/>
    <w:rsid w:val="002E7AB5"/>
    <w:rsid w:val="002E7ECC"/>
    <w:rsid w:val="002E7EE5"/>
    <w:rsid w:val="002E7F7D"/>
    <w:rsid w:val="002F0083"/>
    <w:rsid w:val="002F01E8"/>
    <w:rsid w:val="002F06BB"/>
    <w:rsid w:val="002F084F"/>
    <w:rsid w:val="002F167E"/>
    <w:rsid w:val="002F1874"/>
    <w:rsid w:val="002F1DEB"/>
    <w:rsid w:val="002F21A2"/>
    <w:rsid w:val="002F332D"/>
    <w:rsid w:val="002F3BB1"/>
    <w:rsid w:val="002F3E4A"/>
    <w:rsid w:val="002F402B"/>
    <w:rsid w:val="002F4535"/>
    <w:rsid w:val="002F4798"/>
    <w:rsid w:val="002F48FF"/>
    <w:rsid w:val="002F4D2E"/>
    <w:rsid w:val="002F5003"/>
    <w:rsid w:val="002F54E4"/>
    <w:rsid w:val="002F583E"/>
    <w:rsid w:val="002F58ED"/>
    <w:rsid w:val="002F6DB7"/>
    <w:rsid w:val="002F6F70"/>
    <w:rsid w:val="002F7162"/>
    <w:rsid w:val="002F727F"/>
    <w:rsid w:val="002F73A7"/>
    <w:rsid w:val="002F7410"/>
    <w:rsid w:val="002F7454"/>
    <w:rsid w:val="002F76DA"/>
    <w:rsid w:val="002F7E80"/>
    <w:rsid w:val="003014A7"/>
    <w:rsid w:val="00301978"/>
    <w:rsid w:val="00301D9D"/>
    <w:rsid w:val="003025A0"/>
    <w:rsid w:val="00302EB5"/>
    <w:rsid w:val="00302EC6"/>
    <w:rsid w:val="0030332C"/>
    <w:rsid w:val="003036A4"/>
    <w:rsid w:val="00303D66"/>
    <w:rsid w:val="003051C2"/>
    <w:rsid w:val="0030620B"/>
    <w:rsid w:val="00306471"/>
    <w:rsid w:val="003068DE"/>
    <w:rsid w:val="00307008"/>
    <w:rsid w:val="00307A8C"/>
    <w:rsid w:val="00307BE8"/>
    <w:rsid w:val="00307C95"/>
    <w:rsid w:val="00307CF3"/>
    <w:rsid w:val="00307DCE"/>
    <w:rsid w:val="00307EFE"/>
    <w:rsid w:val="00310072"/>
    <w:rsid w:val="00310A4A"/>
    <w:rsid w:val="00310D41"/>
    <w:rsid w:val="00312296"/>
    <w:rsid w:val="003125A3"/>
    <w:rsid w:val="00312B40"/>
    <w:rsid w:val="00313140"/>
    <w:rsid w:val="00313E57"/>
    <w:rsid w:val="00314A80"/>
    <w:rsid w:val="00314F0E"/>
    <w:rsid w:val="00314F5D"/>
    <w:rsid w:val="0031502B"/>
    <w:rsid w:val="003162E6"/>
    <w:rsid w:val="00317116"/>
    <w:rsid w:val="00317D95"/>
    <w:rsid w:val="00317F0F"/>
    <w:rsid w:val="00317F5B"/>
    <w:rsid w:val="00317F8C"/>
    <w:rsid w:val="003200BF"/>
    <w:rsid w:val="00320CD7"/>
    <w:rsid w:val="00321638"/>
    <w:rsid w:val="00321D8E"/>
    <w:rsid w:val="00321FD7"/>
    <w:rsid w:val="00321FFA"/>
    <w:rsid w:val="0032201C"/>
    <w:rsid w:val="00323B0C"/>
    <w:rsid w:val="0032438E"/>
    <w:rsid w:val="00325928"/>
    <w:rsid w:val="003268BF"/>
    <w:rsid w:val="0032724E"/>
    <w:rsid w:val="003279A1"/>
    <w:rsid w:val="00330571"/>
    <w:rsid w:val="00330682"/>
    <w:rsid w:val="003309B4"/>
    <w:rsid w:val="00331FE0"/>
    <w:rsid w:val="003322C3"/>
    <w:rsid w:val="0033280D"/>
    <w:rsid w:val="00332863"/>
    <w:rsid w:val="00332BB5"/>
    <w:rsid w:val="00332D4C"/>
    <w:rsid w:val="00333528"/>
    <w:rsid w:val="0033425F"/>
    <w:rsid w:val="0033489B"/>
    <w:rsid w:val="00334E7A"/>
    <w:rsid w:val="00335992"/>
    <w:rsid w:val="00335BF6"/>
    <w:rsid w:val="003365F7"/>
    <w:rsid w:val="0033684D"/>
    <w:rsid w:val="00337B42"/>
    <w:rsid w:val="00337C24"/>
    <w:rsid w:val="003401B7"/>
    <w:rsid w:val="00341352"/>
    <w:rsid w:val="003413AE"/>
    <w:rsid w:val="003418D9"/>
    <w:rsid w:val="003419D7"/>
    <w:rsid w:val="00341B42"/>
    <w:rsid w:val="00341C6A"/>
    <w:rsid w:val="00341E0F"/>
    <w:rsid w:val="00341E6D"/>
    <w:rsid w:val="003420A1"/>
    <w:rsid w:val="00342257"/>
    <w:rsid w:val="0034348F"/>
    <w:rsid w:val="00343CEF"/>
    <w:rsid w:val="003440B7"/>
    <w:rsid w:val="003454B6"/>
    <w:rsid w:val="00345591"/>
    <w:rsid w:val="00345E8B"/>
    <w:rsid w:val="003469C7"/>
    <w:rsid w:val="00346B73"/>
    <w:rsid w:val="00346EFB"/>
    <w:rsid w:val="003475B0"/>
    <w:rsid w:val="003475D4"/>
    <w:rsid w:val="00347999"/>
    <w:rsid w:val="003500A0"/>
    <w:rsid w:val="00350A41"/>
    <w:rsid w:val="003519DB"/>
    <w:rsid w:val="00351CA0"/>
    <w:rsid w:val="003521E0"/>
    <w:rsid w:val="00352282"/>
    <w:rsid w:val="0035257D"/>
    <w:rsid w:val="00352B1B"/>
    <w:rsid w:val="00352B3F"/>
    <w:rsid w:val="003535FC"/>
    <w:rsid w:val="003536A4"/>
    <w:rsid w:val="00353C77"/>
    <w:rsid w:val="00353F37"/>
    <w:rsid w:val="0035454F"/>
    <w:rsid w:val="003545DD"/>
    <w:rsid w:val="003545E3"/>
    <w:rsid w:val="003549BA"/>
    <w:rsid w:val="00355277"/>
    <w:rsid w:val="003561AC"/>
    <w:rsid w:val="00356653"/>
    <w:rsid w:val="00356F0D"/>
    <w:rsid w:val="003571E7"/>
    <w:rsid w:val="0035743F"/>
    <w:rsid w:val="00357914"/>
    <w:rsid w:val="00357BE2"/>
    <w:rsid w:val="00360391"/>
    <w:rsid w:val="00360FAB"/>
    <w:rsid w:val="00361006"/>
    <w:rsid w:val="003611F5"/>
    <w:rsid w:val="0036170C"/>
    <w:rsid w:val="003617BE"/>
    <w:rsid w:val="003618CB"/>
    <w:rsid w:val="003619DC"/>
    <w:rsid w:val="00361C6E"/>
    <w:rsid w:val="00361D4E"/>
    <w:rsid w:val="00361EDF"/>
    <w:rsid w:val="003622EE"/>
    <w:rsid w:val="003625CC"/>
    <w:rsid w:val="0036297D"/>
    <w:rsid w:val="00363230"/>
    <w:rsid w:val="003635BF"/>
    <w:rsid w:val="00363932"/>
    <w:rsid w:val="00364142"/>
    <w:rsid w:val="003641A6"/>
    <w:rsid w:val="00364AF8"/>
    <w:rsid w:val="00364DA1"/>
    <w:rsid w:val="0036531C"/>
    <w:rsid w:val="00365E9C"/>
    <w:rsid w:val="003662DB"/>
    <w:rsid w:val="00366510"/>
    <w:rsid w:val="00366E0F"/>
    <w:rsid w:val="00367BB4"/>
    <w:rsid w:val="00367F43"/>
    <w:rsid w:val="003701D5"/>
    <w:rsid w:val="0037034D"/>
    <w:rsid w:val="00370580"/>
    <w:rsid w:val="00370E77"/>
    <w:rsid w:val="00371DE0"/>
    <w:rsid w:val="003720D9"/>
    <w:rsid w:val="0037229A"/>
    <w:rsid w:val="0037242A"/>
    <w:rsid w:val="003729B3"/>
    <w:rsid w:val="00372D46"/>
    <w:rsid w:val="0037311F"/>
    <w:rsid w:val="003737BD"/>
    <w:rsid w:val="00373EE0"/>
    <w:rsid w:val="00374CB6"/>
    <w:rsid w:val="00374E42"/>
    <w:rsid w:val="00374EAF"/>
    <w:rsid w:val="00375019"/>
    <w:rsid w:val="00375174"/>
    <w:rsid w:val="0037635C"/>
    <w:rsid w:val="00376524"/>
    <w:rsid w:val="00376F16"/>
    <w:rsid w:val="003773EA"/>
    <w:rsid w:val="003775AE"/>
    <w:rsid w:val="00377DBB"/>
    <w:rsid w:val="00377FE5"/>
    <w:rsid w:val="003800C5"/>
    <w:rsid w:val="0038011E"/>
    <w:rsid w:val="0038024A"/>
    <w:rsid w:val="003805FA"/>
    <w:rsid w:val="00380CE7"/>
    <w:rsid w:val="00381044"/>
    <w:rsid w:val="003819FF"/>
    <w:rsid w:val="00381A72"/>
    <w:rsid w:val="00381A9D"/>
    <w:rsid w:val="00381B61"/>
    <w:rsid w:val="00381F9E"/>
    <w:rsid w:val="003821D7"/>
    <w:rsid w:val="003828D3"/>
    <w:rsid w:val="003828D7"/>
    <w:rsid w:val="00382E66"/>
    <w:rsid w:val="003835C4"/>
    <w:rsid w:val="00383D2C"/>
    <w:rsid w:val="00383E74"/>
    <w:rsid w:val="00384676"/>
    <w:rsid w:val="00384B2E"/>
    <w:rsid w:val="00384D77"/>
    <w:rsid w:val="00385042"/>
    <w:rsid w:val="003854EF"/>
    <w:rsid w:val="00385F5F"/>
    <w:rsid w:val="00386D20"/>
    <w:rsid w:val="00387397"/>
    <w:rsid w:val="00387A83"/>
    <w:rsid w:val="00387AED"/>
    <w:rsid w:val="00387C4D"/>
    <w:rsid w:val="00390752"/>
    <w:rsid w:val="00390857"/>
    <w:rsid w:val="00390FCD"/>
    <w:rsid w:val="003915F0"/>
    <w:rsid w:val="00391A62"/>
    <w:rsid w:val="0039214E"/>
    <w:rsid w:val="003921A0"/>
    <w:rsid w:val="0039260E"/>
    <w:rsid w:val="00393AFF"/>
    <w:rsid w:val="00393EB6"/>
    <w:rsid w:val="00393FD2"/>
    <w:rsid w:val="00394446"/>
    <w:rsid w:val="00394BCB"/>
    <w:rsid w:val="00394F81"/>
    <w:rsid w:val="003955DE"/>
    <w:rsid w:val="00395805"/>
    <w:rsid w:val="00396711"/>
    <w:rsid w:val="00397418"/>
    <w:rsid w:val="00397872"/>
    <w:rsid w:val="00397DEF"/>
    <w:rsid w:val="003A01CF"/>
    <w:rsid w:val="003A0205"/>
    <w:rsid w:val="003A0448"/>
    <w:rsid w:val="003A0597"/>
    <w:rsid w:val="003A0739"/>
    <w:rsid w:val="003A0886"/>
    <w:rsid w:val="003A0E38"/>
    <w:rsid w:val="003A0E7D"/>
    <w:rsid w:val="003A1258"/>
    <w:rsid w:val="003A1D1B"/>
    <w:rsid w:val="003A1D62"/>
    <w:rsid w:val="003A1F98"/>
    <w:rsid w:val="003A207D"/>
    <w:rsid w:val="003A22C2"/>
    <w:rsid w:val="003A25A0"/>
    <w:rsid w:val="003A2DD8"/>
    <w:rsid w:val="003A36B3"/>
    <w:rsid w:val="003A38A8"/>
    <w:rsid w:val="003A4B50"/>
    <w:rsid w:val="003A4BF3"/>
    <w:rsid w:val="003A55D0"/>
    <w:rsid w:val="003A6404"/>
    <w:rsid w:val="003A6618"/>
    <w:rsid w:val="003A676E"/>
    <w:rsid w:val="003A6990"/>
    <w:rsid w:val="003A75DE"/>
    <w:rsid w:val="003B027C"/>
    <w:rsid w:val="003B0BDC"/>
    <w:rsid w:val="003B0D05"/>
    <w:rsid w:val="003B11EB"/>
    <w:rsid w:val="003B2074"/>
    <w:rsid w:val="003B273C"/>
    <w:rsid w:val="003B4019"/>
    <w:rsid w:val="003B40B9"/>
    <w:rsid w:val="003B40EB"/>
    <w:rsid w:val="003B420D"/>
    <w:rsid w:val="003B4FE3"/>
    <w:rsid w:val="003B531D"/>
    <w:rsid w:val="003B5F5E"/>
    <w:rsid w:val="003B6933"/>
    <w:rsid w:val="003B77DE"/>
    <w:rsid w:val="003B7A01"/>
    <w:rsid w:val="003B7A23"/>
    <w:rsid w:val="003C02B6"/>
    <w:rsid w:val="003C0C53"/>
    <w:rsid w:val="003C0DDC"/>
    <w:rsid w:val="003C0F45"/>
    <w:rsid w:val="003C0FF2"/>
    <w:rsid w:val="003C17DF"/>
    <w:rsid w:val="003C1A1A"/>
    <w:rsid w:val="003C2A16"/>
    <w:rsid w:val="003C2CA8"/>
    <w:rsid w:val="003C316A"/>
    <w:rsid w:val="003C3632"/>
    <w:rsid w:val="003C3CDE"/>
    <w:rsid w:val="003C3D4A"/>
    <w:rsid w:val="003C4409"/>
    <w:rsid w:val="003C4967"/>
    <w:rsid w:val="003C497C"/>
    <w:rsid w:val="003C4D7E"/>
    <w:rsid w:val="003C58A4"/>
    <w:rsid w:val="003C5F18"/>
    <w:rsid w:val="003C6C16"/>
    <w:rsid w:val="003C73BD"/>
    <w:rsid w:val="003C7ACB"/>
    <w:rsid w:val="003D09A8"/>
    <w:rsid w:val="003D0BA4"/>
    <w:rsid w:val="003D1603"/>
    <w:rsid w:val="003D1C2D"/>
    <w:rsid w:val="003D1CC3"/>
    <w:rsid w:val="003D38AA"/>
    <w:rsid w:val="003D415E"/>
    <w:rsid w:val="003D426F"/>
    <w:rsid w:val="003D4495"/>
    <w:rsid w:val="003D4B30"/>
    <w:rsid w:val="003D4ED9"/>
    <w:rsid w:val="003D5262"/>
    <w:rsid w:val="003D52C2"/>
    <w:rsid w:val="003D5351"/>
    <w:rsid w:val="003D6D7C"/>
    <w:rsid w:val="003D794D"/>
    <w:rsid w:val="003D7C2E"/>
    <w:rsid w:val="003E02ED"/>
    <w:rsid w:val="003E05D6"/>
    <w:rsid w:val="003E08C2"/>
    <w:rsid w:val="003E0B40"/>
    <w:rsid w:val="003E0E2A"/>
    <w:rsid w:val="003E1C85"/>
    <w:rsid w:val="003E1EE3"/>
    <w:rsid w:val="003E222B"/>
    <w:rsid w:val="003E273F"/>
    <w:rsid w:val="003E2E2B"/>
    <w:rsid w:val="003E2E81"/>
    <w:rsid w:val="003E3058"/>
    <w:rsid w:val="003E471D"/>
    <w:rsid w:val="003E549B"/>
    <w:rsid w:val="003E55F4"/>
    <w:rsid w:val="003E56D0"/>
    <w:rsid w:val="003E5A9C"/>
    <w:rsid w:val="003E5D98"/>
    <w:rsid w:val="003E6510"/>
    <w:rsid w:val="003E6521"/>
    <w:rsid w:val="003E6B0D"/>
    <w:rsid w:val="003E6BF1"/>
    <w:rsid w:val="003E6CF2"/>
    <w:rsid w:val="003E6E81"/>
    <w:rsid w:val="003E73DE"/>
    <w:rsid w:val="003E76A9"/>
    <w:rsid w:val="003E7CDC"/>
    <w:rsid w:val="003E7CEC"/>
    <w:rsid w:val="003E7CF0"/>
    <w:rsid w:val="003E7DCF"/>
    <w:rsid w:val="003F06F2"/>
    <w:rsid w:val="003F07AA"/>
    <w:rsid w:val="003F0809"/>
    <w:rsid w:val="003F08CB"/>
    <w:rsid w:val="003F0B53"/>
    <w:rsid w:val="003F0D48"/>
    <w:rsid w:val="003F0EC3"/>
    <w:rsid w:val="003F14F7"/>
    <w:rsid w:val="003F2980"/>
    <w:rsid w:val="003F2986"/>
    <w:rsid w:val="003F34A6"/>
    <w:rsid w:val="003F34EC"/>
    <w:rsid w:val="003F39A3"/>
    <w:rsid w:val="003F3F8F"/>
    <w:rsid w:val="003F40C0"/>
    <w:rsid w:val="003F4235"/>
    <w:rsid w:val="003F54EF"/>
    <w:rsid w:val="003F5818"/>
    <w:rsid w:val="003F5E92"/>
    <w:rsid w:val="003F65D2"/>
    <w:rsid w:val="003F667B"/>
    <w:rsid w:val="003F6754"/>
    <w:rsid w:val="003F6A8C"/>
    <w:rsid w:val="003F7250"/>
    <w:rsid w:val="003F755C"/>
    <w:rsid w:val="00400460"/>
    <w:rsid w:val="00400D66"/>
    <w:rsid w:val="00402223"/>
    <w:rsid w:val="00402C29"/>
    <w:rsid w:val="004030C6"/>
    <w:rsid w:val="004036FE"/>
    <w:rsid w:val="00403898"/>
    <w:rsid w:val="00403A00"/>
    <w:rsid w:val="0040430B"/>
    <w:rsid w:val="00404938"/>
    <w:rsid w:val="00404A64"/>
    <w:rsid w:val="00404AFC"/>
    <w:rsid w:val="00405D17"/>
    <w:rsid w:val="00406019"/>
    <w:rsid w:val="00406990"/>
    <w:rsid w:val="00406ADF"/>
    <w:rsid w:val="00406DD9"/>
    <w:rsid w:val="00406E0C"/>
    <w:rsid w:val="00406F01"/>
    <w:rsid w:val="00406FFD"/>
    <w:rsid w:val="0040704C"/>
    <w:rsid w:val="00407C1A"/>
    <w:rsid w:val="00407CD2"/>
    <w:rsid w:val="004111CB"/>
    <w:rsid w:val="004116B5"/>
    <w:rsid w:val="00411AD7"/>
    <w:rsid w:val="00411B9B"/>
    <w:rsid w:val="00411FF4"/>
    <w:rsid w:val="00412297"/>
    <w:rsid w:val="00412827"/>
    <w:rsid w:val="00413B9B"/>
    <w:rsid w:val="00413BED"/>
    <w:rsid w:val="004143D9"/>
    <w:rsid w:val="00414490"/>
    <w:rsid w:val="00414990"/>
    <w:rsid w:val="00415E51"/>
    <w:rsid w:val="0041609E"/>
    <w:rsid w:val="004163B5"/>
    <w:rsid w:val="00416451"/>
    <w:rsid w:val="004164E8"/>
    <w:rsid w:val="00416D50"/>
    <w:rsid w:val="00416FD5"/>
    <w:rsid w:val="00417772"/>
    <w:rsid w:val="00417890"/>
    <w:rsid w:val="00417C07"/>
    <w:rsid w:val="00417C5D"/>
    <w:rsid w:val="00420035"/>
    <w:rsid w:val="00420E6A"/>
    <w:rsid w:val="00420F9F"/>
    <w:rsid w:val="0042199D"/>
    <w:rsid w:val="00421EC7"/>
    <w:rsid w:val="00421EDE"/>
    <w:rsid w:val="004222AF"/>
    <w:rsid w:val="004224DB"/>
    <w:rsid w:val="004225CC"/>
    <w:rsid w:val="00422A6F"/>
    <w:rsid w:val="00423079"/>
    <w:rsid w:val="004232D4"/>
    <w:rsid w:val="0042340A"/>
    <w:rsid w:val="004238B0"/>
    <w:rsid w:val="004242BB"/>
    <w:rsid w:val="0042466C"/>
    <w:rsid w:val="00424CB2"/>
    <w:rsid w:val="00424DB6"/>
    <w:rsid w:val="00424DE1"/>
    <w:rsid w:val="00425A9E"/>
    <w:rsid w:val="00425D4F"/>
    <w:rsid w:val="00425EC3"/>
    <w:rsid w:val="00425ECC"/>
    <w:rsid w:val="004266DB"/>
    <w:rsid w:val="00426C1E"/>
    <w:rsid w:val="00426D6B"/>
    <w:rsid w:val="00426DBE"/>
    <w:rsid w:val="00427471"/>
    <w:rsid w:val="004276E0"/>
    <w:rsid w:val="00427CBE"/>
    <w:rsid w:val="00427DFA"/>
    <w:rsid w:val="004301E9"/>
    <w:rsid w:val="00430404"/>
    <w:rsid w:val="0043088E"/>
    <w:rsid w:val="00430F94"/>
    <w:rsid w:val="00431620"/>
    <w:rsid w:val="0043185E"/>
    <w:rsid w:val="00431D95"/>
    <w:rsid w:val="00431E6C"/>
    <w:rsid w:val="00431EE2"/>
    <w:rsid w:val="00433082"/>
    <w:rsid w:val="00433B42"/>
    <w:rsid w:val="00433CE7"/>
    <w:rsid w:val="00433DE8"/>
    <w:rsid w:val="00433FE4"/>
    <w:rsid w:val="00434112"/>
    <w:rsid w:val="00434761"/>
    <w:rsid w:val="00434DCC"/>
    <w:rsid w:val="004357E5"/>
    <w:rsid w:val="00435AB3"/>
    <w:rsid w:val="00436110"/>
    <w:rsid w:val="0043685E"/>
    <w:rsid w:val="004373DF"/>
    <w:rsid w:val="004403A3"/>
    <w:rsid w:val="00440D98"/>
    <w:rsid w:val="00441122"/>
    <w:rsid w:val="00441174"/>
    <w:rsid w:val="00441BD6"/>
    <w:rsid w:val="00442065"/>
    <w:rsid w:val="0044212E"/>
    <w:rsid w:val="00442614"/>
    <w:rsid w:val="004429B4"/>
    <w:rsid w:val="00443C80"/>
    <w:rsid w:val="00443D25"/>
    <w:rsid w:val="00443D28"/>
    <w:rsid w:val="00444308"/>
    <w:rsid w:val="004445EE"/>
    <w:rsid w:val="00444745"/>
    <w:rsid w:val="00444CE6"/>
    <w:rsid w:val="00444D3B"/>
    <w:rsid w:val="00445122"/>
    <w:rsid w:val="00445839"/>
    <w:rsid w:val="00445C0D"/>
    <w:rsid w:val="004461F7"/>
    <w:rsid w:val="004475C0"/>
    <w:rsid w:val="00447963"/>
    <w:rsid w:val="004479B5"/>
    <w:rsid w:val="00447D84"/>
    <w:rsid w:val="00447D91"/>
    <w:rsid w:val="0045053B"/>
    <w:rsid w:val="004506B6"/>
    <w:rsid w:val="00450D2E"/>
    <w:rsid w:val="00451638"/>
    <w:rsid w:val="004522F1"/>
    <w:rsid w:val="00452738"/>
    <w:rsid w:val="00452907"/>
    <w:rsid w:val="00452E5A"/>
    <w:rsid w:val="004537D7"/>
    <w:rsid w:val="00453A27"/>
    <w:rsid w:val="0045445F"/>
    <w:rsid w:val="004544ED"/>
    <w:rsid w:val="00454585"/>
    <w:rsid w:val="00454DCE"/>
    <w:rsid w:val="00455488"/>
    <w:rsid w:val="00455B8C"/>
    <w:rsid w:val="00456091"/>
    <w:rsid w:val="00456C3F"/>
    <w:rsid w:val="00456E80"/>
    <w:rsid w:val="0045707D"/>
    <w:rsid w:val="00457605"/>
    <w:rsid w:val="004576E0"/>
    <w:rsid w:val="00457802"/>
    <w:rsid w:val="00457C72"/>
    <w:rsid w:val="00457EC4"/>
    <w:rsid w:val="00457F77"/>
    <w:rsid w:val="004604D6"/>
    <w:rsid w:val="00461505"/>
    <w:rsid w:val="0046168B"/>
    <w:rsid w:val="00461808"/>
    <w:rsid w:val="00461FFF"/>
    <w:rsid w:val="00462FDD"/>
    <w:rsid w:val="0046329C"/>
    <w:rsid w:val="004649B7"/>
    <w:rsid w:val="00464B8F"/>
    <w:rsid w:val="00464D5E"/>
    <w:rsid w:val="00466321"/>
    <w:rsid w:val="0046687E"/>
    <w:rsid w:val="004671A2"/>
    <w:rsid w:val="00467B57"/>
    <w:rsid w:val="00467B5D"/>
    <w:rsid w:val="00467C22"/>
    <w:rsid w:val="00467C30"/>
    <w:rsid w:val="00467EEF"/>
    <w:rsid w:val="004706A2"/>
    <w:rsid w:val="0047070F"/>
    <w:rsid w:val="00472849"/>
    <w:rsid w:val="00472961"/>
    <w:rsid w:val="00472D11"/>
    <w:rsid w:val="00472D14"/>
    <w:rsid w:val="0047309A"/>
    <w:rsid w:val="004736A9"/>
    <w:rsid w:val="004741F8"/>
    <w:rsid w:val="00474F03"/>
    <w:rsid w:val="00475243"/>
    <w:rsid w:val="004757D3"/>
    <w:rsid w:val="00477953"/>
    <w:rsid w:val="00480300"/>
    <w:rsid w:val="0048078C"/>
    <w:rsid w:val="00481D4C"/>
    <w:rsid w:val="00481FD3"/>
    <w:rsid w:val="0048232E"/>
    <w:rsid w:val="004824BF"/>
    <w:rsid w:val="00482698"/>
    <w:rsid w:val="00482CD0"/>
    <w:rsid w:val="0048359C"/>
    <w:rsid w:val="00483B68"/>
    <w:rsid w:val="00483E57"/>
    <w:rsid w:val="0048480A"/>
    <w:rsid w:val="0048484D"/>
    <w:rsid w:val="00484B9B"/>
    <w:rsid w:val="0048543B"/>
    <w:rsid w:val="00485486"/>
    <w:rsid w:val="004855F6"/>
    <w:rsid w:val="0048589F"/>
    <w:rsid w:val="00485CD4"/>
    <w:rsid w:val="004862C1"/>
    <w:rsid w:val="0048661E"/>
    <w:rsid w:val="00486C0A"/>
    <w:rsid w:val="00486F51"/>
    <w:rsid w:val="00486FB2"/>
    <w:rsid w:val="00487BE3"/>
    <w:rsid w:val="00487C24"/>
    <w:rsid w:val="00490184"/>
    <w:rsid w:val="00490264"/>
    <w:rsid w:val="00490D92"/>
    <w:rsid w:val="00491353"/>
    <w:rsid w:val="00492114"/>
    <w:rsid w:val="004926EF"/>
    <w:rsid w:val="00492975"/>
    <w:rsid w:val="00492F67"/>
    <w:rsid w:val="00493325"/>
    <w:rsid w:val="00493487"/>
    <w:rsid w:val="004934A0"/>
    <w:rsid w:val="00493CAA"/>
    <w:rsid w:val="00493D03"/>
    <w:rsid w:val="00493D67"/>
    <w:rsid w:val="00494670"/>
    <w:rsid w:val="00494AE7"/>
    <w:rsid w:val="00494C46"/>
    <w:rsid w:val="00495223"/>
    <w:rsid w:val="00495332"/>
    <w:rsid w:val="004962A4"/>
    <w:rsid w:val="00496DC2"/>
    <w:rsid w:val="0049756F"/>
    <w:rsid w:val="00497677"/>
    <w:rsid w:val="00497986"/>
    <w:rsid w:val="004A023F"/>
    <w:rsid w:val="004A0473"/>
    <w:rsid w:val="004A0A4B"/>
    <w:rsid w:val="004A0BA9"/>
    <w:rsid w:val="004A0C4B"/>
    <w:rsid w:val="004A0F24"/>
    <w:rsid w:val="004A0FD7"/>
    <w:rsid w:val="004A1275"/>
    <w:rsid w:val="004A2061"/>
    <w:rsid w:val="004A2C61"/>
    <w:rsid w:val="004A3250"/>
    <w:rsid w:val="004A3591"/>
    <w:rsid w:val="004A3617"/>
    <w:rsid w:val="004A366B"/>
    <w:rsid w:val="004A368E"/>
    <w:rsid w:val="004A36AE"/>
    <w:rsid w:val="004A3823"/>
    <w:rsid w:val="004A39F0"/>
    <w:rsid w:val="004A39F7"/>
    <w:rsid w:val="004A3C36"/>
    <w:rsid w:val="004A4B2D"/>
    <w:rsid w:val="004A4E3B"/>
    <w:rsid w:val="004A507C"/>
    <w:rsid w:val="004A58D6"/>
    <w:rsid w:val="004A5C1F"/>
    <w:rsid w:val="004A637C"/>
    <w:rsid w:val="004A6952"/>
    <w:rsid w:val="004A7415"/>
    <w:rsid w:val="004A76F7"/>
    <w:rsid w:val="004A7BF9"/>
    <w:rsid w:val="004B0212"/>
    <w:rsid w:val="004B087F"/>
    <w:rsid w:val="004B0C2D"/>
    <w:rsid w:val="004B1176"/>
    <w:rsid w:val="004B1A83"/>
    <w:rsid w:val="004B1DD4"/>
    <w:rsid w:val="004B1FB5"/>
    <w:rsid w:val="004B2245"/>
    <w:rsid w:val="004B3637"/>
    <w:rsid w:val="004B3B77"/>
    <w:rsid w:val="004B3BBB"/>
    <w:rsid w:val="004B3E8D"/>
    <w:rsid w:val="004B3EC8"/>
    <w:rsid w:val="004B4741"/>
    <w:rsid w:val="004B5344"/>
    <w:rsid w:val="004B546B"/>
    <w:rsid w:val="004B626D"/>
    <w:rsid w:val="004B65AD"/>
    <w:rsid w:val="004C014C"/>
    <w:rsid w:val="004C09B3"/>
    <w:rsid w:val="004C1CD5"/>
    <w:rsid w:val="004C2693"/>
    <w:rsid w:val="004C27D2"/>
    <w:rsid w:val="004C3173"/>
    <w:rsid w:val="004C3F0C"/>
    <w:rsid w:val="004C43A2"/>
    <w:rsid w:val="004C500F"/>
    <w:rsid w:val="004C5252"/>
    <w:rsid w:val="004C55D2"/>
    <w:rsid w:val="004C5E4B"/>
    <w:rsid w:val="004C6417"/>
    <w:rsid w:val="004C6902"/>
    <w:rsid w:val="004C75C7"/>
    <w:rsid w:val="004C78E6"/>
    <w:rsid w:val="004D0325"/>
    <w:rsid w:val="004D0409"/>
    <w:rsid w:val="004D0458"/>
    <w:rsid w:val="004D1157"/>
    <w:rsid w:val="004D1A52"/>
    <w:rsid w:val="004D227D"/>
    <w:rsid w:val="004D29BE"/>
    <w:rsid w:val="004D4265"/>
    <w:rsid w:val="004D55B3"/>
    <w:rsid w:val="004D59A4"/>
    <w:rsid w:val="004D5AA7"/>
    <w:rsid w:val="004D5DB1"/>
    <w:rsid w:val="004D6289"/>
    <w:rsid w:val="004D674F"/>
    <w:rsid w:val="004D765C"/>
    <w:rsid w:val="004D7B7D"/>
    <w:rsid w:val="004D7BD0"/>
    <w:rsid w:val="004E07EF"/>
    <w:rsid w:val="004E11B0"/>
    <w:rsid w:val="004E137E"/>
    <w:rsid w:val="004E1758"/>
    <w:rsid w:val="004E221F"/>
    <w:rsid w:val="004E28CE"/>
    <w:rsid w:val="004E2E15"/>
    <w:rsid w:val="004E2FF9"/>
    <w:rsid w:val="004E318F"/>
    <w:rsid w:val="004E3AC1"/>
    <w:rsid w:val="004E3D9D"/>
    <w:rsid w:val="004E412C"/>
    <w:rsid w:val="004E4140"/>
    <w:rsid w:val="004E419E"/>
    <w:rsid w:val="004E423B"/>
    <w:rsid w:val="004E4649"/>
    <w:rsid w:val="004E4E03"/>
    <w:rsid w:val="004E5864"/>
    <w:rsid w:val="004E58FF"/>
    <w:rsid w:val="004E6048"/>
    <w:rsid w:val="004E6946"/>
    <w:rsid w:val="004E6EA8"/>
    <w:rsid w:val="004E6F5C"/>
    <w:rsid w:val="004E7B7C"/>
    <w:rsid w:val="004F0385"/>
    <w:rsid w:val="004F1AD8"/>
    <w:rsid w:val="004F23D6"/>
    <w:rsid w:val="004F2589"/>
    <w:rsid w:val="004F312F"/>
    <w:rsid w:val="004F32A7"/>
    <w:rsid w:val="004F3498"/>
    <w:rsid w:val="004F407C"/>
    <w:rsid w:val="004F4259"/>
    <w:rsid w:val="004F4E39"/>
    <w:rsid w:val="004F5F7E"/>
    <w:rsid w:val="004F5F97"/>
    <w:rsid w:val="004F6D52"/>
    <w:rsid w:val="004F703B"/>
    <w:rsid w:val="005004D5"/>
    <w:rsid w:val="0050071A"/>
    <w:rsid w:val="00501442"/>
    <w:rsid w:val="00502268"/>
    <w:rsid w:val="00502B56"/>
    <w:rsid w:val="005039CB"/>
    <w:rsid w:val="00503ED5"/>
    <w:rsid w:val="00504236"/>
    <w:rsid w:val="005047BB"/>
    <w:rsid w:val="00504E74"/>
    <w:rsid w:val="0050558F"/>
    <w:rsid w:val="005060CE"/>
    <w:rsid w:val="00506286"/>
    <w:rsid w:val="005062BC"/>
    <w:rsid w:val="005066ED"/>
    <w:rsid w:val="00506785"/>
    <w:rsid w:val="00506D73"/>
    <w:rsid w:val="0050713F"/>
    <w:rsid w:val="005073EE"/>
    <w:rsid w:val="00507709"/>
    <w:rsid w:val="00507761"/>
    <w:rsid w:val="00507964"/>
    <w:rsid w:val="00510236"/>
    <w:rsid w:val="005102A7"/>
    <w:rsid w:val="005104EC"/>
    <w:rsid w:val="00510813"/>
    <w:rsid w:val="00510850"/>
    <w:rsid w:val="005115AB"/>
    <w:rsid w:val="00511677"/>
    <w:rsid w:val="0051191B"/>
    <w:rsid w:val="00511990"/>
    <w:rsid w:val="00511DE0"/>
    <w:rsid w:val="005127D9"/>
    <w:rsid w:val="00512A77"/>
    <w:rsid w:val="005131F5"/>
    <w:rsid w:val="00513584"/>
    <w:rsid w:val="00514227"/>
    <w:rsid w:val="00514870"/>
    <w:rsid w:val="00514948"/>
    <w:rsid w:val="00514B9B"/>
    <w:rsid w:val="00515392"/>
    <w:rsid w:val="005157B8"/>
    <w:rsid w:val="005168AE"/>
    <w:rsid w:val="00516CE8"/>
    <w:rsid w:val="00516D85"/>
    <w:rsid w:val="00516E4D"/>
    <w:rsid w:val="00516E59"/>
    <w:rsid w:val="005171BF"/>
    <w:rsid w:val="00517320"/>
    <w:rsid w:val="00517F02"/>
    <w:rsid w:val="00517F3B"/>
    <w:rsid w:val="005203D7"/>
    <w:rsid w:val="00520778"/>
    <w:rsid w:val="00520EEC"/>
    <w:rsid w:val="00521C6E"/>
    <w:rsid w:val="00521EED"/>
    <w:rsid w:val="005222BE"/>
    <w:rsid w:val="005224C8"/>
    <w:rsid w:val="005225BA"/>
    <w:rsid w:val="005229C1"/>
    <w:rsid w:val="00524303"/>
    <w:rsid w:val="00524633"/>
    <w:rsid w:val="00524B1C"/>
    <w:rsid w:val="00524FD1"/>
    <w:rsid w:val="005257FD"/>
    <w:rsid w:val="005258A2"/>
    <w:rsid w:val="005260EF"/>
    <w:rsid w:val="005263A9"/>
    <w:rsid w:val="0052675B"/>
    <w:rsid w:val="00527001"/>
    <w:rsid w:val="00527134"/>
    <w:rsid w:val="0052795C"/>
    <w:rsid w:val="00527C61"/>
    <w:rsid w:val="0053018B"/>
    <w:rsid w:val="00530191"/>
    <w:rsid w:val="00531310"/>
    <w:rsid w:val="00531E9A"/>
    <w:rsid w:val="00531F8F"/>
    <w:rsid w:val="0053213A"/>
    <w:rsid w:val="0053290F"/>
    <w:rsid w:val="00532969"/>
    <w:rsid w:val="005329BA"/>
    <w:rsid w:val="00532ECC"/>
    <w:rsid w:val="00533A64"/>
    <w:rsid w:val="0053480F"/>
    <w:rsid w:val="0053498B"/>
    <w:rsid w:val="00534B8A"/>
    <w:rsid w:val="005353C8"/>
    <w:rsid w:val="00535451"/>
    <w:rsid w:val="005357C6"/>
    <w:rsid w:val="005368AD"/>
    <w:rsid w:val="00536E6B"/>
    <w:rsid w:val="00537A18"/>
    <w:rsid w:val="00537C1C"/>
    <w:rsid w:val="00537C2C"/>
    <w:rsid w:val="00537D2B"/>
    <w:rsid w:val="005401AE"/>
    <w:rsid w:val="00540285"/>
    <w:rsid w:val="005405B9"/>
    <w:rsid w:val="00540794"/>
    <w:rsid w:val="00540DB4"/>
    <w:rsid w:val="0054135D"/>
    <w:rsid w:val="005413C5"/>
    <w:rsid w:val="00542608"/>
    <w:rsid w:val="00542E07"/>
    <w:rsid w:val="00543C2A"/>
    <w:rsid w:val="005440F7"/>
    <w:rsid w:val="00544DC9"/>
    <w:rsid w:val="005453C5"/>
    <w:rsid w:val="00545424"/>
    <w:rsid w:val="005458BC"/>
    <w:rsid w:val="00545C02"/>
    <w:rsid w:val="005461D7"/>
    <w:rsid w:val="005468F3"/>
    <w:rsid w:val="00546A60"/>
    <w:rsid w:val="0055012E"/>
    <w:rsid w:val="00551AB8"/>
    <w:rsid w:val="005528D3"/>
    <w:rsid w:val="005529B1"/>
    <w:rsid w:val="00552ACA"/>
    <w:rsid w:val="0055353A"/>
    <w:rsid w:val="00553700"/>
    <w:rsid w:val="00553710"/>
    <w:rsid w:val="00554A7B"/>
    <w:rsid w:val="0055572C"/>
    <w:rsid w:val="00555F80"/>
    <w:rsid w:val="0055600F"/>
    <w:rsid w:val="00556898"/>
    <w:rsid w:val="00556AFF"/>
    <w:rsid w:val="00556D31"/>
    <w:rsid w:val="00556D76"/>
    <w:rsid w:val="005575A3"/>
    <w:rsid w:val="00557A4B"/>
    <w:rsid w:val="00560166"/>
    <w:rsid w:val="00560A72"/>
    <w:rsid w:val="0056106A"/>
    <w:rsid w:val="00561DCF"/>
    <w:rsid w:val="005621E9"/>
    <w:rsid w:val="0056280D"/>
    <w:rsid w:val="00562C0D"/>
    <w:rsid w:val="005630E7"/>
    <w:rsid w:val="00563393"/>
    <w:rsid w:val="00563D43"/>
    <w:rsid w:val="00564965"/>
    <w:rsid w:val="005649C4"/>
    <w:rsid w:val="00565611"/>
    <w:rsid w:val="0056583B"/>
    <w:rsid w:val="0056615E"/>
    <w:rsid w:val="005662FB"/>
    <w:rsid w:val="00566A0D"/>
    <w:rsid w:val="00567164"/>
    <w:rsid w:val="00567930"/>
    <w:rsid w:val="00567FBF"/>
    <w:rsid w:val="005704E2"/>
    <w:rsid w:val="0057082B"/>
    <w:rsid w:val="00570CFA"/>
    <w:rsid w:val="00571255"/>
    <w:rsid w:val="00571440"/>
    <w:rsid w:val="005719A6"/>
    <w:rsid w:val="00571A57"/>
    <w:rsid w:val="00571B3E"/>
    <w:rsid w:val="00571F30"/>
    <w:rsid w:val="005720AE"/>
    <w:rsid w:val="00574211"/>
    <w:rsid w:val="005746F6"/>
    <w:rsid w:val="005748CD"/>
    <w:rsid w:val="00575182"/>
    <w:rsid w:val="005753B9"/>
    <w:rsid w:val="005762E1"/>
    <w:rsid w:val="0057703E"/>
    <w:rsid w:val="00577B6A"/>
    <w:rsid w:val="00580186"/>
    <w:rsid w:val="0058020C"/>
    <w:rsid w:val="00580427"/>
    <w:rsid w:val="005804DE"/>
    <w:rsid w:val="005805E9"/>
    <w:rsid w:val="00580778"/>
    <w:rsid w:val="00581A9F"/>
    <w:rsid w:val="00581F22"/>
    <w:rsid w:val="00582468"/>
    <w:rsid w:val="005829F9"/>
    <w:rsid w:val="00582A3A"/>
    <w:rsid w:val="00582A42"/>
    <w:rsid w:val="00582CAD"/>
    <w:rsid w:val="00582D94"/>
    <w:rsid w:val="005832CD"/>
    <w:rsid w:val="005833AB"/>
    <w:rsid w:val="005845A2"/>
    <w:rsid w:val="0058609E"/>
    <w:rsid w:val="0058637C"/>
    <w:rsid w:val="005864B7"/>
    <w:rsid w:val="00586C73"/>
    <w:rsid w:val="00586E59"/>
    <w:rsid w:val="00586F26"/>
    <w:rsid w:val="00587330"/>
    <w:rsid w:val="005874E8"/>
    <w:rsid w:val="0058759F"/>
    <w:rsid w:val="00587885"/>
    <w:rsid w:val="00590FDD"/>
    <w:rsid w:val="005912C9"/>
    <w:rsid w:val="005922D8"/>
    <w:rsid w:val="005928D5"/>
    <w:rsid w:val="00592CF9"/>
    <w:rsid w:val="00592EB3"/>
    <w:rsid w:val="00592EF5"/>
    <w:rsid w:val="0059346B"/>
    <w:rsid w:val="00593858"/>
    <w:rsid w:val="005942E5"/>
    <w:rsid w:val="005942F6"/>
    <w:rsid w:val="00594D77"/>
    <w:rsid w:val="00594D7E"/>
    <w:rsid w:val="00594FFA"/>
    <w:rsid w:val="00595278"/>
    <w:rsid w:val="005956EE"/>
    <w:rsid w:val="0059652B"/>
    <w:rsid w:val="00596608"/>
    <w:rsid w:val="00596661"/>
    <w:rsid w:val="00596675"/>
    <w:rsid w:val="005969E4"/>
    <w:rsid w:val="00596D17"/>
    <w:rsid w:val="005975E3"/>
    <w:rsid w:val="0059798C"/>
    <w:rsid w:val="00597AF1"/>
    <w:rsid w:val="00597B8C"/>
    <w:rsid w:val="00597BD7"/>
    <w:rsid w:val="005A0404"/>
    <w:rsid w:val="005A05DD"/>
    <w:rsid w:val="005A066C"/>
    <w:rsid w:val="005A06B7"/>
    <w:rsid w:val="005A06CD"/>
    <w:rsid w:val="005A0B57"/>
    <w:rsid w:val="005A1759"/>
    <w:rsid w:val="005A1A6F"/>
    <w:rsid w:val="005A2342"/>
    <w:rsid w:val="005A235E"/>
    <w:rsid w:val="005A2568"/>
    <w:rsid w:val="005A2B91"/>
    <w:rsid w:val="005A2C1D"/>
    <w:rsid w:val="005A3545"/>
    <w:rsid w:val="005A365C"/>
    <w:rsid w:val="005A3C31"/>
    <w:rsid w:val="005A3EE5"/>
    <w:rsid w:val="005A4043"/>
    <w:rsid w:val="005A43DF"/>
    <w:rsid w:val="005A44A0"/>
    <w:rsid w:val="005A45D8"/>
    <w:rsid w:val="005A493F"/>
    <w:rsid w:val="005A4B6A"/>
    <w:rsid w:val="005A63E2"/>
    <w:rsid w:val="005A68A7"/>
    <w:rsid w:val="005A698E"/>
    <w:rsid w:val="005A72F1"/>
    <w:rsid w:val="005B0115"/>
    <w:rsid w:val="005B024E"/>
    <w:rsid w:val="005B134F"/>
    <w:rsid w:val="005B15A4"/>
    <w:rsid w:val="005B18C9"/>
    <w:rsid w:val="005B190D"/>
    <w:rsid w:val="005B21D3"/>
    <w:rsid w:val="005B244C"/>
    <w:rsid w:val="005B25F6"/>
    <w:rsid w:val="005B2952"/>
    <w:rsid w:val="005B3194"/>
    <w:rsid w:val="005B47E5"/>
    <w:rsid w:val="005B511B"/>
    <w:rsid w:val="005B54F8"/>
    <w:rsid w:val="005B5750"/>
    <w:rsid w:val="005B59BA"/>
    <w:rsid w:val="005B5AAE"/>
    <w:rsid w:val="005B7609"/>
    <w:rsid w:val="005B7F1A"/>
    <w:rsid w:val="005C0011"/>
    <w:rsid w:val="005C00A5"/>
    <w:rsid w:val="005C01C1"/>
    <w:rsid w:val="005C0389"/>
    <w:rsid w:val="005C08B4"/>
    <w:rsid w:val="005C0F63"/>
    <w:rsid w:val="005C15E5"/>
    <w:rsid w:val="005C24B9"/>
    <w:rsid w:val="005C25F9"/>
    <w:rsid w:val="005C2A8B"/>
    <w:rsid w:val="005C2FAD"/>
    <w:rsid w:val="005C39A3"/>
    <w:rsid w:val="005C4435"/>
    <w:rsid w:val="005C48C6"/>
    <w:rsid w:val="005C4947"/>
    <w:rsid w:val="005C4CCA"/>
    <w:rsid w:val="005C51B6"/>
    <w:rsid w:val="005C5325"/>
    <w:rsid w:val="005C5465"/>
    <w:rsid w:val="005C5ED2"/>
    <w:rsid w:val="005C5F73"/>
    <w:rsid w:val="005C5FAD"/>
    <w:rsid w:val="005C5FC2"/>
    <w:rsid w:val="005C60D6"/>
    <w:rsid w:val="005C69B6"/>
    <w:rsid w:val="005C6EA5"/>
    <w:rsid w:val="005C776C"/>
    <w:rsid w:val="005C788C"/>
    <w:rsid w:val="005D01B7"/>
    <w:rsid w:val="005D01C9"/>
    <w:rsid w:val="005D0256"/>
    <w:rsid w:val="005D0838"/>
    <w:rsid w:val="005D1CED"/>
    <w:rsid w:val="005D1ED4"/>
    <w:rsid w:val="005D21B0"/>
    <w:rsid w:val="005D2344"/>
    <w:rsid w:val="005D2456"/>
    <w:rsid w:val="005D290D"/>
    <w:rsid w:val="005D2AD1"/>
    <w:rsid w:val="005D36AB"/>
    <w:rsid w:val="005D3C2E"/>
    <w:rsid w:val="005D5035"/>
    <w:rsid w:val="005D5ADF"/>
    <w:rsid w:val="005D650F"/>
    <w:rsid w:val="005D6D30"/>
    <w:rsid w:val="005E0D29"/>
    <w:rsid w:val="005E0D5E"/>
    <w:rsid w:val="005E0E67"/>
    <w:rsid w:val="005E1351"/>
    <w:rsid w:val="005E173C"/>
    <w:rsid w:val="005E1902"/>
    <w:rsid w:val="005E2927"/>
    <w:rsid w:val="005E2B3A"/>
    <w:rsid w:val="005E34DE"/>
    <w:rsid w:val="005E4BE4"/>
    <w:rsid w:val="005E4E7B"/>
    <w:rsid w:val="005E5623"/>
    <w:rsid w:val="005E5739"/>
    <w:rsid w:val="005E5854"/>
    <w:rsid w:val="005E59A8"/>
    <w:rsid w:val="005E5E72"/>
    <w:rsid w:val="005E5EE1"/>
    <w:rsid w:val="005E6291"/>
    <w:rsid w:val="005E6305"/>
    <w:rsid w:val="005E69A5"/>
    <w:rsid w:val="005E6FB8"/>
    <w:rsid w:val="005E742C"/>
    <w:rsid w:val="005E79FF"/>
    <w:rsid w:val="005F0157"/>
    <w:rsid w:val="005F0736"/>
    <w:rsid w:val="005F075F"/>
    <w:rsid w:val="005F10C8"/>
    <w:rsid w:val="005F1102"/>
    <w:rsid w:val="005F13CF"/>
    <w:rsid w:val="005F253F"/>
    <w:rsid w:val="005F261B"/>
    <w:rsid w:val="005F3485"/>
    <w:rsid w:val="005F4873"/>
    <w:rsid w:val="005F4D0B"/>
    <w:rsid w:val="005F5038"/>
    <w:rsid w:val="005F5207"/>
    <w:rsid w:val="005F5C80"/>
    <w:rsid w:val="005F5DBF"/>
    <w:rsid w:val="005F5EE6"/>
    <w:rsid w:val="005F64EF"/>
    <w:rsid w:val="005F6A1B"/>
    <w:rsid w:val="005F71B4"/>
    <w:rsid w:val="005F7837"/>
    <w:rsid w:val="005F7E28"/>
    <w:rsid w:val="005F7E97"/>
    <w:rsid w:val="00600177"/>
    <w:rsid w:val="006006C8"/>
    <w:rsid w:val="00600E6A"/>
    <w:rsid w:val="00603449"/>
    <w:rsid w:val="00603859"/>
    <w:rsid w:val="0060396C"/>
    <w:rsid w:val="00603E27"/>
    <w:rsid w:val="00603E3A"/>
    <w:rsid w:val="006045EF"/>
    <w:rsid w:val="00604D20"/>
    <w:rsid w:val="00604DDA"/>
    <w:rsid w:val="00605121"/>
    <w:rsid w:val="00605153"/>
    <w:rsid w:val="006058DB"/>
    <w:rsid w:val="00605A3F"/>
    <w:rsid w:val="0060605B"/>
    <w:rsid w:val="00606326"/>
    <w:rsid w:val="00606395"/>
    <w:rsid w:val="0060645A"/>
    <w:rsid w:val="00606A38"/>
    <w:rsid w:val="00606F5B"/>
    <w:rsid w:val="00607087"/>
    <w:rsid w:val="006075F7"/>
    <w:rsid w:val="00610388"/>
    <w:rsid w:val="006105E3"/>
    <w:rsid w:val="0061067E"/>
    <w:rsid w:val="006106D6"/>
    <w:rsid w:val="00610B5A"/>
    <w:rsid w:val="00610F5B"/>
    <w:rsid w:val="00611302"/>
    <w:rsid w:val="006117A4"/>
    <w:rsid w:val="00611EB6"/>
    <w:rsid w:val="00612E85"/>
    <w:rsid w:val="00613531"/>
    <w:rsid w:val="0061403B"/>
    <w:rsid w:val="0061435D"/>
    <w:rsid w:val="00614382"/>
    <w:rsid w:val="00614EBA"/>
    <w:rsid w:val="0061510C"/>
    <w:rsid w:val="00615253"/>
    <w:rsid w:val="006159CB"/>
    <w:rsid w:val="00615D7D"/>
    <w:rsid w:val="00616187"/>
    <w:rsid w:val="006178A1"/>
    <w:rsid w:val="00617CC3"/>
    <w:rsid w:val="006201CE"/>
    <w:rsid w:val="00620B3D"/>
    <w:rsid w:val="00620E6B"/>
    <w:rsid w:val="0062118D"/>
    <w:rsid w:val="0062232F"/>
    <w:rsid w:val="0062239C"/>
    <w:rsid w:val="00622A8A"/>
    <w:rsid w:val="00622F48"/>
    <w:rsid w:val="00623050"/>
    <w:rsid w:val="00623567"/>
    <w:rsid w:val="0062366D"/>
    <w:rsid w:val="006238F0"/>
    <w:rsid w:val="006240F5"/>
    <w:rsid w:val="00624562"/>
    <w:rsid w:val="006260CB"/>
    <w:rsid w:val="00626894"/>
    <w:rsid w:val="00626F9F"/>
    <w:rsid w:val="00627711"/>
    <w:rsid w:val="00627A94"/>
    <w:rsid w:val="0063066C"/>
    <w:rsid w:val="006318A9"/>
    <w:rsid w:val="00631F3B"/>
    <w:rsid w:val="00631FEB"/>
    <w:rsid w:val="00632625"/>
    <w:rsid w:val="00632C17"/>
    <w:rsid w:val="00633104"/>
    <w:rsid w:val="0063413D"/>
    <w:rsid w:val="00634260"/>
    <w:rsid w:val="006343D2"/>
    <w:rsid w:val="0063543E"/>
    <w:rsid w:val="006354FC"/>
    <w:rsid w:val="006357AE"/>
    <w:rsid w:val="00635C78"/>
    <w:rsid w:val="00635D2E"/>
    <w:rsid w:val="00636674"/>
    <w:rsid w:val="00636884"/>
    <w:rsid w:val="00636885"/>
    <w:rsid w:val="00636CE3"/>
    <w:rsid w:val="00637427"/>
    <w:rsid w:val="006374AF"/>
    <w:rsid w:val="006377A6"/>
    <w:rsid w:val="006377EA"/>
    <w:rsid w:val="00637A3D"/>
    <w:rsid w:val="00637DE2"/>
    <w:rsid w:val="006404A3"/>
    <w:rsid w:val="006404E3"/>
    <w:rsid w:val="006409CB"/>
    <w:rsid w:val="00640C82"/>
    <w:rsid w:val="00640EF2"/>
    <w:rsid w:val="00640FC0"/>
    <w:rsid w:val="006411EF"/>
    <w:rsid w:val="006422FE"/>
    <w:rsid w:val="00642C34"/>
    <w:rsid w:val="006430C8"/>
    <w:rsid w:val="00643DC1"/>
    <w:rsid w:val="006440DD"/>
    <w:rsid w:val="00646641"/>
    <w:rsid w:val="0064695D"/>
    <w:rsid w:val="00646F7E"/>
    <w:rsid w:val="00647252"/>
    <w:rsid w:val="00647CF8"/>
    <w:rsid w:val="00647E2C"/>
    <w:rsid w:val="0065026D"/>
    <w:rsid w:val="00650720"/>
    <w:rsid w:val="006518B1"/>
    <w:rsid w:val="00652047"/>
    <w:rsid w:val="00652763"/>
    <w:rsid w:val="00652A6D"/>
    <w:rsid w:val="00652C9E"/>
    <w:rsid w:val="00653562"/>
    <w:rsid w:val="00653E97"/>
    <w:rsid w:val="0065433C"/>
    <w:rsid w:val="00654575"/>
    <w:rsid w:val="00654AEF"/>
    <w:rsid w:val="00655020"/>
    <w:rsid w:val="00655217"/>
    <w:rsid w:val="0065639A"/>
    <w:rsid w:val="00656C9D"/>
    <w:rsid w:val="0065723C"/>
    <w:rsid w:val="006602A1"/>
    <w:rsid w:val="00660853"/>
    <w:rsid w:val="00660FD8"/>
    <w:rsid w:val="00661460"/>
    <w:rsid w:val="00661DDA"/>
    <w:rsid w:val="00662608"/>
    <w:rsid w:val="0066308E"/>
    <w:rsid w:val="00663AB1"/>
    <w:rsid w:val="00664C4F"/>
    <w:rsid w:val="00664C94"/>
    <w:rsid w:val="006652DB"/>
    <w:rsid w:val="0066558A"/>
    <w:rsid w:val="00665659"/>
    <w:rsid w:val="00665A9C"/>
    <w:rsid w:val="00665C43"/>
    <w:rsid w:val="00665E79"/>
    <w:rsid w:val="00666C0F"/>
    <w:rsid w:val="00667630"/>
    <w:rsid w:val="00670958"/>
    <w:rsid w:val="00670C3A"/>
    <w:rsid w:val="00671627"/>
    <w:rsid w:val="006718C1"/>
    <w:rsid w:val="00671B15"/>
    <w:rsid w:val="006748B8"/>
    <w:rsid w:val="00674F2B"/>
    <w:rsid w:val="00675056"/>
    <w:rsid w:val="00675F5B"/>
    <w:rsid w:val="006760E9"/>
    <w:rsid w:val="00676184"/>
    <w:rsid w:val="006763E6"/>
    <w:rsid w:val="00676639"/>
    <w:rsid w:val="00676BAB"/>
    <w:rsid w:val="00676C2B"/>
    <w:rsid w:val="00676DD3"/>
    <w:rsid w:val="00676F48"/>
    <w:rsid w:val="00676FAD"/>
    <w:rsid w:val="00677183"/>
    <w:rsid w:val="006772FF"/>
    <w:rsid w:val="006775C3"/>
    <w:rsid w:val="006775E4"/>
    <w:rsid w:val="00677F67"/>
    <w:rsid w:val="00680724"/>
    <w:rsid w:val="00681198"/>
    <w:rsid w:val="00681AA7"/>
    <w:rsid w:val="00682527"/>
    <w:rsid w:val="00682DD5"/>
    <w:rsid w:val="00683391"/>
    <w:rsid w:val="0068347D"/>
    <w:rsid w:val="00683921"/>
    <w:rsid w:val="006845D4"/>
    <w:rsid w:val="0068567A"/>
    <w:rsid w:val="00685745"/>
    <w:rsid w:val="006857DF"/>
    <w:rsid w:val="00685B08"/>
    <w:rsid w:val="00685F47"/>
    <w:rsid w:val="006863B9"/>
    <w:rsid w:val="006869AA"/>
    <w:rsid w:val="00687631"/>
    <w:rsid w:val="00687E5A"/>
    <w:rsid w:val="00690263"/>
    <w:rsid w:val="006902B2"/>
    <w:rsid w:val="00690A33"/>
    <w:rsid w:val="0069102F"/>
    <w:rsid w:val="00691E29"/>
    <w:rsid w:val="0069290A"/>
    <w:rsid w:val="00693B82"/>
    <w:rsid w:val="006943A6"/>
    <w:rsid w:val="006956DB"/>
    <w:rsid w:val="006957A2"/>
    <w:rsid w:val="00695C00"/>
    <w:rsid w:val="00695F1D"/>
    <w:rsid w:val="006968DC"/>
    <w:rsid w:val="00696E54"/>
    <w:rsid w:val="0069705C"/>
    <w:rsid w:val="0069775A"/>
    <w:rsid w:val="00697813"/>
    <w:rsid w:val="00697D70"/>
    <w:rsid w:val="006A0778"/>
    <w:rsid w:val="006A0CA6"/>
    <w:rsid w:val="006A0E40"/>
    <w:rsid w:val="006A10BF"/>
    <w:rsid w:val="006A1A98"/>
    <w:rsid w:val="006A205C"/>
    <w:rsid w:val="006A3EE8"/>
    <w:rsid w:val="006A4AAE"/>
    <w:rsid w:val="006A4B7C"/>
    <w:rsid w:val="006A60EF"/>
    <w:rsid w:val="006A72BF"/>
    <w:rsid w:val="006A7877"/>
    <w:rsid w:val="006A7992"/>
    <w:rsid w:val="006A7BEA"/>
    <w:rsid w:val="006A7CDC"/>
    <w:rsid w:val="006A7E75"/>
    <w:rsid w:val="006B03F2"/>
    <w:rsid w:val="006B0457"/>
    <w:rsid w:val="006B19BB"/>
    <w:rsid w:val="006B222D"/>
    <w:rsid w:val="006B2649"/>
    <w:rsid w:val="006B2B06"/>
    <w:rsid w:val="006B2C87"/>
    <w:rsid w:val="006B37DC"/>
    <w:rsid w:val="006B4201"/>
    <w:rsid w:val="006B4A18"/>
    <w:rsid w:val="006B4F68"/>
    <w:rsid w:val="006B5A03"/>
    <w:rsid w:val="006B6098"/>
    <w:rsid w:val="006B618F"/>
    <w:rsid w:val="006B6A56"/>
    <w:rsid w:val="006B7020"/>
    <w:rsid w:val="006B7526"/>
    <w:rsid w:val="006B79A1"/>
    <w:rsid w:val="006B79E4"/>
    <w:rsid w:val="006C0592"/>
    <w:rsid w:val="006C05E3"/>
    <w:rsid w:val="006C063C"/>
    <w:rsid w:val="006C08B6"/>
    <w:rsid w:val="006C0DCF"/>
    <w:rsid w:val="006C0EF8"/>
    <w:rsid w:val="006C0F19"/>
    <w:rsid w:val="006C1149"/>
    <w:rsid w:val="006C1966"/>
    <w:rsid w:val="006C1EBD"/>
    <w:rsid w:val="006C237C"/>
    <w:rsid w:val="006C272E"/>
    <w:rsid w:val="006C280F"/>
    <w:rsid w:val="006C2D58"/>
    <w:rsid w:val="006C2DFD"/>
    <w:rsid w:val="006C38C1"/>
    <w:rsid w:val="006C4246"/>
    <w:rsid w:val="006C5479"/>
    <w:rsid w:val="006C56F3"/>
    <w:rsid w:val="006C5973"/>
    <w:rsid w:val="006C5D8E"/>
    <w:rsid w:val="006C621B"/>
    <w:rsid w:val="006C64BB"/>
    <w:rsid w:val="006C6E9F"/>
    <w:rsid w:val="006C6FBD"/>
    <w:rsid w:val="006C710D"/>
    <w:rsid w:val="006C7424"/>
    <w:rsid w:val="006D0864"/>
    <w:rsid w:val="006D090B"/>
    <w:rsid w:val="006D0C9D"/>
    <w:rsid w:val="006D1092"/>
    <w:rsid w:val="006D10B8"/>
    <w:rsid w:val="006D13B5"/>
    <w:rsid w:val="006D1477"/>
    <w:rsid w:val="006D190D"/>
    <w:rsid w:val="006D193F"/>
    <w:rsid w:val="006D1F29"/>
    <w:rsid w:val="006D2022"/>
    <w:rsid w:val="006D2422"/>
    <w:rsid w:val="006D280B"/>
    <w:rsid w:val="006D335A"/>
    <w:rsid w:val="006D373B"/>
    <w:rsid w:val="006D4451"/>
    <w:rsid w:val="006D4452"/>
    <w:rsid w:val="006D512C"/>
    <w:rsid w:val="006D5330"/>
    <w:rsid w:val="006D57E6"/>
    <w:rsid w:val="006D58D1"/>
    <w:rsid w:val="006D61CB"/>
    <w:rsid w:val="006D6396"/>
    <w:rsid w:val="006D69D6"/>
    <w:rsid w:val="006D69FC"/>
    <w:rsid w:val="006D6A79"/>
    <w:rsid w:val="006D6DDE"/>
    <w:rsid w:val="006D7A4F"/>
    <w:rsid w:val="006E00E6"/>
    <w:rsid w:val="006E055E"/>
    <w:rsid w:val="006E05A1"/>
    <w:rsid w:val="006E12FF"/>
    <w:rsid w:val="006E1341"/>
    <w:rsid w:val="006E1534"/>
    <w:rsid w:val="006E1933"/>
    <w:rsid w:val="006E1B98"/>
    <w:rsid w:val="006E1D65"/>
    <w:rsid w:val="006E2CF0"/>
    <w:rsid w:val="006E2EDF"/>
    <w:rsid w:val="006E320F"/>
    <w:rsid w:val="006E3D31"/>
    <w:rsid w:val="006E44C5"/>
    <w:rsid w:val="006E4FD9"/>
    <w:rsid w:val="006E607E"/>
    <w:rsid w:val="006E6EB6"/>
    <w:rsid w:val="006E708E"/>
    <w:rsid w:val="006F0701"/>
    <w:rsid w:val="006F09AB"/>
    <w:rsid w:val="006F0A41"/>
    <w:rsid w:val="006F0D85"/>
    <w:rsid w:val="006F0DB4"/>
    <w:rsid w:val="006F0F83"/>
    <w:rsid w:val="006F1477"/>
    <w:rsid w:val="006F2624"/>
    <w:rsid w:val="006F28B4"/>
    <w:rsid w:val="006F38C4"/>
    <w:rsid w:val="006F420A"/>
    <w:rsid w:val="006F4966"/>
    <w:rsid w:val="006F52D4"/>
    <w:rsid w:val="006F5F94"/>
    <w:rsid w:val="006F650C"/>
    <w:rsid w:val="006F6630"/>
    <w:rsid w:val="006F69D8"/>
    <w:rsid w:val="006F6C59"/>
    <w:rsid w:val="006F7323"/>
    <w:rsid w:val="006F756D"/>
    <w:rsid w:val="006F7A01"/>
    <w:rsid w:val="006F7BFF"/>
    <w:rsid w:val="00700617"/>
    <w:rsid w:val="00700A43"/>
    <w:rsid w:val="00700CC8"/>
    <w:rsid w:val="00700F97"/>
    <w:rsid w:val="0070165B"/>
    <w:rsid w:val="00701B67"/>
    <w:rsid w:val="00701CD7"/>
    <w:rsid w:val="00702361"/>
    <w:rsid w:val="007026E6"/>
    <w:rsid w:val="007027D3"/>
    <w:rsid w:val="0070359E"/>
    <w:rsid w:val="00703BFC"/>
    <w:rsid w:val="007045FA"/>
    <w:rsid w:val="00704986"/>
    <w:rsid w:val="00704E59"/>
    <w:rsid w:val="007058B5"/>
    <w:rsid w:val="00705ABD"/>
    <w:rsid w:val="00706179"/>
    <w:rsid w:val="00706A6F"/>
    <w:rsid w:val="00706C5D"/>
    <w:rsid w:val="00706CC0"/>
    <w:rsid w:val="0070745C"/>
    <w:rsid w:val="007075AC"/>
    <w:rsid w:val="00707709"/>
    <w:rsid w:val="0071087A"/>
    <w:rsid w:val="00711068"/>
    <w:rsid w:val="0071115C"/>
    <w:rsid w:val="007121F9"/>
    <w:rsid w:val="00712CDA"/>
    <w:rsid w:val="00712DA9"/>
    <w:rsid w:val="00712DEC"/>
    <w:rsid w:val="00713093"/>
    <w:rsid w:val="0071358F"/>
    <w:rsid w:val="007136A3"/>
    <w:rsid w:val="007137EE"/>
    <w:rsid w:val="00713FFB"/>
    <w:rsid w:val="007140E4"/>
    <w:rsid w:val="0071458F"/>
    <w:rsid w:val="00715218"/>
    <w:rsid w:val="0071571C"/>
    <w:rsid w:val="0071668E"/>
    <w:rsid w:val="00716B1A"/>
    <w:rsid w:val="007173FC"/>
    <w:rsid w:val="00717E8B"/>
    <w:rsid w:val="00720051"/>
    <w:rsid w:val="0072089E"/>
    <w:rsid w:val="00720C73"/>
    <w:rsid w:val="0072103A"/>
    <w:rsid w:val="00721308"/>
    <w:rsid w:val="0072209F"/>
    <w:rsid w:val="00722289"/>
    <w:rsid w:val="007223CC"/>
    <w:rsid w:val="00722D9B"/>
    <w:rsid w:val="0072309F"/>
    <w:rsid w:val="00723462"/>
    <w:rsid w:val="00723BE4"/>
    <w:rsid w:val="00723DE1"/>
    <w:rsid w:val="00724DBB"/>
    <w:rsid w:val="0072519F"/>
    <w:rsid w:val="0072654B"/>
    <w:rsid w:val="00726E61"/>
    <w:rsid w:val="00727ABA"/>
    <w:rsid w:val="00727E66"/>
    <w:rsid w:val="00730133"/>
    <w:rsid w:val="007305DC"/>
    <w:rsid w:val="00730723"/>
    <w:rsid w:val="007315CD"/>
    <w:rsid w:val="00732922"/>
    <w:rsid w:val="007337F3"/>
    <w:rsid w:val="00733A8E"/>
    <w:rsid w:val="007341A9"/>
    <w:rsid w:val="007345B4"/>
    <w:rsid w:val="007349F5"/>
    <w:rsid w:val="0073525C"/>
    <w:rsid w:val="00735637"/>
    <w:rsid w:val="007356C7"/>
    <w:rsid w:val="00736504"/>
    <w:rsid w:val="007373E3"/>
    <w:rsid w:val="00737D74"/>
    <w:rsid w:val="007407F6"/>
    <w:rsid w:val="0074100E"/>
    <w:rsid w:val="0074214D"/>
    <w:rsid w:val="007422BB"/>
    <w:rsid w:val="00742DCA"/>
    <w:rsid w:val="00742F7F"/>
    <w:rsid w:val="007431DF"/>
    <w:rsid w:val="00743281"/>
    <w:rsid w:val="00743BE6"/>
    <w:rsid w:val="00743E3A"/>
    <w:rsid w:val="00744476"/>
    <w:rsid w:val="00744B50"/>
    <w:rsid w:val="0074502C"/>
    <w:rsid w:val="007454E0"/>
    <w:rsid w:val="00745852"/>
    <w:rsid w:val="00745859"/>
    <w:rsid w:val="00745E07"/>
    <w:rsid w:val="007462A2"/>
    <w:rsid w:val="00746EF8"/>
    <w:rsid w:val="0074776E"/>
    <w:rsid w:val="00747BB8"/>
    <w:rsid w:val="00747DF2"/>
    <w:rsid w:val="0075052A"/>
    <w:rsid w:val="007507BB"/>
    <w:rsid w:val="00750E8D"/>
    <w:rsid w:val="0075162E"/>
    <w:rsid w:val="00751651"/>
    <w:rsid w:val="0075169B"/>
    <w:rsid w:val="00751C99"/>
    <w:rsid w:val="007522B3"/>
    <w:rsid w:val="00752533"/>
    <w:rsid w:val="00752717"/>
    <w:rsid w:val="0075290D"/>
    <w:rsid w:val="00752B01"/>
    <w:rsid w:val="00752EA8"/>
    <w:rsid w:val="007531EE"/>
    <w:rsid w:val="007535ED"/>
    <w:rsid w:val="00753A4F"/>
    <w:rsid w:val="00753FE0"/>
    <w:rsid w:val="00754034"/>
    <w:rsid w:val="007540D7"/>
    <w:rsid w:val="0075414A"/>
    <w:rsid w:val="0075445E"/>
    <w:rsid w:val="00754AAA"/>
    <w:rsid w:val="00755194"/>
    <w:rsid w:val="007554EC"/>
    <w:rsid w:val="00755C16"/>
    <w:rsid w:val="00755C38"/>
    <w:rsid w:val="00756284"/>
    <w:rsid w:val="00756556"/>
    <w:rsid w:val="0075725B"/>
    <w:rsid w:val="00757C90"/>
    <w:rsid w:val="00757D63"/>
    <w:rsid w:val="00760046"/>
    <w:rsid w:val="0076011B"/>
    <w:rsid w:val="00760F6D"/>
    <w:rsid w:val="007617D0"/>
    <w:rsid w:val="007618C4"/>
    <w:rsid w:val="0076209D"/>
    <w:rsid w:val="0076216D"/>
    <w:rsid w:val="007622E7"/>
    <w:rsid w:val="00763338"/>
    <w:rsid w:val="00764152"/>
    <w:rsid w:val="007643FD"/>
    <w:rsid w:val="00764682"/>
    <w:rsid w:val="00764EFB"/>
    <w:rsid w:val="0076584C"/>
    <w:rsid w:val="00766284"/>
    <w:rsid w:val="007669BD"/>
    <w:rsid w:val="00766A18"/>
    <w:rsid w:val="00766E39"/>
    <w:rsid w:val="00767045"/>
    <w:rsid w:val="00767980"/>
    <w:rsid w:val="00767F97"/>
    <w:rsid w:val="007704F5"/>
    <w:rsid w:val="00770B19"/>
    <w:rsid w:val="00771321"/>
    <w:rsid w:val="00771B24"/>
    <w:rsid w:val="007721C5"/>
    <w:rsid w:val="00772CB1"/>
    <w:rsid w:val="007732C7"/>
    <w:rsid w:val="0077368D"/>
    <w:rsid w:val="007736B1"/>
    <w:rsid w:val="00773738"/>
    <w:rsid w:val="007737EA"/>
    <w:rsid w:val="00773AAD"/>
    <w:rsid w:val="00774217"/>
    <w:rsid w:val="0077463F"/>
    <w:rsid w:val="00774719"/>
    <w:rsid w:val="007748CF"/>
    <w:rsid w:val="007751DA"/>
    <w:rsid w:val="007756BC"/>
    <w:rsid w:val="00775A5B"/>
    <w:rsid w:val="00775DAD"/>
    <w:rsid w:val="00775FAC"/>
    <w:rsid w:val="0077640C"/>
    <w:rsid w:val="007765EF"/>
    <w:rsid w:val="00776922"/>
    <w:rsid w:val="00776D8F"/>
    <w:rsid w:val="0077777A"/>
    <w:rsid w:val="007800D6"/>
    <w:rsid w:val="007806C5"/>
    <w:rsid w:val="00780BE0"/>
    <w:rsid w:val="00781AE5"/>
    <w:rsid w:val="007821D8"/>
    <w:rsid w:val="007822D8"/>
    <w:rsid w:val="007823D3"/>
    <w:rsid w:val="0078300F"/>
    <w:rsid w:val="00783150"/>
    <w:rsid w:val="0078348E"/>
    <w:rsid w:val="007836EA"/>
    <w:rsid w:val="007842C4"/>
    <w:rsid w:val="00784CDA"/>
    <w:rsid w:val="00784DCE"/>
    <w:rsid w:val="00785BB3"/>
    <w:rsid w:val="00786326"/>
    <w:rsid w:val="0078646B"/>
    <w:rsid w:val="007869B4"/>
    <w:rsid w:val="007869DD"/>
    <w:rsid w:val="00786CE2"/>
    <w:rsid w:val="00787844"/>
    <w:rsid w:val="007906C4"/>
    <w:rsid w:val="007908EB"/>
    <w:rsid w:val="00790CE8"/>
    <w:rsid w:val="00791758"/>
    <w:rsid w:val="007920E4"/>
    <w:rsid w:val="00792189"/>
    <w:rsid w:val="0079239B"/>
    <w:rsid w:val="007927BE"/>
    <w:rsid w:val="00793E7B"/>
    <w:rsid w:val="007940EA"/>
    <w:rsid w:val="007948E7"/>
    <w:rsid w:val="00794B11"/>
    <w:rsid w:val="00794BC2"/>
    <w:rsid w:val="00794DF5"/>
    <w:rsid w:val="00794F48"/>
    <w:rsid w:val="00795422"/>
    <w:rsid w:val="00795492"/>
    <w:rsid w:val="007957BB"/>
    <w:rsid w:val="00795CE1"/>
    <w:rsid w:val="007965B0"/>
    <w:rsid w:val="007967E8"/>
    <w:rsid w:val="00796F7C"/>
    <w:rsid w:val="0079709A"/>
    <w:rsid w:val="007A02C8"/>
    <w:rsid w:val="007A050E"/>
    <w:rsid w:val="007A0857"/>
    <w:rsid w:val="007A0B42"/>
    <w:rsid w:val="007A0BAD"/>
    <w:rsid w:val="007A10DD"/>
    <w:rsid w:val="007A2170"/>
    <w:rsid w:val="007A22BF"/>
    <w:rsid w:val="007A31AD"/>
    <w:rsid w:val="007A32FA"/>
    <w:rsid w:val="007A3323"/>
    <w:rsid w:val="007A3373"/>
    <w:rsid w:val="007A3BEA"/>
    <w:rsid w:val="007A4770"/>
    <w:rsid w:val="007A4E90"/>
    <w:rsid w:val="007A545E"/>
    <w:rsid w:val="007A5D15"/>
    <w:rsid w:val="007A6101"/>
    <w:rsid w:val="007A7840"/>
    <w:rsid w:val="007A7A2A"/>
    <w:rsid w:val="007A7E2C"/>
    <w:rsid w:val="007B1747"/>
    <w:rsid w:val="007B19F7"/>
    <w:rsid w:val="007B2516"/>
    <w:rsid w:val="007B2FEA"/>
    <w:rsid w:val="007B30D6"/>
    <w:rsid w:val="007B3678"/>
    <w:rsid w:val="007B36B8"/>
    <w:rsid w:val="007B3DDC"/>
    <w:rsid w:val="007B4522"/>
    <w:rsid w:val="007B4C2B"/>
    <w:rsid w:val="007B5637"/>
    <w:rsid w:val="007B5D37"/>
    <w:rsid w:val="007B5E54"/>
    <w:rsid w:val="007B604F"/>
    <w:rsid w:val="007B6071"/>
    <w:rsid w:val="007B61E8"/>
    <w:rsid w:val="007B64CC"/>
    <w:rsid w:val="007B678B"/>
    <w:rsid w:val="007B6ED2"/>
    <w:rsid w:val="007B703D"/>
    <w:rsid w:val="007B7178"/>
    <w:rsid w:val="007B72B8"/>
    <w:rsid w:val="007B796D"/>
    <w:rsid w:val="007B7A58"/>
    <w:rsid w:val="007B7AC9"/>
    <w:rsid w:val="007C02DF"/>
    <w:rsid w:val="007C03F9"/>
    <w:rsid w:val="007C05F1"/>
    <w:rsid w:val="007C0E26"/>
    <w:rsid w:val="007C0E6D"/>
    <w:rsid w:val="007C123B"/>
    <w:rsid w:val="007C157B"/>
    <w:rsid w:val="007C1673"/>
    <w:rsid w:val="007C1ADD"/>
    <w:rsid w:val="007C1D68"/>
    <w:rsid w:val="007C1E9A"/>
    <w:rsid w:val="007C21B5"/>
    <w:rsid w:val="007C285A"/>
    <w:rsid w:val="007C2EDF"/>
    <w:rsid w:val="007C328B"/>
    <w:rsid w:val="007C3302"/>
    <w:rsid w:val="007C37AE"/>
    <w:rsid w:val="007C3ED0"/>
    <w:rsid w:val="007C5439"/>
    <w:rsid w:val="007C55CC"/>
    <w:rsid w:val="007C58D7"/>
    <w:rsid w:val="007C5A7F"/>
    <w:rsid w:val="007C5A8E"/>
    <w:rsid w:val="007C7004"/>
    <w:rsid w:val="007C7A8F"/>
    <w:rsid w:val="007C7BA4"/>
    <w:rsid w:val="007D05BF"/>
    <w:rsid w:val="007D0D5E"/>
    <w:rsid w:val="007D1B84"/>
    <w:rsid w:val="007D20B7"/>
    <w:rsid w:val="007D239C"/>
    <w:rsid w:val="007D2CDC"/>
    <w:rsid w:val="007D2EE6"/>
    <w:rsid w:val="007D30F7"/>
    <w:rsid w:val="007D34A4"/>
    <w:rsid w:val="007D4B98"/>
    <w:rsid w:val="007D5385"/>
    <w:rsid w:val="007D5894"/>
    <w:rsid w:val="007D5CFF"/>
    <w:rsid w:val="007D5EBA"/>
    <w:rsid w:val="007D5FE6"/>
    <w:rsid w:val="007D6038"/>
    <w:rsid w:val="007D6ED2"/>
    <w:rsid w:val="007D6F2A"/>
    <w:rsid w:val="007D71F5"/>
    <w:rsid w:val="007D75D1"/>
    <w:rsid w:val="007D7EE4"/>
    <w:rsid w:val="007E068B"/>
    <w:rsid w:val="007E07F5"/>
    <w:rsid w:val="007E0A53"/>
    <w:rsid w:val="007E0C0C"/>
    <w:rsid w:val="007E0C97"/>
    <w:rsid w:val="007E1B47"/>
    <w:rsid w:val="007E26A8"/>
    <w:rsid w:val="007E2D1E"/>
    <w:rsid w:val="007E2E4C"/>
    <w:rsid w:val="007E31BE"/>
    <w:rsid w:val="007E31F1"/>
    <w:rsid w:val="007E3265"/>
    <w:rsid w:val="007E379C"/>
    <w:rsid w:val="007E3A2F"/>
    <w:rsid w:val="007E4015"/>
    <w:rsid w:val="007E42E8"/>
    <w:rsid w:val="007E4937"/>
    <w:rsid w:val="007E4A91"/>
    <w:rsid w:val="007E4BD2"/>
    <w:rsid w:val="007E5800"/>
    <w:rsid w:val="007E613F"/>
    <w:rsid w:val="007E645C"/>
    <w:rsid w:val="007E6554"/>
    <w:rsid w:val="007E7154"/>
    <w:rsid w:val="007E744C"/>
    <w:rsid w:val="007E748F"/>
    <w:rsid w:val="007F019E"/>
    <w:rsid w:val="007F10B7"/>
    <w:rsid w:val="007F119A"/>
    <w:rsid w:val="007F1748"/>
    <w:rsid w:val="007F1EDF"/>
    <w:rsid w:val="007F27A5"/>
    <w:rsid w:val="007F2CA5"/>
    <w:rsid w:val="007F2DAC"/>
    <w:rsid w:val="007F3E0C"/>
    <w:rsid w:val="007F40A6"/>
    <w:rsid w:val="007F435D"/>
    <w:rsid w:val="007F4C4B"/>
    <w:rsid w:val="007F5968"/>
    <w:rsid w:val="007F5B80"/>
    <w:rsid w:val="007F5C45"/>
    <w:rsid w:val="007F62C5"/>
    <w:rsid w:val="007F62D2"/>
    <w:rsid w:val="007F67FF"/>
    <w:rsid w:val="007F6F14"/>
    <w:rsid w:val="007F6FCF"/>
    <w:rsid w:val="007F7AD1"/>
    <w:rsid w:val="007F7FEC"/>
    <w:rsid w:val="00800140"/>
    <w:rsid w:val="0080076D"/>
    <w:rsid w:val="00801393"/>
    <w:rsid w:val="0080148B"/>
    <w:rsid w:val="00801799"/>
    <w:rsid w:val="00801849"/>
    <w:rsid w:val="00801BFF"/>
    <w:rsid w:val="0080234C"/>
    <w:rsid w:val="00802F88"/>
    <w:rsid w:val="00803126"/>
    <w:rsid w:val="00803526"/>
    <w:rsid w:val="00804678"/>
    <w:rsid w:val="00805236"/>
    <w:rsid w:val="008055F5"/>
    <w:rsid w:val="00805FAC"/>
    <w:rsid w:val="00806126"/>
    <w:rsid w:val="0080739B"/>
    <w:rsid w:val="008079AC"/>
    <w:rsid w:val="00810456"/>
    <w:rsid w:val="008104FC"/>
    <w:rsid w:val="00810BAF"/>
    <w:rsid w:val="00810CB2"/>
    <w:rsid w:val="00810D86"/>
    <w:rsid w:val="00811493"/>
    <w:rsid w:val="00811DE8"/>
    <w:rsid w:val="00812734"/>
    <w:rsid w:val="0081293E"/>
    <w:rsid w:val="00812F23"/>
    <w:rsid w:val="00813656"/>
    <w:rsid w:val="0081392C"/>
    <w:rsid w:val="00813C5B"/>
    <w:rsid w:val="0081401F"/>
    <w:rsid w:val="00814EC1"/>
    <w:rsid w:val="00815465"/>
    <w:rsid w:val="008156B3"/>
    <w:rsid w:val="0081585C"/>
    <w:rsid w:val="00816206"/>
    <w:rsid w:val="00816615"/>
    <w:rsid w:val="00816B2C"/>
    <w:rsid w:val="00816CA3"/>
    <w:rsid w:val="00817E9A"/>
    <w:rsid w:val="0082031F"/>
    <w:rsid w:val="00820705"/>
    <w:rsid w:val="00820AC3"/>
    <w:rsid w:val="00820F69"/>
    <w:rsid w:val="008214B5"/>
    <w:rsid w:val="00821732"/>
    <w:rsid w:val="00821738"/>
    <w:rsid w:val="00821C9C"/>
    <w:rsid w:val="008220D6"/>
    <w:rsid w:val="0082247A"/>
    <w:rsid w:val="008226EE"/>
    <w:rsid w:val="00822846"/>
    <w:rsid w:val="008228C7"/>
    <w:rsid w:val="00823854"/>
    <w:rsid w:val="00823905"/>
    <w:rsid w:val="00823BE1"/>
    <w:rsid w:val="00823C1A"/>
    <w:rsid w:val="0082436D"/>
    <w:rsid w:val="00824F9C"/>
    <w:rsid w:val="008254DC"/>
    <w:rsid w:val="00826AAE"/>
    <w:rsid w:val="00826CDF"/>
    <w:rsid w:val="0082744C"/>
    <w:rsid w:val="0082776A"/>
    <w:rsid w:val="00827D16"/>
    <w:rsid w:val="00830203"/>
    <w:rsid w:val="008303C7"/>
    <w:rsid w:val="008306BD"/>
    <w:rsid w:val="00830BED"/>
    <w:rsid w:val="00830E02"/>
    <w:rsid w:val="00831018"/>
    <w:rsid w:val="00831A80"/>
    <w:rsid w:val="00832FA4"/>
    <w:rsid w:val="00833743"/>
    <w:rsid w:val="008337C5"/>
    <w:rsid w:val="00833F78"/>
    <w:rsid w:val="008340A4"/>
    <w:rsid w:val="008340F2"/>
    <w:rsid w:val="008344B6"/>
    <w:rsid w:val="00834695"/>
    <w:rsid w:val="008347A3"/>
    <w:rsid w:val="008348EE"/>
    <w:rsid w:val="00834DA9"/>
    <w:rsid w:val="00834E2D"/>
    <w:rsid w:val="00835EC5"/>
    <w:rsid w:val="008360CE"/>
    <w:rsid w:val="008362FE"/>
    <w:rsid w:val="00836791"/>
    <w:rsid w:val="00837EF1"/>
    <w:rsid w:val="008405BE"/>
    <w:rsid w:val="0084061A"/>
    <w:rsid w:val="00840BF8"/>
    <w:rsid w:val="00841938"/>
    <w:rsid w:val="008426D1"/>
    <w:rsid w:val="00842743"/>
    <w:rsid w:val="0084331B"/>
    <w:rsid w:val="00843AE8"/>
    <w:rsid w:val="00844CF8"/>
    <w:rsid w:val="0084530B"/>
    <w:rsid w:val="0084531C"/>
    <w:rsid w:val="00845D95"/>
    <w:rsid w:val="008461A4"/>
    <w:rsid w:val="0084657F"/>
    <w:rsid w:val="00846749"/>
    <w:rsid w:val="00846B8F"/>
    <w:rsid w:val="008471A2"/>
    <w:rsid w:val="00847C7D"/>
    <w:rsid w:val="00847CB5"/>
    <w:rsid w:val="00850819"/>
    <w:rsid w:val="008508A8"/>
    <w:rsid w:val="008509D9"/>
    <w:rsid w:val="00850B96"/>
    <w:rsid w:val="00850BE3"/>
    <w:rsid w:val="00850FF1"/>
    <w:rsid w:val="0085147D"/>
    <w:rsid w:val="00851CE9"/>
    <w:rsid w:val="00851DC1"/>
    <w:rsid w:val="0085264D"/>
    <w:rsid w:val="00852855"/>
    <w:rsid w:val="008544B4"/>
    <w:rsid w:val="008547DE"/>
    <w:rsid w:val="00854FD5"/>
    <w:rsid w:val="0085555E"/>
    <w:rsid w:val="0085575E"/>
    <w:rsid w:val="00855CB8"/>
    <w:rsid w:val="008560D0"/>
    <w:rsid w:val="00856493"/>
    <w:rsid w:val="00856BFB"/>
    <w:rsid w:val="00856D41"/>
    <w:rsid w:val="00857694"/>
    <w:rsid w:val="00860ED5"/>
    <w:rsid w:val="008618B5"/>
    <w:rsid w:val="008623F8"/>
    <w:rsid w:val="00862573"/>
    <w:rsid w:val="00862807"/>
    <w:rsid w:val="00862E51"/>
    <w:rsid w:val="00863490"/>
    <w:rsid w:val="00863A0F"/>
    <w:rsid w:val="00864041"/>
    <w:rsid w:val="00864068"/>
    <w:rsid w:val="008645CE"/>
    <w:rsid w:val="008645FE"/>
    <w:rsid w:val="00864DBE"/>
    <w:rsid w:val="00864E91"/>
    <w:rsid w:val="008657BF"/>
    <w:rsid w:val="008658E4"/>
    <w:rsid w:val="00865DBC"/>
    <w:rsid w:val="008662F5"/>
    <w:rsid w:val="0086753E"/>
    <w:rsid w:val="00867C36"/>
    <w:rsid w:val="00867C8B"/>
    <w:rsid w:val="00867D13"/>
    <w:rsid w:val="00867E5B"/>
    <w:rsid w:val="00870C46"/>
    <w:rsid w:val="0087135F"/>
    <w:rsid w:val="008713F8"/>
    <w:rsid w:val="00872029"/>
    <w:rsid w:val="008722FF"/>
    <w:rsid w:val="0087233D"/>
    <w:rsid w:val="00872664"/>
    <w:rsid w:val="0087293B"/>
    <w:rsid w:val="00872D94"/>
    <w:rsid w:val="00873488"/>
    <w:rsid w:val="00873AE0"/>
    <w:rsid w:val="00873C46"/>
    <w:rsid w:val="00873FC5"/>
    <w:rsid w:val="00874224"/>
    <w:rsid w:val="00874CBF"/>
    <w:rsid w:val="00875375"/>
    <w:rsid w:val="008757FB"/>
    <w:rsid w:val="00875FE2"/>
    <w:rsid w:val="008777C9"/>
    <w:rsid w:val="00877CF8"/>
    <w:rsid w:val="00880364"/>
    <w:rsid w:val="00880B9F"/>
    <w:rsid w:val="008812DB"/>
    <w:rsid w:val="008817F7"/>
    <w:rsid w:val="00881F01"/>
    <w:rsid w:val="008825E2"/>
    <w:rsid w:val="00882692"/>
    <w:rsid w:val="0088294A"/>
    <w:rsid w:val="0088336B"/>
    <w:rsid w:val="00883590"/>
    <w:rsid w:val="008837F6"/>
    <w:rsid w:val="008841AC"/>
    <w:rsid w:val="008844EB"/>
    <w:rsid w:val="00884B07"/>
    <w:rsid w:val="008859F7"/>
    <w:rsid w:val="00886F5F"/>
    <w:rsid w:val="00886FC5"/>
    <w:rsid w:val="008870D0"/>
    <w:rsid w:val="00887411"/>
    <w:rsid w:val="008874D6"/>
    <w:rsid w:val="00887553"/>
    <w:rsid w:val="008902EC"/>
    <w:rsid w:val="0089101C"/>
    <w:rsid w:val="00891078"/>
    <w:rsid w:val="008913C6"/>
    <w:rsid w:val="00891450"/>
    <w:rsid w:val="00891451"/>
    <w:rsid w:val="00891491"/>
    <w:rsid w:val="008914BC"/>
    <w:rsid w:val="00891592"/>
    <w:rsid w:val="00891E9E"/>
    <w:rsid w:val="00892441"/>
    <w:rsid w:val="008925FA"/>
    <w:rsid w:val="00893423"/>
    <w:rsid w:val="0089342B"/>
    <w:rsid w:val="00893893"/>
    <w:rsid w:val="008947E8"/>
    <w:rsid w:val="00894909"/>
    <w:rsid w:val="00894AA2"/>
    <w:rsid w:val="00894B64"/>
    <w:rsid w:val="00895012"/>
    <w:rsid w:val="0089537B"/>
    <w:rsid w:val="008957CE"/>
    <w:rsid w:val="00895EBF"/>
    <w:rsid w:val="0089613B"/>
    <w:rsid w:val="008961ED"/>
    <w:rsid w:val="00897220"/>
    <w:rsid w:val="0089779D"/>
    <w:rsid w:val="0089782F"/>
    <w:rsid w:val="0089783C"/>
    <w:rsid w:val="008A104A"/>
    <w:rsid w:val="008A14EF"/>
    <w:rsid w:val="008A1618"/>
    <w:rsid w:val="008A1693"/>
    <w:rsid w:val="008A16D6"/>
    <w:rsid w:val="008A2258"/>
    <w:rsid w:val="008A2376"/>
    <w:rsid w:val="008A26B1"/>
    <w:rsid w:val="008A2F68"/>
    <w:rsid w:val="008A34EE"/>
    <w:rsid w:val="008A3C70"/>
    <w:rsid w:val="008A4144"/>
    <w:rsid w:val="008A416F"/>
    <w:rsid w:val="008A45D7"/>
    <w:rsid w:val="008A469D"/>
    <w:rsid w:val="008A4B73"/>
    <w:rsid w:val="008A4CF9"/>
    <w:rsid w:val="008A526C"/>
    <w:rsid w:val="008A55A6"/>
    <w:rsid w:val="008A56DE"/>
    <w:rsid w:val="008A57C2"/>
    <w:rsid w:val="008A5B61"/>
    <w:rsid w:val="008A642B"/>
    <w:rsid w:val="008A6430"/>
    <w:rsid w:val="008A6FC9"/>
    <w:rsid w:val="008A75C8"/>
    <w:rsid w:val="008A7B32"/>
    <w:rsid w:val="008B0190"/>
    <w:rsid w:val="008B052F"/>
    <w:rsid w:val="008B098C"/>
    <w:rsid w:val="008B0E5C"/>
    <w:rsid w:val="008B0EB4"/>
    <w:rsid w:val="008B116B"/>
    <w:rsid w:val="008B1645"/>
    <w:rsid w:val="008B16EC"/>
    <w:rsid w:val="008B1A0A"/>
    <w:rsid w:val="008B2057"/>
    <w:rsid w:val="008B2C3B"/>
    <w:rsid w:val="008B3B08"/>
    <w:rsid w:val="008B4123"/>
    <w:rsid w:val="008B433E"/>
    <w:rsid w:val="008B45D7"/>
    <w:rsid w:val="008B4FA6"/>
    <w:rsid w:val="008B5282"/>
    <w:rsid w:val="008B5939"/>
    <w:rsid w:val="008B5BBE"/>
    <w:rsid w:val="008B642E"/>
    <w:rsid w:val="008B667F"/>
    <w:rsid w:val="008B6F18"/>
    <w:rsid w:val="008B7240"/>
    <w:rsid w:val="008B7C17"/>
    <w:rsid w:val="008B7EDB"/>
    <w:rsid w:val="008C15F4"/>
    <w:rsid w:val="008C1A17"/>
    <w:rsid w:val="008C1C0A"/>
    <w:rsid w:val="008C1CE9"/>
    <w:rsid w:val="008C1E48"/>
    <w:rsid w:val="008C21D8"/>
    <w:rsid w:val="008C21F5"/>
    <w:rsid w:val="008C2CAE"/>
    <w:rsid w:val="008C2D01"/>
    <w:rsid w:val="008C32D5"/>
    <w:rsid w:val="008C3872"/>
    <w:rsid w:val="008C3B3B"/>
    <w:rsid w:val="008C3B44"/>
    <w:rsid w:val="008C3C27"/>
    <w:rsid w:val="008C3CCC"/>
    <w:rsid w:val="008C40E6"/>
    <w:rsid w:val="008C410F"/>
    <w:rsid w:val="008C4312"/>
    <w:rsid w:val="008C4F85"/>
    <w:rsid w:val="008C4FB1"/>
    <w:rsid w:val="008C5413"/>
    <w:rsid w:val="008C58E4"/>
    <w:rsid w:val="008C5E0A"/>
    <w:rsid w:val="008C699A"/>
    <w:rsid w:val="008C6A9F"/>
    <w:rsid w:val="008C6E92"/>
    <w:rsid w:val="008C7468"/>
    <w:rsid w:val="008C75FC"/>
    <w:rsid w:val="008C7C64"/>
    <w:rsid w:val="008D0119"/>
    <w:rsid w:val="008D0458"/>
    <w:rsid w:val="008D06C2"/>
    <w:rsid w:val="008D0EBD"/>
    <w:rsid w:val="008D0F7A"/>
    <w:rsid w:val="008D18FA"/>
    <w:rsid w:val="008D2F15"/>
    <w:rsid w:val="008D33EB"/>
    <w:rsid w:val="008D3638"/>
    <w:rsid w:val="008D3B40"/>
    <w:rsid w:val="008D3D17"/>
    <w:rsid w:val="008D4784"/>
    <w:rsid w:val="008D4D2D"/>
    <w:rsid w:val="008D5400"/>
    <w:rsid w:val="008D68E4"/>
    <w:rsid w:val="008D7353"/>
    <w:rsid w:val="008D7461"/>
    <w:rsid w:val="008D7580"/>
    <w:rsid w:val="008D76CF"/>
    <w:rsid w:val="008D78C6"/>
    <w:rsid w:val="008E0506"/>
    <w:rsid w:val="008E05C2"/>
    <w:rsid w:val="008E0674"/>
    <w:rsid w:val="008E0873"/>
    <w:rsid w:val="008E0CFF"/>
    <w:rsid w:val="008E1362"/>
    <w:rsid w:val="008E199B"/>
    <w:rsid w:val="008E2203"/>
    <w:rsid w:val="008E33B5"/>
    <w:rsid w:val="008E3C52"/>
    <w:rsid w:val="008E4E75"/>
    <w:rsid w:val="008E5071"/>
    <w:rsid w:val="008E5474"/>
    <w:rsid w:val="008E5534"/>
    <w:rsid w:val="008E5D38"/>
    <w:rsid w:val="008E5D6B"/>
    <w:rsid w:val="008E62A3"/>
    <w:rsid w:val="008E739F"/>
    <w:rsid w:val="008E76F0"/>
    <w:rsid w:val="008E7A20"/>
    <w:rsid w:val="008E7C06"/>
    <w:rsid w:val="008E7C24"/>
    <w:rsid w:val="008E7DF6"/>
    <w:rsid w:val="008F04D6"/>
    <w:rsid w:val="008F0A19"/>
    <w:rsid w:val="008F0DB5"/>
    <w:rsid w:val="008F11EE"/>
    <w:rsid w:val="008F15FE"/>
    <w:rsid w:val="008F1A29"/>
    <w:rsid w:val="008F22F4"/>
    <w:rsid w:val="008F2BA4"/>
    <w:rsid w:val="008F2D29"/>
    <w:rsid w:val="008F3769"/>
    <w:rsid w:val="008F3BAA"/>
    <w:rsid w:val="008F3F97"/>
    <w:rsid w:val="008F3FF2"/>
    <w:rsid w:val="008F4E44"/>
    <w:rsid w:val="008F5187"/>
    <w:rsid w:val="008F521D"/>
    <w:rsid w:val="008F52D2"/>
    <w:rsid w:val="008F5FA9"/>
    <w:rsid w:val="008F60D8"/>
    <w:rsid w:val="008F6115"/>
    <w:rsid w:val="008F693E"/>
    <w:rsid w:val="008F6CB5"/>
    <w:rsid w:val="008F6E0D"/>
    <w:rsid w:val="00902727"/>
    <w:rsid w:val="00902977"/>
    <w:rsid w:val="00902B44"/>
    <w:rsid w:val="00903108"/>
    <w:rsid w:val="0090312B"/>
    <w:rsid w:val="009034EE"/>
    <w:rsid w:val="00903E59"/>
    <w:rsid w:val="00903E7D"/>
    <w:rsid w:val="00904313"/>
    <w:rsid w:val="009046A9"/>
    <w:rsid w:val="00905214"/>
    <w:rsid w:val="009053C6"/>
    <w:rsid w:val="0090551E"/>
    <w:rsid w:val="00905D87"/>
    <w:rsid w:val="00906C11"/>
    <w:rsid w:val="00907334"/>
    <w:rsid w:val="00907726"/>
    <w:rsid w:val="00907F09"/>
    <w:rsid w:val="00910B3D"/>
    <w:rsid w:val="00912033"/>
    <w:rsid w:val="00912332"/>
    <w:rsid w:val="00912702"/>
    <w:rsid w:val="00912FD0"/>
    <w:rsid w:val="0091353F"/>
    <w:rsid w:val="00913690"/>
    <w:rsid w:val="00913737"/>
    <w:rsid w:val="00913CAC"/>
    <w:rsid w:val="0091422C"/>
    <w:rsid w:val="00914587"/>
    <w:rsid w:val="00914EBC"/>
    <w:rsid w:val="00914EFB"/>
    <w:rsid w:val="00914F22"/>
    <w:rsid w:val="00914F2C"/>
    <w:rsid w:val="00915109"/>
    <w:rsid w:val="00915587"/>
    <w:rsid w:val="00915B0B"/>
    <w:rsid w:val="0091736D"/>
    <w:rsid w:val="00920387"/>
    <w:rsid w:val="00920694"/>
    <w:rsid w:val="00920F1C"/>
    <w:rsid w:val="0092107D"/>
    <w:rsid w:val="0092152E"/>
    <w:rsid w:val="0092184F"/>
    <w:rsid w:val="00921D96"/>
    <w:rsid w:val="00921F8A"/>
    <w:rsid w:val="009223EA"/>
    <w:rsid w:val="00922401"/>
    <w:rsid w:val="00922643"/>
    <w:rsid w:val="00922ACD"/>
    <w:rsid w:val="00922E99"/>
    <w:rsid w:val="009234F0"/>
    <w:rsid w:val="009238BA"/>
    <w:rsid w:val="00923AF9"/>
    <w:rsid w:val="009240E6"/>
    <w:rsid w:val="00924A62"/>
    <w:rsid w:val="00925ABF"/>
    <w:rsid w:val="00925DC8"/>
    <w:rsid w:val="00926644"/>
    <w:rsid w:val="00926B31"/>
    <w:rsid w:val="00926C14"/>
    <w:rsid w:val="00926E83"/>
    <w:rsid w:val="00927149"/>
    <w:rsid w:val="009271F1"/>
    <w:rsid w:val="00927697"/>
    <w:rsid w:val="00927BFD"/>
    <w:rsid w:val="0093024B"/>
    <w:rsid w:val="0093037A"/>
    <w:rsid w:val="009309E3"/>
    <w:rsid w:val="0093169A"/>
    <w:rsid w:val="009319A5"/>
    <w:rsid w:val="00932209"/>
    <w:rsid w:val="009329F8"/>
    <w:rsid w:val="00932A19"/>
    <w:rsid w:val="00932E01"/>
    <w:rsid w:val="00933B35"/>
    <w:rsid w:val="009342F2"/>
    <w:rsid w:val="00934312"/>
    <w:rsid w:val="0093468C"/>
    <w:rsid w:val="00934735"/>
    <w:rsid w:val="00935260"/>
    <w:rsid w:val="009354BC"/>
    <w:rsid w:val="009359FE"/>
    <w:rsid w:val="00935C0D"/>
    <w:rsid w:val="00935C64"/>
    <w:rsid w:val="00936008"/>
    <w:rsid w:val="00936427"/>
    <w:rsid w:val="00936433"/>
    <w:rsid w:val="00936B5C"/>
    <w:rsid w:val="00936ED0"/>
    <w:rsid w:val="00936F08"/>
    <w:rsid w:val="00937914"/>
    <w:rsid w:val="00937919"/>
    <w:rsid w:val="00937F52"/>
    <w:rsid w:val="009406F5"/>
    <w:rsid w:val="00940B04"/>
    <w:rsid w:val="00940D53"/>
    <w:rsid w:val="00940FC6"/>
    <w:rsid w:val="00941257"/>
    <w:rsid w:val="0094154D"/>
    <w:rsid w:val="00941944"/>
    <w:rsid w:val="00941F46"/>
    <w:rsid w:val="00942178"/>
    <w:rsid w:val="00942452"/>
    <w:rsid w:val="009425A2"/>
    <w:rsid w:val="0094261D"/>
    <w:rsid w:val="00942E86"/>
    <w:rsid w:val="00943118"/>
    <w:rsid w:val="009432DA"/>
    <w:rsid w:val="00943301"/>
    <w:rsid w:val="009438AC"/>
    <w:rsid w:val="0094448C"/>
    <w:rsid w:val="00944B98"/>
    <w:rsid w:val="00945B55"/>
    <w:rsid w:val="009464EA"/>
    <w:rsid w:val="009465C9"/>
    <w:rsid w:val="00946CE5"/>
    <w:rsid w:val="00947087"/>
    <w:rsid w:val="0094761D"/>
    <w:rsid w:val="00947BC4"/>
    <w:rsid w:val="00947D31"/>
    <w:rsid w:val="0095008C"/>
    <w:rsid w:val="0095015D"/>
    <w:rsid w:val="00950C29"/>
    <w:rsid w:val="00950E55"/>
    <w:rsid w:val="0095155F"/>
    <w:rsid w:val="009518A7"/>
    <w:rsid w:val="0095230D"/>
    <w:rsid w:val="0095274A"/>
    <w:rsid w:val="00952899"/>
    <w:rsid w:val="0095314C"/>
    <w:rsid w:val="00954429"/>
    <w:rsid w:val="00954A3D"/>
    <w:rsid w:val="00954C4D"/>
    <w:rsid w:val="00954DEB"/>
    <w:rsid w:val="009563CE"/>
    <w:rsid w:val="00956557"/>
    <w:rsid w:val="00956C7F"/>
    <w:rsid w:val="00956F39"/>
    <w:rsid w:val="00956FEA"/>
    <w:rsid w:val="00960729"/>
    <w:rsid w:val="00960C5C"/>
    <w:rsid w:val="00960CB4"/>
    <w:rsid w:val="00961B0E"/>
    <w:rsid w:val="00961EF8"/>
    <w:rsid w:val="00962997"/>
    <w:rsid w:val="00962A39"/>
    <w:rsid w:val="00962C3A"/>
    <w:rsid w:val="00963600"/>
    <w:rsid w:val="009639DA"/>
    <w:rsid w:val="00963CF6"/>
    <w:rsid w:val="00964109"/>
    <w:rsid w:val="00964383"/>
    <w:rsid w:val="00964A9B"/>
    <w:rsid w:val="00965152"/>
    <w:rsid w:val="00965CFB"/>
    <w:rsid w:val="0096601F"/>
    <w:rsid w:val="00966537"/>
    <w:rsid w:val="00966CF3"/>
    <w:rsid w:val="00966D52"/>
    <w:rsid w:val="00967224"/>
    <w:rsid w:val="00967404"/>
    <w:rsid w:val="00967510"/>
    <w:rsid w:val="00967A62"/>
    <w:rsid w:val="00967A91"/>
    <w:rsid w:val="00967B42"/>
    <w:rsid w:val="0097056F"/>
    <w:rsid w:val="0097103B"/>
    <w:rsid w:val="00971CC9"/>
    <w:rsid w:val="00972157"/>
    <w:rsid w:val="00972AF6"/>
    <w:rsid w:val="00973044"/>
    <w:rsid w:val="00973C6A"/>
    <w:rsid w:val="00973F72"/>
    <w:rsid w:val="009747DA"/>
    <w:rsid w:val="009753F6"/>
    <w:rsid w:val="009757FA"/>
    <w:rsid w:val="00975830"/>
    <w:rsid w:val="00975C3E"/>
    <w:rsid w:val="00975F1D"/>
    <w:rsid w:val="009760D6"/>
    <w:rsid w:val="00976328"/>
    <w:rsid w:val="009767A5"/>
    <w:rsid w:val="0097680D"/>
    <w:rsid w:val="009821B6"/>
    <w:rsid w:val="00982438"/>
    <w:rsid w:val="0098274A"/>
    <w:rsid w:val="00982B67"/>
    <w:rsid w:val="009831D9"/>
    <w:rsid w:val="0098364C"/>
    <w:rsid w:val="00983CF4"/>
    <w:rsid w:val="00983E49"/>
    <w:rsid w:val="0098404C"/>
    <w:rsid w:val="00984829"/>
    <w:rsid w:val="00985283"/>
    <w:rsid w:val="00985309"/>
    <w:rsid w:val="00985949"/>
    <w:rsid w:val="00985964"/>
    <w:rsid w:val="0098614F"/>
    <w:rsid w:val="00986246"/>
    <w:rsid w:val="0098640B"/>
    <w:rsid w:val="00986656"/>
    <w:rsid w:val="00987055"/>
    <w:rsid w:val="009875E9"/>
    <w:rsid w:val="0098760C"/>
    <w:rsid w:val="00987702"/>
    <w:rsid w:val="00987DD6"/>
    <w:rsid w:val="00987FF4"/>
    <w:rsid w:val="0099030A"/>
    <w:rsid w:val="00990AC7"/>
    <w:rsid w:val="009910A6"/>
    <w:rsid w:val="00991A5B"/>
    <w:rsid w:val="00991A6C"/>
    <w:rsid w:val="00991F9C"/>
    <w:rsid w:val="00992C78"/>
    <w:rsid w:val="00992EBB"/>
    <w:rsid w:val="00993032"/>
    <w:rsid w:val="0099320D"/>
    <w:rsid w:val="00993E8C"/>
    <w:rsid w:val="00993EC4"/>
    <w:rsid w:val="009941AD"/>
    <w:rsid w:val="00994817"/>
    <w:rsid w:val="00994E1F"/>
    <w:rsid w:val="009950F4"/>
    <w:rsid w:val="00995992"/>
    <w:rsid w:val="00995F52"/>
    <w:rsid w:val="00996076"/>
    <w:rsid w:val="0099617D"/>
    <w:rsid w:val="00996347"/>
    <w:rsid w:val="009966E5"/>
    <w:rsid w:val="00996852"/>
    <w:rsid w:val="00996A8F"/>
    <w:rsid w:val="00996DD3"/>
    <w:rsid w:val="009976B0"/>
    <w:rsid w:val="00997D90"/>
    <w:rsid w:val="009A03E5"/>
    <w:rsid w:val="009A0F3B"/>
    <w:rsid w:val="009A0FFF"/>
    <w:rsid w:val="009A1BB4"/>
    <w:rsid w:val="009A2628"/>
    <w:rsid w:val="009A27BD"/>
    <w:rsid w:val="009A3200"/>
    <w:rsid w:val="009A35C9"/>
    <w:rsid w:val="009A37F7"/>
    <w:rsid w:val="009A3C2A"/>
    <w:rsid w:val="009A3DC8"/>
    <w:rsid w:val="009A3F9E"/>
    <w:rsid w:val="009A406A"/>
    <w:rsid w:val="009A4416"/>
    <w:rsid w:val="009A5905"/>
    <w:rsid w:val="009A59B4"/>
    <w:rsid w:val="009A5E70"/>
    <w:rsid w:val="009A5EE6"/>
    <w:rsid w:val="009A61A8"/>
    <w:rsid w:val="009A6570"/>
    <w:rsid w:val="009A68AD"/>
    <w:rsid w:val="009A6D4E"/>
    <w:rsid w:val="009A6EFA"/>
    <w:rsid w:val="009A724D"/>
    <w:rsid w:val="009A76F5"/>
    <w:rsid w:val="009B0897"/>
    <w:rsid w:val="009B0924"/>
    <w:rsid w:val="009B1BA4"/>
    <w:rsid w:val="009B20F3"/>
    <w:rsid w:val="009B20F6"/>
    <w:rsid w:val="009B21E0"/>
    <w:rsid w:val="009B2243"/>
    <w:rsid w:val="009B3072"/>
    <w:rsid w:val="009B4FB1"/>
    <w:rsid w:val="009B5278"/>
    <w:rsid w:val="009B6004"/>
    <w:rsid w:val="009B661B"/>
    <w:rsid w:val="009B6953"/>
    <w:rsid w:val="009B6EAC"/>
    <w:rsid w:val="009B75B3"/>
    <w:rsid w:val="009B7BD9"/>
    <w:rsid w:val="009C01D0"/>
    <w:rsid w:val="009C027D"/>
    <w:rsid w:val="009C050B"/>
    <w:rsid w:val="009C0F68"/>
    <w:rsid w:val="009C1364"/>
    <w:rsid w:val="009C21A1"/>
    <w:rsid w:val="009C230A"/>
    <w:rsid w:val="009C2D57"/>
    <w:rsid w:val="009C325D"/>
    <w:rsid w:val="009C3A74"/>
    <w:rsid w:val="009C3F04"/>
    <w:rsid w:val="009C41D3"/>
    <w:rsid w:val="009C420E"/>
    <w:rsid w:val="009C48B8"/>
    <w:rsid w:val="009C49A2"/>
    <w:rsid w:val="009C5203"/>
    <w:rsid w:val="009C541B"/>
    <w:rsid w:val="009C552F"/>
    <w:rsid w:val="009C5914"/>
    <w:rsid w:val="009C5A06"/>
    <w:rsid w:val="009C5A4B"/>
    <w:rsid w:val="009C5B8A"/>
    <w:rsid w:val="009C6250"/>
    <w:rsid w:val="009C6472"/>
    <w:rsid w:val="009C653C"/>
    <w:rsid w:val="009C6F36"/>
    <w:rsid w:val="009C745D"/>
    <w:rsid w:val="009C7830"/>
    <w:rsid w:val="009C795A"/>
    <w:rsid w:val="009C7DD5"/>
    <w:rsid w:val="009C7DDA"/>
    <w:rsid w:val="009D0639"/>
    <w:rsid w:val="009D1AAC"/>
    <w:rsid w:val="009D1B69"/>
    <w:rsid w:val="009D2676"/>
    <w:rsid w:val="009D2780"/>
    <w:rsid w:val="009D2FAC"/>
    <w:rsid w:val="009D3CBF"/>
    <w:rsid w:val="009D45DF"/>
    <w:rsid w:val="009D4930"/>
    <w:rsid w:val="009D4E79"/>
    <w:rsid w:val="009D5953"/>
    <w:rsid w:val="009D5FCB"/>
    <w:rsid w:val="009D622A"/>
    <w:rsid w:val="009D62A3"/>
    <w:rsid w:val="009D6787"/>
    <w:rsid w:val="009D6B74"/>
    <w:rsid w:val="009D75AF"/>
    <w:rsid w:val="009D7F75"/>
    <w:rsid w:val="009E009E"/>
    <w:rsid w:val="009E07EE"/>
    <w:rsid w:val="009E1384"/>
    <w:rsid w:val="009E140E"/>
    <w:rsid w:val="009E1F93"/>
    <w:rsid w:val="009E227D"/>
    <w:rsid w:val="009E23AD"/>
    <w:rsid w:val="009E2728"/>
    <w:rsid w:val="009E3047"/>
    <w:rsid w:val="009E3189"/>
    <w:rsid w:val="009E3276"/>
    <w:rsid w:val="009E3A37"/>
    <w:rsid w:val="009E43F2"/>
    <w:rsid w:val="009E4731"/>
    <w:rsid w:val="009E4AEB"/>
    <w:rsid w:val="009E4F73"/>
    <w:rsid w:val="009E5019"/>
    <w:rsid w:val="009E5E45"/>
    <w:rsid w:val="009E5E58"/>
    <w:rsid w:val="009E5FAD"/>
    <w:rsid w:val="009E60D8"/>
    <w:rsid w:val="009E62A9"/>
    <w:rsid w:val="009E6560"/>
    <w:rsid w:val="009E7B0E"/>
    <w:rsid w:val="009E7C1B"/>
    <w:rsid w:val="009F0859"/>
    <w:rsid w:val="009F0C3B"/>
    <w:rsid w:val="009F0E97"/>
    <w:rsid w:val="009F103C"/>
    <w:rsid w:val="009F12D7"/>
    <w:rsid w:val="009F18F3"/>
    <w:rsid w:val="009F24CE"/>
    <w:rsid w:val="009F361E"/>
    <w:rsid w:val="009F365A"/>
    <w:rsid w:val="009F3D60"/>
    <w:rsid w:val="009F48A9"/>
    <w:rsid w:val="009F4A16"/>
    <w:rsid w:val="009F5C5C"/>
    <w:rsid w:val="009F65A7"/>
    <w:rsid w:val="009F6675"/>
    <w:rsid w:val="009F7DD9"/>
    <w:rsid w:val="00A005B3"/>
    <w:rsid w:val="00A015FF"/>
    <w:rsid w:val="00A0178A"/>
    <w:rsid w:val="00A01CE2"/>
    <w:rsid w:val="00A01FBD"/>
    <w:rsid w:val="00A02096"/>
    <w:rsid w:val="00A02339"/>
    <w:rsid w:val="00A02C5D"/>
    <w:rsid w:val="00A02F3A"/>
    <w:rsid w:val="00A03A0B"/>
    <w:rsid w:val="00A03CDE"/>
    <w:rsid w:val="00A04163"/>
    <w:rsid w:val="00A0484B"/>
    <w:rsid w:val="00A04912"/>
    <w:rsid w:val="00A04F1B"/>
    <w:rsid w:val="00A0501B"/>
    <w:rsid w:val="00A057E9"/>
    <w:rsid w:val="00A05837"/>
    <w:rsid w:val="00A05DC8"/>
    <w:rsid w:val="00A06726"/>
    <w:rsid w:val="00A0699B"/>
    <w:rsid w:val="00A069B8"/>
    <w:rsid w:val="00A06D0F"/>
    <w:rsid w:val="00A07256"/>
    <w:rsid w:val="00A07535"/>
    <w:rsid w:val="00A10810"/>
    <w:rsid w:val="00A10B1A"/>
    <w:rsid w:val="00A1152E"/>
    <w:rsid w:val="00A127F9"/>
    <w:rsid w:val="00A132AC"/>
    <w:rsid w:val="00A13BED"/>
    <w:rsid w:val="00A13CAF"/>
    <w:rsid w:val="00A146A8"/>
    <w:rsid w:val="00A14900"/>
    <w:rsid w:val="00A14947"/>
    <w:rsid w:val="00A151E1"/>
    <w:rsid w:val="00A15E75"/>
    <w:rsid w:val="00A160D8"/>
    <w:rsid w:val="00A1647F"/>
    <w:rsid w:val="00A16841"/>
    <w:rsid w:val="00A17181"/>
    <w:rsid w:val="00A174A6"/>
    <w:rsid w:val="00A179E6"/>
    <w:rsid w:val="00A17FB7"/>
    <w:rsid w:val="00A201E9"/>
    <w:rsid w:val="00A20647"/>
    <w:rsid w:val="00A2065E"/>
    <w:rsid w:val="00A208CB"/>
    <w:rsid w:val="00A21472"/>
    <w:rsid w:val="00A214D7"/>
    <w:rsid w:val="00A22291"/>
    <w:rsid w:val="00A2277D"/>
    <w:rsid w:val="00A22FBB"/>
    <w:rsid w:val="00A245B2"/>
    <w:rsid w:val="00A25671"/>
    <w:rsid w:val="00A25BA4"/>
    <w:rsid w:val="00A25E97"/>
    <w:rsid w:val="00A26164"/>
    <w:rsid w:val="00A26691"/>
    <w:rsid w:val="00A26DD8"/>
    <w:rsid w:val="00A27198"/>
    <w:rsid w:val="00A27AB9"/>
    <w:rsid w:val="00A27E55"/>
    <w:rsid w:val="00A301D4"/>
    <w:rsid w:val="00A303A6"/>
    <w:rsid w:val="00A307D5"/>
    <w:rsid w:val="00A319C9"/>
    <w:rsid w:val="00A31AB5"/>
    <w:rsid w:val="00A32887"/>
    <w:rsid w:val="00A32A83"/>
    <w:rsid w:val="00A342BF"/>
    <w:rsid w:val="00A34562"/>
    <w:rsid w:val="00A34FC8"/>
    <w:rsid w:val="00A3529F"/>
    <w:rsid w:val="00A35354"/>
    <w:rsid w:val="00A35667"/>
    <w:rsid w:val="00A35B54"/>
    <w:rsid w:val="00A368DB"/>
    <w:rsid w:val="00A369CE"/>
    <w:rsid w:val="00A36A1A"/>
    <w:rsid w:val="00A36B08"/>
    <w:rsid w:val="00A37B60"/>
    <w:rsid w:val="00A40393"/>
    <w:rsid w:val="00A404D3"/>
    <w:rsid w:val="00A40F53"/>
    <w:rsid w:val="00A41303"/>
    <w:rsid w:val="00A423AA"/>
    <w:rsid w:val="00A429DD"/>
    <w:rsid w:val="00A42AD9"/>
    <w:rsid w:val="00A42CA9"/>
    <w:rsid w:val="00A4304D"/>
    <w:rsid w:val="00A431D1"/>
    <w:rsid w:val="00A4338E"/>
    <w:rsid w:val="00A44178"/>
    <w:rsid w:val="00A450B8"/>
    <w:rsid w:val="00A459CD"/>
    <w:rsid w:val="00A459E0"/>
    <w:rsid w:val="00A45A33"/>
    <w:rsid w:val="00A45B0E"/>
    <w:rsid w:val="00A45D3B"/>
    <w:rsid w:val="00A45D81"/>
    <w:rsid w:val="00A46DA7"/>
    <w:rsid w:val="00A47165"/>
    <w:rsid w:val="00A47396"/>
    <w:rsid w:val="00A47787"/>
    <w:rsid w:val="00A47DA2"/>
    <w:rsid w:val="00A47EBA"/>
    <w:rsid w:val="00A50669"/>
    <w:rsid w:val="00A5142E"/>
    <w:rsid w:val="00A529D0"/>
    <w:rsid w:val="00A52A22"/>
    <w:rsid w:val="00A53658"/>
    <w:rsid w:val="00A53EC6"/>
    <w:rsid w:val="00A543DC"/>
    <w:rsid w:val="00A54A94"/>
    <w:rsid w:val="00A551D1"/>
    <w:rsid w:val="00A55738"/>
    <w:rsid w:val="00A55790"/>
    <w:rsid w:val="00A55BE1"/>
    <w:rsid w:val="00A55C0F"/>
    <w:rsid w:val="00A5600B"/>
    <w:rsid w:val="00A5604E"/>
    <w:rsid w:val="00A560F8"/>
    <w:rsid w:val="00A564CE"/>
    <w:rsid w:val="00A5651F"/>
    <w:rsid w:val="00A56C85"/>
    <w:rsid w:val="00A60231"/>
    <w:rsid w:val="00A602FC"/>
    <w:rsid w:val="00A6036F"/>
    <w:rsid w:val="00A60431"/>
    <w:rsid w:val="00A60465"/>
    <w:rsid w:val="00A609EE"/>
    <w:rsid w:val="00A60F11"/>
    <w:rsid w:val="00A615F3"/>
    <w:rsid w:val="00A62108"/>
    <w:rsid w:val="00A62181"/>
    <w:rsid w:val="00A62826"/>
    <w:rsid w:val="00A62CDE"/>
    <w:rsid w:val="00A6360A"/>
    <w:rsid w:val="00A63926"/>
    <w:rsid w:val="00A6393F"/>
    <w:rsid w:val="00A63D51"/>
    <w:rsid w:val="00A64E1C"/>
    <w:rsid w:val="00A6510F"/>
    <w:rsid w:val="00A654C9"/>
    <w:rsid w:val="00A65D39"/>
    <w:rsid w:val="00A6625E"/>
    <w:rsid w:val="00A6677F"/>
    <w:rsid w:val="00A6699E"/>
    <w:rsid w:val="00A66DBC"/>
    <w:rsid w:val="00A67346"/>
    <w:rsid w:val="00A67A60"/>
    <w:rsid w:val="00A67C0D"/>
    <w:rsid w:val="00A7010A"/>
    <w:rsid w:val="00A71352"/>
    <w:rsid w:val="00A71471"/>
    <w:rsid w:val="00A719AF"/>
    <w:rsid w:val="00A728A7"/>
    <w:rsid w:val="00A731A3"/>
    <w:rsid w:val="00A73208"/>
    <w:rsid w:val="00A73441"/>
    <w:rsid w:val="00A73457"/>
    <w:rsid w:val="00A747AD"/>
    <w:rsid w:val="00A7495B"/>
    <w:rsid w:val="00A74CFB"/>
    <w:rsid w:val="00A74E06"/>
    <w:rsid w:val="00A74FC3"/>
    <w:rsid w:val="00A75046"/>
    <w:rsid w:val="00A754D2"/>
    <w:rsid w:val="00A76263"/>
    <w:rsid w:val="00A763CF"/>
    <w:rsid w:val="00A76EFB"/>
    <w:rsid w:val="00A77511"/>
    <w:rsid w:val="00A77B45"/>
    <w:rsid w:val="00A77E5E"/>
    <w:rsid w:val="00A800F4"/>
    <w:rsid w:val="00A80F53"/>
    <w:rsid w:val="00A811F4"/>
    <w:rsid w:val="00A81318"/>
    <w:rsid w:val="00A8229C"/>
    <w:rsid w:val="00A82BF1"/>
    <w:rsid w:val="00A8332A"/>
    <w:rsid w:val="00A835A0"/>
    <w:rsid w:val="00A8439F"/>
    <w:rsid w:val="00A846F3"/>
    <w:rsid w:val="00A848D6"/>
    <w:rsid w:val="00A84BA4"/>
    <w:rsid w:val="00A84D36"/>
    <w:rsid w:val="00A8508D"/>
    <w:rsid w:val="00A8564E"/>
    <w:rsid w:val="00A85BF1"/>
    <w:rsid w:val="00A86286"/>
    <w:rsid w:val="00A86523"/>
    <w:rsid w:val="00A86B64"/>
    <w:rsid w:val="00A86CD7"/>
    <w:rsid w:val="00A8713F"/>
    <w:rsid w:val="00A8790E"/>
    <w:rsid w:val="00A87A08"/>
    <w:rsid w:val="00A87B46"/>
    <w:rsid w:val="00A87E61"/>
    <w:rsid w:val="00A90157"/>
    <w:rsid w:val="00A90BA1"/>
    <w:rsid w:val="00A918E7"/>
    <w:rsid w:val="00A91B1C"/>
    <w:rsid w:val="00A92F95"/>
    <w:rsid w:val="00A93B1A"/>
    <w:rsid w:val="00A93D48"/>
    <w:rsid w:val="00A94407"/>
    <w:rsid w:val="00A944F1"/>
    <w:rsid w:val="00A94977"/>
    <w:rsid w:val="00A94AEC"/>
    <w:rsid w:val="00A94B32"/>
    <w:rsid w:val="00A955CB"/>
    <w:rsid w:val="00A95A6A"/>
    <w:rsid w:val="00A96FA5"/>
    <w:rsid w:val="00A97A55"/>
    <w:rsid w:val="00A97A9A"/>
    <w:rsid w:val="00A97AF4"/>
    <w:rsid w:val="00A97AFA"/>
    <w:rsid w:val="00A97CFA"/>
    <w:rsid w:val="00AA0586"/>
    <w:rsid w:val="00AA0671"/>
    <w:rsid w:val="00AA0725"/>
    <w:rsid w:val="00AA0A07"/>
    <w:rsid w:val="00AA0B23"/>
    <w:rsid w:val="00AA18AD"/>
    <w:rsid w:val="00AA1959"/>
    <w:rsid w:val="00AA21D6"/>
    <w:rsid w:val="00AA2531"/>
    <w:rsid w:val="00AA27F3"/>
    <w:rsid w:val="00AA31F1"/>
    <w:rsid w:val="00AA32D9"/>
    <w:rsid w:val="00AA340C"/>
    <w:rsid w:val="00AA455C"/>
    <w:rsid w:val="00AA51DB"/>
    <w:rsid w:val="00AA5623"/>
    <w:rsid w:val="00AA61D3"/>
    <w:rsid w:val="00AA666C"/>
    <w:rsid w:val="00AA68E3"/>
    <w:rsid w:val="00AA6AA7"/>
    <w:rsid w:val="00AA6BA0"/>
    <w:rsid w:val="00AA6FA5"/>
    <w:rsid w:val="00AA7459"/>
    <w:rsid w:val="00AA7633"/>
    <w:rsid w:val="00AA7CC7"/>
    <w:rsid w:val="00AA7D7E"/>
    <w:rsid w:val="00AA7FF7"/>
    <w:rsid w:val="00AB1643"/>
    <w:rsid w:val="00AB1E09"/>
    <w:rsid w:val="00AB2149"/>
    <w:rsid w:val="00AB2540"/>
    <w:rsid w:val="00AB2591"/>
    <w:rsid w:val="00AB2CFE"/>
    <w:rsid w:val="00AB2FF0"/>
    <w:rsid w:val="00AB3BB8"/>
    <w:rsid w:val="00AB4013"/>
    <w:rsid w:val="00AB4093"/>
    <w:rsid w:val="00AB4BC0"/>
    <w:rsid w:val="00AB5330"/>
    <w:rsid w:val="00AB57DD"/>
    <w:rsid w:val="00AB5865"/>
    <w:rsid w:val="00AB7306"/>
    <w:rsid w:val="00AB7704"/>
    <w:rsid w:val="00AB7747"/>
    <w:rsid w:val="00AB796F"/>
    <w:rsid w:val="00AC10BB"/>
    <w:rsid w:val="00AC14CE"/>
    <w:rsid w:val="00AC257B"/>
    <w:rsid w:val="00AC2A56"/>
    <w:rsid w:val="00AC33E3"/>
    <w:rsid w:val="00AC3916"/>
    <w:rsid w:val="00AC4FB1"/>
    <w:rsid w:val="00AC5D69"/>
    <w:rsid w:val="00AC5DC6"/>
    <w:rsid w:val="00AC5E1A"/>
    <w:rsid w:val="00AC7001"/>
    <w:rsid w:val="00AC71B4"/>
    <w:rsid w:val="00AC7DA3"/>
    <w:rsid w:val="00AD055E"/>
    <w:rsid w:val="00AD08E9"/>
    <w:rsid w:val="00AD10F8"/>
    <w:rsid w:val="00AD1A59"/>
    <w:rsid w:val="00AD2D35"/>
    <w:rsid w:val="00AD2D7A"/>
    <w:rsid w:val="00AD2E9A"/>
    <w:rsid w:val="00AD47A7"/>
    <w:rsid w:val="00AD500A"/>
    <w:rsid w:val="00AD56DF"/>
    <w:rsid w:val="00AD597D"/>
    <w:rsid w:val="00AD5DC4"/>
    <w:rsid w:val="00AD600B"/>
    <w:rsid w:val="00AD6A68"/>
    <w:rsid w:val="00AD7C0A"/>
    <w:rsid w:val="00AE0231"/>
    <w:rsid w:val="00AE04F4"/>
    <w:rsid w:val="00AE14B7"/>
    <w:rsid w:val="00AE14DD"/>
    <w:rsid w:val="00AE1789"/>
    <w:rsid w:val="00AE2030"/>
    <w:rsid w:val="00AE267E"/>
    <w:rsid w:val="00AE26D8"/>
    <w:rsid w:val="00AE2F1B"/>
    <w:rsid w:val="00AE3020"/>
    <w:rsid w:val="00AE3163"/>
    <w:rsid w:val="00AE3332"/>
    <w:rsid w:val="00AE3FB5"/>
    <w:rsid w:val="00AE4137"/>
    <w:rsid w:val="00AE4393"/>
    <w:rsid w:val="00AE451A"/>
    <w:rsid w:val="00AE4660"/>
    <w:rsid w:val="00AE4B3D"/>
    <w:rsid w:val="00AE4C78"/>
    <w:rsid w:val="00AE4DAC"/>
    <w:rsid w:val="00AE4DBC"/>
    <w:rsid w:val="00AE5C82"/>
    <w:rsid w:val="00AE5E55"/>
    <w:rsid w:val="00AE6CFE"/>
    <w:rsid w:val="00AE7549"/>
    <w:rsid w:val="00AE7727"/>
    <w:rsid w:val="00AE79A5"/>
    <w:rsid w:val="00AF091F"/>
    <w:rsid w:val="00AF0CBF"/>
    <w:rsid w:val="00AF1AC4"/>
    <w:rsid w:val="00AF22C0"/>
    <w:rsid w:val="00AF257F"/>
    <w:rsid w:val="00AF2B40"/>
    <w:rsid w:val="00AF3088"/>
    <w:rsid w:val="00AF33CF"/>
    <w:rsid w:val="00AF3468"/>
    <w:rsid w:val="00AF3532"/>
    <w:rsid w:val="00AF3674"/>
    <w:rsid w:val="00AF3678"/>
    <w:rsid w:val="00AF3C66"/>
    <w:rsid w:val="00AF4483"/>
    <w:rsid w:val="00AF471C"/>
    <w:rsid w:val="00AF4902"/>
    <w:rsid w:val="00AF4C94"/>
    <w:rsid w:val="00AF4D50"/>
    <w:rsid w:val="00AF502B"/>
    <w:rsid w:val="00AF5433"/>
    <w:rsid w:val="00AF569C"/>
    <w:rsid w:val="00AF57AD"/>
    <w:rsid w:val="00AF57CA"/>
    <w:rsid w:val="00AF5E45"/>
    <w:rsid w:val="00AF6179"/>
    <w:rsid w:val="00AF6C27"/>
    <w:rsid w:val="00AF6EB1"/>
    <w:rsid w:val="00B00312"/>
    <w:rsid w:val="00B00C62"/>
    <w:rsid w:val="00B0182A"/>
    <w:rsid w:val="00B01E3B"/>
    <w:rsid w:val="00B02324"/>
    <w:rsid w:val="00B02943"/>
    <w:rsid w:val="00B029CB"/>
    <w:rsid w:val="00B040AE"/>
    <w:rsid w:val="00B04119"/>
    <w:rsid w:val="00B04299"/>
    <w:rsid w:val="00B04C97"/>
    <w:rsid w:val="00B04D8B"/>
    <w:rsid w:val="00B050C9"/>
    <w:rsid w:val="00B059CE"/>
    <w:rsid w:val="00B05BB6"/>
    <w:rsid w:val="00B05CC4"/>
    <w:rsid w:val="00B05F7F"/>
    <w:rsid w:val="00B0619F"/>
    <w:rsid w:val="00B0689D"/>
    <w:rsid w:val="00B06FC1"/>
    <w:rsid w:val="00B0790C"/>
    <w:rsid w:val="00B0798C"/>
    <w:rsid w:val="00B109DB"/>
    <w:rsid w:val="00B114F3"/>
    <w:rsid w:val="00B1295A"/>
    <w:rsid w:val="00B13A33"/>
    <w:rsid w:val="00B13B7E"/>
    <w:rsid w:val="00B14179"/>
    <w:rsid w:val="00B144D5"/>
    <w:rsid w:val="00B149D1"/>
    <w:rsid w:val="00B14E77"/>
    <w:rsid w:val="00B15B8D"/>
    <w:rsid w:val="00B15F21"/>
    <w:rsid w:val="00B1638A"/>
    <w:rsid w:val="00B166F9"/>
    <w:rsid w:val="00B16852"/>
    <w:rsid w:val="00B204B3"/>
    <w:rsid w:val="00B20A45"/>
    <w:rsid w:val="00B20C78"/>
    <w:rsid w:val="00B20D8B"/>
    <w:rsid w:val="00B20DA9"/>
    <w:rsid w:val="00B213EA"/>
    <w:rsid w:val="00B21855"/>
    <w:rsid w:val="00B21C71"/>
    <w:rsid w:val="00B2267D"/>
    <w:rsid w:val="00B22C5C"/>
    <w:rsid w:val="00B22CD2"/>
    <w:rsid w:val="00B22CD6"/>
    <w:rsid w:val="00B235AC"/>
    <w:rsid w:val="00B23717"/>
    <w:rsid w:val="00B237A1"/>
    <w:rsid w:val="00B23A62"/>
    <w:rsid w:val="00B242A7"/>
    <w:rsid w:val="00B2497D"/>
    <w:rsid w:val="00B24AE4"/>
    <w:rsid w:val="00B24F30"/>
    <w:rsid w:val="00B26197"/>
    <w:rsid w:val="00B26257"/>
    <w:rsid w:val="00B26445"/>
    <w:rsid w:val="00B265FC"/>
    <w:rsid w:val="00B26DCC"/>
    <w:rsid w:val="00B270EC"/>
    <w:rsid w:val="00B2710B"/>
    <w:rsid w:val="00B2722F"/>
    <w:rsid w:val="00B27DC2"/>
    <w:rsid w:val="00B300E7"/>
    <w:rsid w:val="00B302C7"/>
    <w:rsid w:val="00B30942"/>
    <w:rsid w:val="00B312DD"/>
    <w:rsid w:val="00B31964"/>
    <w:rsid w:val="00B31ABF"/>
    <w:rsid w:val="00B323F1"/>
    <w:rsid w:val="00B32AF7"/>
    <w:rsid w:val="00B32B33"/>
    <w:rsid w:val="00B33BE3"/>
    <w:rsid w:val="00B34062"/>
    <w:rsid w:val="00B34C32"/>
    <w:rsid w:val="00B34FBE"/>
    <w:rsid w:val="00B34FFE"/>
    <w:rsid w:val="00B35408"/>
    <w:rsid w:val="00B355A7"/>
    <w:rsid w:val="00B35C69"/>
    <w:rsid w:val="00B361A1"/>
    <w:rsid w:val="00B3690B"/>
    <w:rsid w:val="00B36BC7"/>
    <w:rsid w:val="00B374E0"/>
    <w:rsid w:val="00B376BF"/>
    <w:rsid w:val="00B37924"/>
    <w:rsid w:val="00B37DBF"/>
    <w:rsid w:val="00B40E00"/>
    <w:rsid w:val="00B40F8A"/>
    <w:rsid w:val="00B416DF"/>
    <w:rsid w:val="00B41FC1"/>
    <w:rsid w:val="00B422B7"/>
    <w:rsid w:val="00B42959"/>
    <w:rsid w:val="00B42AB0"/>
    <w:rsid w:val="00B43181"/>
    <w:rsid w:val="00B43D0C"/>
    <w:rsid w:val="00B44376"/>
    <w:rsid w:val="00B44B21"/>
    <w:rsid w:val="00B44B74"/>
    <w:rsid w:val="00B44CF2"/>
    <w:rsid w:val="00B45261"/>
    <w:rsid w:val="00B4547D"/>
    <w:rsid w:val="00B45F70"/>
    <w:rsid w:val="00B4683E"/>
    <w:rsid w:val="00B46920"/>
    <w:rsid w:val="00B46DE8"/>
    <w:rsid w:val="00B47150"/>
    <w:rsid w:val="00B47849"/>
    <w:rsid w:val="00B478EB"/>
    <w:rsid w:val="00B479EF"/>
    <w:rsid w:val="00B47A5B"/>
    <w:rsid w:val="00B5020E"/>
    <w:rsid w:val="00B50470"/>
    <w:rsid w:val="00B507B7"/>
    <w:rsid w:val="00B51582"/>
    <w:rsid w:val="00B52060"/>
    <w:rsid w:val="00B5261F"/>
    <w:rsid w:val="00B526BD"/>
    <w:rsid w:val="00B53013"/>
    <w:rsid w:val="00B53418"/>
    <w:rsid w:val="00B53955"/>
    <w:rsid w:val="00B53B5D"/>
    <w:rsid w:val="00B53CB3"/>
    <w:rsid w:val="00B53FC9"/>
    <w:rsid w:val="00B542BE"/>
    <w:rsid w:val="00B55E6C"/>
    <w:rsid w:val="00B5760F"/>
    <w:rsid w:val="00B57FC1"/>
    <w:rsid w:val="00B60183"/>
    <w:rsid w:val="00B6018D"/>
    <w:rsid w:val="00B60348"/>
    <w:rsid w:val="00B6055E"/>
    <w:rsid w:val="00B60C44"/>
    <w:rsid w:val="00B60F90"/>
    <w:rsid w:val="00B6112F"/>
    <w:rsid w:val="00B618BD"/>
    <w:rsid w:val="00B62499"/>
    <w:rsid w:val="00B6295D"/>
    <w:rsid w:val="00B62C27"/>
    <w:rsid w:val="00B62CBF"/>
    <w:rsid w:val="00B630A7"/>
    <w:rsid w:val="00B6317D"/>
    <w:rsid w:val="00B63241"/>
    <w:rsid w:val="00B64424"/>
    <w:rsid w:val="00B64F69"/>
    <w:rsid w:val="00B65150"/>
    <w:rsid w:val="00B652A4"/>
    <w:rsid w:val="00B655E7"/>
    <w:rsid w:val="00B65842"/>
    <w:rsid w:val="00B663FA"/>
    <w:rsid w:val="00B6671E"/>
    <w:rsid w:val="00B66E13"/>
    <w:rsid w:val="00B67375"/>
    <w:rsid w:val="00B6752B"/>
    <w:rsid w:val="00B67687"/>
    <w:rsid w:val="00B7004B"/>
    <w:rsid w:val="00B7052D"/>
    <w:rsid w:val="00B70A65"/>
    <w:rsid w:val="00B70FD0"/>
    <w:rsid w:val="00B714D4"/>
    <w:rsid w:val="00B71605"/>
    <w:rsid w:val="00B71F06"/>
    <w:rsid w:val="00B72093"/>
    <w:rsid w:val="00B72A08"/>
    <w:rsid w:val="00B72D57"/>
    <w:rsid w:val="00B7509F"/>
    <w:rsid w:val="00B75D78"/>
    <w:rsid w:val="00B770CB"/>
    <w:rsid w:val="00B7723F"/>
    <w:rsid w:val="00B776FD"/>
    <w:rsid w:val="00B80534"/>
    <w:rsid w:val="00B80ABA"/>
    <w:rsid w:val="00B815C8"/>
    <w:rsid w:val="00B817AC"/>
    <w:rsid w:val="00B8197F"/>
    <w:rsid w:val="00B8241B"/>
    <w:rsid w:val="00B824C9"/>
    <w:rsid w:val="00B8281F"/>
    <w:rsid w:val="00B82C7C"/>
    <w:rsid w:val="00B83BEE"/>
    <w:rsid w:val="00B83CFA"/>
    <w:rsid w:val="00B8433C"/>
    <w:rsid w:val="00B8456A"/>
    <w:rsid w:val="00B85426"/>
    <w:rsid w:val="00B85A92"/>
    <w:rsid w:val="00B85B6F"/>
    <w:rsid w:val="00B85BA4"/>
    <w:rsid w:val="00B86407"/>
    <w:rsid w:val="00B86635"/>
    <w:rsid w:val="00B86FCA"/>
    <w:rsid w:val="00B87491"/>
    <w:rsid w:val="00B87705"/>
    <w:rsid w:val="00B87894"/>
    <w:rsid w:val="00B87BD6"/>
    <w:rsid w:val="00B87CFA"/>
    <w:rsid w:val="00B91724"/>
    <w:rsid w:val="00B91E7B"/>
    <w:rsid w:val="00B92130"/>
    <w:rsid w:val="00B925F4"/>
    <w:rsid w:val="00B92CE6"/>
    <w:rsid w:val="00B92EF7"/>
    <w:rsid w:val="00B935DF"/>
    <w:rsid w:val="00B936EF"/>
    <w:rsid w:val="00B93E54"/>
    <w:rsid w:val="00B94022"/>
    <w:rsid w:val="00B94183"/>
    <w:rsid w:val="00B9759F"/>
    <w:rsid w:val="00B97685"/>
    <w:rsid w:val="00B97A13"/>
    <w:rsid w:val="00BA0525"/>
    <w:rsid w:val="00BA0F8A"/>
    <w:rsid w:val="00BA15B7"/>
    <w:rsid w:val="00BA161E"/>
    <w:rsid w:val="00BA1635"/>
    <w:rsid w:val="00BA29E9"/>
    <w:rsid w:val="00BA2B54"/>
    <w:rsid w:val="00BA2F3F"/>
    <w:rsid w:val="00BA4777"/>
    <w:rsid w:val="00BA48EB"/>
    <w:rsid w:val="00BA5186"/>
    <w:rsid w:val="00BA5807"/>
    <w:rsid w:val="00BA593F"/>
    <w:rsid w:val="00BA5C4D"/>
    <w:rsid w:val="00BA5DC9"/>
    <w:rsid w:val="00BA66E4"/>
    <w:rsid w:val="00BA6807"/>
    <w:rsid w:val="00BA6A0C"/>
    <w:rsid w:val="00BA6E84"/>
    <w:rsid w:val="00BA711E"/>
    <w:rsid w:val="00BA7142"/>
    <w:rsid w:val="00BA7488"/>
    <w:rsid w:val="00BA7B7D"/>
    <w:rsid w:val="00BB0E21"/>
    <w:rsid w:val="00BB12B9"/>
    <w:rsid w:val="00BB1342"/>
    <w:rsid w:val="00BB237C"/>
    <w:rsid w:val="00BB2B30"/>
    <w:rsid w:val="00BB2C70"/>
    <w:rsid w:val="00BB315C"/>
    <w:rsid w:val="00BB32C6"/>
    <w:rsid w:val="00BB38B5"/>
    <w:rsid w:val="00BB41A3"/>
    <w:rsid w:val="00BB447A"/>
    <w:rsid w:val="00BB5CCA"/>
    <w:rsid w:val="00BB5E91"/>
    <w:rsid w:val="00BB6325"/>
    <w:rsid w:val="00BB6BDB"/>
    <w:rsid w:val="00BB7806"/>
    <w:rsid w:val="00BC0401"/>
    <w:rsid w:val="00BC053E"/>
    <w:rsid w:val="00BC1084"/>
    <w:rsid w:val="00BC1092"/>
    <w:rsid w:val="00BC1924"/>
    <w:rsid w:val="00BC1E04"/>
    <w:rsid w:val="00BC1FEA"/>
    <w:rsid w:val="00BC242A"/>
    <w:rsid w:val="00BC2C73"/>
    <w:rsid w:val="00BC2FC5"/>
    <w:rsid w:val="00BC3104"/>
    <w:rsid w:val="00BC3297"/>
    <w:rsid w:val="00BC32DC"/>
    <w:rsid w:val="00BC332D"/>
    <w:rsid w:val="00BC35B6"/>
    <w:rsid w:val="00BC3B3E"/>
    <w:rsid w:val="00BC3D19"/>
    <w:rsid w:val="00BC4AD0"/>
    <w:rsid w:val="00BC4E8D"/>
    <w:rsid w:val="00BC5136"/>
    <w:rsid w:val="00BC53F0"/>
    <w:rsid w:val="00BC561C"/>
    <w:rsid w:val="00BC5A6C"/>
    <w:rsid w:val="00BC5CD6"/>
    <w:rsid w:val="00BC5F16"/>
    <w:rsid w:val="00BC642F"/>
    <w:rsid w:val="00BC6552"/>
    <w:rsid w:val="00BC6B6D"/>
    <w:rsid w:val="00BC7006"/>
    <w:rsid w:val="00BD0224"/>
    <w:rsid w:val="00BD0464"/>
    <w:rsid w:val="00BD0B4E"/>
    <w:rsid w:val="00BD0CBC"/>
    <w:rsid w:val="00BD0DA0"/>
    <w:rsid w:val="00BD1503"/>
    <w:rsid w:val="00BD1B51"/>
    <w:rsid w:val="00BD27DF"/>
    <w:rsid w:val="00BD2826"/>
    <w:rsid w:val="00BD283E"/>
    <w:rsid w:val="00BD2CA4"/>
    <w:rsid w:val="00BD347A"/>
    <w:rsid w:val="00BD4596"/>
    <w:rsid w:val="00BD4E0B"/>
    <w:rsid w:val="00BD503C"/>
    <w:rsid w:val="00BD5501"/>
    <w:rsid w:val="00BD5BF1"/>
    <w:rsid w:val="00BD64AE"/>
    <w:rsid w:val="00BD660D"/>
    <w:rsid w:val="00BD6905"/>
    <w:rsid w:val="00BD6B3F"/>
    <w:rsid w:val="00BD6B78"/>
    <w:rsid w:val="00BD6BFD"/>
    <w:rsid w:val="00BD6C45"/>
    <w:rsid w:val="00BD7257"/>
    <w:rsid w:val="00BD75A7"/>
    <w:rsid w:val="00BE00F0"/>
    <w:rsid w:val="00BE0467"/>
    <w:rsid w:val="00BE0A75"/>
    <w:rsid w:val="00BE0A7A"/>
    <w:rsid w:val="00BE0D7E"/>
    <w:rsid w:val="00BE1405"/>
    <w:rsid w:val="00BE1DCD"/>
    <w:rsid w:val="00BE2126"/>
    <w:rsid w:val="00BE2746"/>
    <w:rsid w:val="00BE312D"/>
    <w:rsid w:val="00BE380A"/>
    <w:rsid w:val="00BE394B"/>
    <w:rsid w:val="00BE3D86"/>
    <w:rsid w:val="00BE3FDE"/>
    <w:rsid w:val="00BE401F"/>
    <w:rsid w:val="00BE4245"/>
    <w:rsid w:val="00BE5556"/>
    <w:rsid w:val="00BE57B3"/>
    <w:rsid w:val="00BE57C1"/>
    <w:rsid w:val="00BE6539"/>
    <w:rsid w:val="00BE700A"/>
    <w:rsid w:val="00BE7231"/>
    <w:rsid w:val="00BE7D11"/>
    <w:rsid w:val="00BE7F2B"/>
    <w:rsid w:val="00BE7FCA"/>
    <w:rsid w:val="00BF007D"/>
    <w:rsid w:val="00BF0550"/>
    <w:rsid w:val="00BF09C8"/>
    <w:rsid w:val="00BF0B6D"/>
    <w:rsid w:val="00BF0DCE"/>
    <w:rsid w:val="00BF1382"/>
    <w:rsid w:val="00BF1A84"/>
    <w:rsid w:val="00BF1ADB"/>
    <w:rsid w:val="00BF1C20"/>
    <w:rsid w:val="00BF2A21"/>
    <w:rsid w:val="00BF2B0F"/>
    <w:rsid w:val="00BF2E56"/>
    <w:rsid w:val="00BF3149"/>
    <w:rsid w:val="00BF3579"/>
    <w:rsid w:val="00BF388B"/>
    <w:rsid w:val="00BF393B"/>
    <w:rsid w:val="00BF3A70"/>
    <w:rsid w:val="00BF3B4C"/>
    <w:rsid w:val="00BF42CE"/>
    <w:rsid w:val="00BF44D5"/>
    <w:rsid w:val="00BF4742"/>
    <w:rsid w:val="00BF4AC9"/>
    <w:rsid w:val="00BF4C28"/>
    <w:rsid w:val="00BF51AD"/>
    <w:rsid w:val="00BF5392"/>
    <w:rsid w:val="00BF5521"/>
    <w:rsid w:val="00BF65ED"/>
    <w:rsid w:val="00BF7834"/>
    <w:rsid w:val="00BF7878"/>
    <w:rsid w:val="00BF7C32"/>
    <w:rsid w:val="00BF7DBC"/>
    <w:rsid w:val="00C00261"/>
    <w:rsid w:val="00C0060F"/>
    <w:rsid w:val="00C00D4E"/>
    <w:rsid w:val="00C00DAD"/>
    <w:rsid w:val="00C0115A"/>
    <w:rsid w:val="00C01F61"/>
    <w:rsid w:val="00C0265D"/>
    <w:rsid w:val="00C02A02"/>
    <w:rsid w:val="00C02D7B"/>
    <w:rsid w:val="00C03E40"/>
    <w:rsid w:val="00C041CE"/>
    <w:rsid w:val="00C04398"/>
    <w:rsid w:val="00C04588"/>
    <w:rsid w:val="00C0479F"/>
    <w:rsid w:val="00C051F2"/>
    <w:rsid w:val="00C053E9"/>
    <w:rsid w:val="00C064EC"/>
    <w:rsid w:val="00C06DF5"/>
    <w:rsid w:val="00C0775E"/>
    <w:rsid w:val="00C079DD"/>
    <w:rsid w:val="00C10457"/>
    <w:rsid w:val="00C10578"/>
    <w:rsid w:val="00C10643"/>
    <w:rsid w:val="00C107BA"/>
    <w:rsid w:val="00C10D44"/>
    <w:rsid w:val="00C10F4B"/>
    <w:rsid w:val="00C1156D"/>
    <w:rsid w:val="00C1165F"/>
    <w:rsid w:val="00C11EA6"/>
    <w:rsid w:val="00C12A19"/>
    <w:rsid w:val="00C135BC"/>
    <w:rsid w:val="00C137E3"/>
    <w:rsid w:val="00C13D21"/>
    <w:rsid w:val="00C13E44"/>
    <w:rsid w:val="00C13F28"/>
    <w:rsid w:val="00C141B1"/>
    <w:rsid w:val="00C142AE"/>
    <w:rsid w:val="00C14326"/>
    <w:rsid w:val="00C14357"/>
    <w:rsid w:val="00C1482D"/>
    <w:rsid w:val="00C155F0"/>
    <w:rsid w:val="00C15A9F"/>
    <w:rsid w:val="00C15BDF"/>
    <w:rsid w:val="00C15C95"/>
    <w:rsid w:val="00C164DD"/>
    <w:rsid w:val="00C165C2"/>
    <w:rsid w:val="00C1666F"/>
    <w:rsid w:val="00C16A18"/>
    <w:rsid w:val="00C16E71"/>
    <w:rsid w:val="00C171F1"/>
    <w:rsid w:val="00C17439"/>
    <w:rsid w:val="00C176C6"/>
    <w:rsid w:val="00C17EFF"/>
    <w:rsid w:val="00C20285"/>
    <w:rsid w:val="00C20E71"/>
    <w:rsid w:val="00C2113D"/>
    <w:rsid w:val="00C214EF"/>
    <w:rsid w:val="00C22033"/>
    <w:rsid w:val="00C225B0"/>
    <w:rsid w:val="00C22803"/>
    <w:rsid w:val="00C22917"/>
    <w:rsid w:val="00C23D47"/>
    <w:rsid w:val="00C23F4D"/>
    <w:rsid w:val="00C24990"/>
    <w:rsid w:val="00C24F74"/>
    <w:rsid w:val="00C253EA"/>
    <w:rsid w:val="00C2593A"/>
    <w:rsid w:val="00C2596A"/>
    <w:rsid w:val="00C25B5F"/>
    <w:rsid w:val="00C25F61"/>
    <w:rsid w:val="00C266BB"/>
    <w:rsid w:val="00C26B2C"/>
    <w:rsid w:val="00C27090"/>
    <w:rsid w:val="00C27537"/>
    <w:rsid w:val="00C277FC"/>
    <w:rsid w:val="00C30AD0"/>
    <w:rsid w:val="00C31033"/>
    <w:rsid w:val="00C311D3"/>
    <w:rsid w:val="00C31532"/>
    <w:rsid w:val="00C31A72"/>
    <w:rsid w:val="00C31B9A"/>
    <w:rsid w:val="00C323D5"/>
    <w:rsid w:val="00C32661"/>
    <w:rsid w:val="00C328FE"/>
    <w:rsid w:val="00C329AB"/>
    <w:rsid w:val="00C33507"/>
    <w:rsid w:val="00C33F39"/>
    <w:rsid w:val="00C3409E"/>
    <w:rsid w:val="00C344BD"/>
    <w:rsid w:val="00C344E6"/>
    <w:rsid w:val="00C34EC5"/>
    <w:rsid w:val="00C35E5B"/>
    <w:rsid w:val="00C36DE3"/>
    <w:rsid w:val="00C37937"/>
    <w:rsid w:val="00C37C1D"/>
    <w:rsid w:val="00C40290"/>
    <w:rsid w:val="00C403EF"/>
    <w:rsid w:val="00C412E3"/>
    <w:rsid w:val="00C41BD6"/>
    <w:rsid w:val="00C42474"/>
    <w:rsid w:val="00C42C86"/>
    <w:rsid w:val="00C43159"/>
    <w:rsid w:val="00C436ED"/>
    <w:rsid w:val="00C43E19"/>
    <w:rsid w:val="00C4409D"/>
    <w:rsid w:val="00C44174"/>
    <w:rsid w:val="00C44184"/>
    <w:rsid w:val="00C441A0"/>
    <w:rsid w:val="00C444EE"/>
    <w:rsid w:val="00C4487B"/>
    <w:rsid w:val="00C44AAE"/>
    <w:rsid w:val="00C44E72"/>
    <w:rsid w:val="00C45997"/>
    <w:rsid w:val="00C45A06"/>
    <w:rsid w:val="00C45B35"/>
    <w:rsid w:val="00C46932"/>
    <w:rsid w:val="00C46A3C"/>
    <w:rsid w:val="00C471FF"/>
    <w:rsid w:val="00C47960"/>
    <w:rsid w:val="00C47E5B"/>
    <w:rsid w:val="00C5085D"/>
    <w:rsid w:val="00C50CC8"/>
    <w:rsid w:val="00C50D70"/>
    <w:rsid w:val="00C51189"/>
    <w:rsid w:val="00C51384"/>
    <w:rsid w:val="00C51C46"/>
    <w:rsid w:val="00C521F9"/>
    <w:rsid w:val="00C52413"/>
    <w:rsid w:val="00C531BB"/>
    <w:rsid w:val="00C53DC5"/>
    <w:rsid w:val="00C54E12"/>
    <w:rsid w:val="00C55105"/>
    <w:rsid w:val="00C55117"/>
    <w:rsid w:val="00C55A20"/>
    <w:rsid w:val="00C55ADD"/>
    <w:rsid w:val="00C55B54"/>
    <w:rsid w:val="00C55F3A"/>
    <w:rsid w:val="00C56A6B"/>
    <w:rsid w:val="00C5760C"/>
    <w:rsid w:val="00C578CC"/>
    <w:rsid w:val="00C57AE3"/>
    <w:rsid w:val="00C57E03"/>
    <w:rsid w:val="00C60053"/>
    <w:rsid w:val="00C60843"/>
    <w:rsid w:val="00C60B93"/>
    <w:rsid w:val="00C6148E"/>
    <w:rsid w:val="00C614E1"/>
    <w:rsid w:val="00C61524"/>
    <w:rsid w:val="00C61589"/>
    <w:rsid w:val="00C61946"/>
    <w:rsid w:val="00C61C39"/>
    <w:rsid w:val="00C61E4B"/>
    <w:rsid w:val="00C622C5"/>
    <w:rsid w:val="00C628EA"/>
    <w:rsid w:val="00C6323F"/>
    <w:rsid w:val="00C63DEB"/>
    <w:rsid w:val="00C642BD"/>
    <w:rsid w:val="00C64773"/>
    <w:rsid w:val="00C649E2"/>
    <w:rsid w:val="00C64BFF"/>
    <w:rsid w:val="00C655EF"/>
    <w:rsid w:val="00C65CCB"/>
    <w:rsid w:val="00C65FE1"/>
    <w:rsid w:val="00C66A78"/>
    <w:rsid w:val="00C66B4D"/>
    <w:rsid w:val="00C66E2D"/>
    <w:rsid w:val="00C67442"/>
    <w:rsid w:val="00C67F7B"/>
    <w:rsid w:val="00C67FD5"/>
    <w:rsid w:val="00C70039"/>
    <w:rsid w:val="00C704E9"/>
    <w:rsid w:val="00C7093E"/>
    <w:rsid w:val="00C70ADC"/>
    <w:rsid w:val="00C7183B"/>
    <w:rsid w:val="00C7185C"/>
    <w:rsid w:val="00C71CF5"/>
    <w:rsid w:val="00C71FE4"/>
    <w:rsid w:val="00C72A66"/>
    <w:rsid w:val="00C72DBC"/>
    <w:rsid w:val="00C73203"/>
    <w:rsid w:val="00C73483"/>
    <w:rsid w:val="00C738F6"/>
    <w:rsid w:val="00C73D65"/>
    <w:rsid w:val="00C73FCE"/>
    <w:rsid w:val="00C743CB"/>
    <w:rsid w:val="00C74C7C"/>
    <w:rsid w:val="00C74DEC"/>
    <w:rsid w:val="00C75C37"/>
    <w:rsid w:val="00C763C9"/>
    <w:rsid w:val="00C76ADB"/>
    <w:rsid w:val="00C77059"/>
    <w:rsid w:val="00C77229"/>
    <w:rsid w:val="00C773E5"/>
    <w:rsid w:val="00C7771D"/>
    <w:rsid w:val="00C80057"/>
    <w:rsid w:val="00C80A86"/>
    <w:rsid w:val="00C80CC4"/>
    <w:rsid w:val="00C80D07"/>
    <w:rsid w:val="00C80FCF"/>
    <w:rsid w:val="00C81F42"/>
    <w:rsid w:val="00C82232"/>
    <w:rsid w:val="00C82664"/>
    <w:rsid w:val="00C826AC"/>
    <w:rsid w:val="00C82913"/>
    <w:rsid w:val="00C8300C"/>
    <w:rsid w:val="00C83F16"/>
    <w:rsid w:val="00C84BC3"/>
    <w:rsid w:val="00C8522A"/>
    <w:rsid w:val="00C85E30"/>
    <w:rsid w:val="00C85EB4"/>
    <w:rsid w:val="00C863C5"/>
    <w:rsid w:val="00C86829"/>
    <w:rsid w:val="00C879F8"/>
    <w:rsid w:val="00C9057E"/>
    <w:rsid w:val="00C91014"/>
    <w:rsid w:val="00C91CA0"/>
    <w:rsid w:val="00C92669"/>
    <w:rsid w:val="00C9278B"/>
    <w:rsid w:val="00C9288F"/>
    <w:rsid w:val="00C932B8"/>
    <w:rsid w:val="00C93451"/>
    <w:rsid w:val="00C93F54"/>
    <w:rsid w:val="00C944F3"/>
    <w:rsid w:val="00C947B3"/>
    <w:rsid w:val="00C95179"/>
    <w:rsid w:val="00C958A8"/>
    <w:rsid w:val="00C958BF"/>
    <w:rsid w:val="00C958D4"/>
    <w:rsid w:val="00C95EDC"/>
    <w:rsid w:val="00C96716"/>
    <w:rsid w:val="00C96AB9"/>
    <w:rsid w:val="00C96DB3"/>
    <w:rsid w:val="00C96E45"/>
    <w:rsid w:val="00C972B1"/>
    <w:rsid w:val="00C97755"/>
    <w:rsid w:val="00C97D36"/>
    <w:rsid w:val="00CA0378"/>
    <w:rsid w:val="00CA0D7B"/>
    <w:rsid w:val="00CA150D"/>
    <w:rsid w:val="00CA2CCE"/>
    <w:rsid w:val="00CA2D27"/>
    <w:rsid w:val="00CA2F06"/>
    <w:rsid w:val="00CA3216"/>
    <w:rsid w:val="00CA3F12"/>
    <w:rsid w:val="00CA40F3"/>
    <w:rsid w:val="00CA4387"/>
    <w:rsid w:val="00CA43FD"/>
    <w:rsid w:val="00CA48F5"/>
    <w:rsid w:val="00CA4E45"/>
    <w:rsid w:val="00CA55AB"/>
    <w:rsid w:val="00CA5976"/>
    <w:rsid w:val="00CA5B96"/>
    <w:rsid w:val="00CA7216"/>
    <w:rsid w:val="00CA7562"/>
    <w:rsid w:val="00CA7913"/>
    <w:rsid w:val="00CA7DFC"/>
    <w:rsid w:val="00CA7EF8"/>
    <w:rsid w:val="00CB0430"/>
    <w:rsid w:val="00CB12DD"/>
    <w:rsid w:val="00CB17AB"/>
    <w:rsid w:val="00CB1A19"/>
    <w:rsid w:val="00CB1AA3"/>
    <w:rsid w:val="00CB1EC1"/>
    <w:rsid w:val="00CB2789"/>
    <w:rsid w:val="00CB2956"/>
    <w:rsid w:val="00CB3294"/>
    <w:rsid w:val="00CB3F55"/>
    <w:rsid w:val="00CB4265"/>
    <w:rsid w:val="00CB4E45"/>
    <w:rsid w:val="00CB530E"/>
    <w:rsid w:val="00CB58D5"/>
    <w:rsid w:val="00CB6193"/>
    <w:rsid w:val="00CB6779"/>
    <w:rsid w:val="00CB6F63"/>
    <w:rsid w:val="00CB71F2"/>
    <w:rsid w:val="00CC010B"/>
    <w:rsid w:val="00CC03EE"/>
    <w:rsid w:val="00CC0691"/>
    <w:rsid w:val="00CC08A3"/>
    <w:rsid w:val="00CC165D"/>
    <w:rsid w:val="00CC19CA"/>
    <w:rsid w:val="00CC2308"/>
    <w:rsid w:val="00CC2AD2"/>
    <w:rsid w:val="00CC36F6"/>
    <w:rsid w:val="00CC379D"/>
    <w:rsid w:val="00CC489B"/>
    <w:rsid w:val="00CC50E1"/>
    <w:rsid w:val="00CC557D"/>
    <w:rsid w:val="00CC6BA9"/>
    <w:rsid w:val="00CC7917"/>
    <w:rsid w:val="00CD00DE"/>
    <w:rsid w:val="00CD0429"/>
    <w:rsid w:val="00CD10A1"/>
    <w:rsid w:val="00CD120C"/>
    <w:rsid w:val="00CD1211"/>
    <w:rsid w:val="00CD1554"/>
    <w:rsid w:val="00CD16DA"/>
    <w:rsid w:val="00CD1F01"/>
    <w:rsid w:val="00CD2363"/>
    <w:rsid w:val="00CD2714"/>
    <w:rsid w:val="00CD2883"/>
    <w:rsid w:val="00CD2BCD"/>
    <w:rsid w:val="00CD3568"/>
    <w:rsid w:val="00CD37AD"/>
    <w:rsid w:val="00CD3A0C"/>
    <w:rsid w:val="00CD3A4C"/>
    <w:rsid w:val="00CD410E"/>
    <w:rsid w:val="00CD412B"/>
    <w:rsid w:val="00CD419C"/>
    <w:rsid w:val="00CD4222"/>
    <w:rsid w:val="00CD4E3E"/>
    <w:rsid w:val="00CD4F42"/>
    <w:rsid w:val="00CD4FB6"/>
    <w:rsid w:val="00CD5079"/>
    <w:rsid w:val="00CD518E"/>
    <w:rsid w:val="00CD51D4"/>
    <w:rsid w:val="00CD5648"/>
    <w:rsid w:val="00CD6A85"/>
    <w:rsid w:val="00CD7166"/>
    <w:rsid w:val="00CD74EE"/>
    <w:rsid w:val="00CD78CB"/>
    <w:rsid w:val="00CD7946"/>
    <w:rsid w:val="00CE052A"/>
    <w:rsid w:val="00CE0722"/>
    <w:rsid w:val="00CE0B5C"/>
    <w:rsid w:val="00CE0BA8"/>
    <w:rsid w:val="00CE10E9"/>
    <w:rsid w:val="00CE1106"/>
    <w:rsid w:val="00CE1927"/>
    <w:rsid w:val="00CE1BD0"/>
    <w:rsid w:val="00CE1C90"/>
    <w:rsid w:val="00CE2377"/>
    <w:rsid w:val="00CE25C8"/>
    <w:rsid w:val="00CE25FF"/>
    <w:rsid w:val="00CE2910"/>
    <w:rsid w:val="00CE2AB0"/>
    <w:rsid w:val="00CE353F"/>
    <w:rsid w:val="00CE3635"/>
    <w:rsid w:val="00CE39AC"/>
    <w:rsid w:val="00CE49A8"/>
    <w:rsid w:val="00CE4D94"/>
    <w:rsid w:val="00CE5393"/>
    <w:rsid w:val="00CE5879"/>
    <w:rsid w:val="00CE717F"/>
    <w:rsid w:val="00CE77A4"/>
    <w:rsid w:val="00CF100F"/>
    <w:rsid w:val="00CF1017"/>
    <w:rsid w:val="00CF11A3"/>
    <w:rsid w:val="00CF13B9"/>
    <w:rsid w:val="00CF1A84"/>
    <w:rsid w:val="00CF1AD2"/>
    <w:rsid w:val="00CF1D7E"/>
    <w:rsid w:val="00CF1DF3"/>
    <w:rsid w:val="00CF21FC"/>
    <w:rsid w:val="00CF3148"/>
    <w:rsid w:val="00CF36BE"/>
    <w:rsid w:val="00CF3772"/>
    <w:rsid w:val="00CF37A0"/>
    <w:rsid w:val="00CF37E6"/>
    <w:rsid w:val="00CF3B0E"/>
    <w:rsid w:val="00CF4469"/>
    <w:rsid w:val="00CF4BA7"/>
    <w:rsid w:val="00CF4E97"/>
    <w:rsid w:val="00CF52FC"/>
    <w:rsid w:val="00CF554B"/>
    <w:rsid w:val="00CF5570"/>
    <w:rsid w:val="00CF5960"/>
    <w:rsid w:val="00CF6000"/>
    <w:rsid w:val="00CF63AE"/>
    <w:rsid w:val="00CF6B36"/>
    <w:rsid w:val="00CF7439"/>
    <w:rsid w:val="00D003F3"/>
    <w:rsid w:val="00D01143"/>
    <w:rsid w:val="00D01993"/>
    <w:rsid w:val="00D02118"/>
    <w:rsid w:val="00D0241A"/>
    <w:rsid w:val="00D0288A"/>
    <w:rsid w:val="00D02B89"/>
    <w:rsid w:val="00D0364F"/>
    <w:rsid w:val="00D03A58"/>
    <w:rsid w:val="00D03EDD"/>
    <w:rsid w:val="00D04217"/>
    <w:rsid w:val="00D04EC4"/>
    <w:rsid w:val="00D06834"/>
    <w:rsid w:val="00D07210"/>
    <w:rsid w:val="00D074A5"/>
    <w:rsid w:val="00D075E1"/>
    <w:rsid w:val="00D07E39"/>
    <w:rsid w:val="00D104C5"/>
    <w:rsid w:val="00D1119D"/>
    <w:rsid w:val="00D1149A"/>
    <w:rsid w:val="00D125DC"/>
    <w:rsid w:val="00D12B13"/>
    <w:rsid w:val="00D1352F"/>
    <w:rsid w:val="00D13B99"/>
    <w:rsid w:val="00D14126"/>
    <w:rsid w:val="00D1488D"/>
    <w:rsid w:val="00D14AD2"/>
    <w:rsid w:val="00D156CF"/>
    <w:rsid w:val="00D15C23"/>
    <w:rsid w:val="00D15C3E"/>
    <w:rsid w:val="00D16351"/>
    <w:rsid w:val="00D16A16"/>
    <w:rsid w:val="00D16D12"/>
    <w:rsid w:val="00D16DD5"/>
    <w:rsid w:val="00D172AE"/>
    <w:rsid w:val="00D1785D"/>
    <w:rsid w:val="00D17B3B"/>
    <w:rsid w:val="00D17E6D"/>
    <w:rsid w:val="00D21655"/>
    <w:rsid w:val="00D21824"/>
    <w:rsid w:val="00D2223C"/>
    <w:rsid w:val="00D223B4"/>
    <w:rsid w:val="00D22A59"/>
    <w:rsid w:val="00D236A1"/>
    <w:rsid w:val="00D23BBD"/>
    <w:rsid w:val="00D23C67"/>
    <w:rsid w:val="00D23CE7"/>
    <w:rsid w:val="00D2445F"/>
    <w:rsid w:val="00D244D3"/>
    <w:rsid w:val="00D24774"/>
    <w:rsid w:val="00D25978"/>
    <w:rsid w:val="00D26153"/>
    <w:rsid w:val="00D26448"/>
    <w:rsid w:val="00D27104"/>
    <w:rsid w:val="00D27430"/>
    <w:rsid w:val="00D27855"/>
    <w:rsid w:val="00D27DA0"/>
    <w:rsid w:val="00D27DD4"/>
    <w:rsid w:val="00D308ED"/>
    <w:rsid w:val="00D30C7D"/>
    <w:rsid w:val="00D30F91"/>
    <w:rsid w:val="00D3144D"/>
    <w:rsid w:val="00D329FC"/>
    <w:rsid w:val="00D32E9F"/>
    <w:rsid w:val="00D32EC0"/>
    <w:rsid w:val="00D32F8C"/>
    <w:rsid w:val="00D335EC"/>
    <w:rsid w:val="00D33D00"/>
    <w:rsid w:val="00D34084"/>
    <w:rsid w:val="00D34D10"/>
    <w:rsid w:val="00D34D3E"/>
    <w:rsid w:val="00D34DD3"/>
    <w:rsid w:val="00D350F0"/>
    <w:rsid w:val="00D35981"/>
    <w:rsid w:val="00D35DAF"/>
    <w:rsid w:val="00D36D86"/>
    <w:rsid w:val="00D37550"/>
    <w:rsid w:val="00D37CD1"/>
    <w:rsid w:val="00D37DBB"/>
    <w:rsid w:val="00D37DFD"/>
    <w:rsid w:val="00D40406"/>
    <w:rsid w:val="00D41E27"/>
    <w:rsid w:val="00D42087"/>
    <w:rsid w:val="00D42645"/>
    <w:rsid w:val="00D428AA"/>
    <w:rsid w:val="00D439CD"/>
    <w:rsid w:val="00D43F47"/>
    <w:rsid w:val="00D44128"/>
    <w:rsid w:val="00D4470F"/>
    <w:rsid w:val="00D45EF4"/>
    <w:rsid w:val="00D468DF"/>
    <w:rsid w:val="00D46F8D"/>
    <w:rsid w:val="00D47591"/>
    <w:rsid w:val="00D47867"/>
    <w:rsid w:val="00D5002F"/>
    <w:rsid w:val="00D50460"/>
    <w:rsid w:val="00D50741"/>
    <w:rsid w:val="00D50A34"/>
    <w:rsid w:val="00D50B45"/>
    <w:rsid w:val="00D516E1"/>
    <w:rsid w:val="00D518CC"/>
    <w:rsid w:val="00D51A60"/>
    <w:rsid w:val="00D51AF6"/>
    <w:rsid w:val="00D51BA8"/>
    <w:rsid w:val="00D51C05"/>
    <w:rsid w:val="00D52134"/>
    <w:rsid w:val="00D52559"/>
    <w:rsid w:val="00D52E26"/>
    <w:rsid w:val="00D53AD4"/>
    <w:rsid w:val="00D53EFA"/>
    <w:rsid w:val="00D543B4"/>
    <w:rsid w:val="00D54BFB"/>
    <w:rsid w:val="00D55261"/>
    <w:rsid w:val="00D554CD"/>
    <w:rsid w:val="00D55723"/>
    <w:rsid w:val="00D56406"/>
    <w:rsid w:val="00D572E5"/>
    <w:rsid w:val="00D576F3"/>
    <w:rsid w:val="00D57C7F"/>
    <w:rsid w:val="00D57EC2"/>
    <w:rsid w:val="00D60C9C"/>
    <w:rsid w:val="00D614AA"/>
    <w:rsid w:val="00D61E18"/>
    <w:rsid w:val="00D61E41"/>
    <w:rsid w:val="00D621D8"/>
    <w:rsid w:val="00D62D49"/>
    <w:rsid w:val="00D62F34"/>
    <w:rsid w:val="00D63E88"/>
    <w:rsid w:val="00D64CD6"/>
    <w:rsid w:val="00D65840"/>
    <w:rsid w:val="00D660D7"/>
    <w:rsid w:val="00D661AD"/>
    <w:rsid w:val="00D66518"/>
    <w:rsid w:val="00D66AB9"/>
    <w:rsid w:val="00D66B02"/>
    <w:rsid w:val="00D66B74"/>
    <w:rsid w:val="00D66BB2"/>
    <w:rsid w:val="00D66DC4"/>
    <w:rsid w:val="00D66FF1"/>
    <w:rsid w:val="00D678FE"/>
    <w:rsid w:val="00D6792D"/>
    <w:rsid w:val="00D67959"/>
    <w:rsid w:val="00D67E59"/>
    <w:rsid w:val="00D7088F"/>
    <w:rsid w:val="00D70AD9"/>
    <w:rsid w:val="00D70B00"/>
    <w:rsid w:val="00D7102C"/>
    <w:rsid w:val="00D7142D"/>
    <w:rsid w:val="00D716D4"/>
    <w:rsid w:val="00D717F5"/>
    <w:rsid w:val="00D71B62"/>
    <w:rsid w:val="00D72498"/>
    <w:rsid w:val="00D72F4F"/>
    <w:rsid w:val="00D731AC"/>
    <w:rsid w:val="00D738C4"/>
    <w:rsid w:val="00D74282"/>
    <w:rsid w:val="00D748B7"/>
    <w:rsid w:val="00D75117"/>
    <w:rsid w:val="00D7541B"/>
    <w:rsid w:val="00D75647"/>
    <w:rsid w:val="00D75838"/>
    <w:rsid w:val="00D75DBB"/>
    <w:rsid w:val="00D75F40"/>
    <w:rsid w:val="00D760C8"/>
    <w:rsid w:val="00D76180"/>
    <w:rsid w:val="00D76405"/>
    <w:rsid w:val="00D7651C"/>
    <w:rsid w:val="00D76626"/>
    <w:rsid w:val="00D766BB"/>
    <w:rsid w:val="00D777BA"/>
    <w:rsid w:val="00D77805"/>
    <w:rsid w:val="00D80620"/>
    <w:rsid w:val="00D80699"/>
    <w:rsid w:val="00D806F2"/>
    <w:rsid w:val="00D80759"/>
    <w:rsid w:val="00D8086E"/>
    <w:rsid w:val="00D80BCD"/>
    <w:rsid w:val="00D812E7"/>
    <w:rsid w:val="00D8158A"/>
    <w:rsid w:val="00D81BAF"/>
    <w:rsid w:val="00D82338"/>
    <w:rsid w:val="00D82358"/>
    <w:rsid w:val="00D8243B"/>
    <w:rsid w:val="00D827BE"/>
    <w:rsid w:val="00D82C6A"/>
    <w:rsid w:val="00D82D11"/>
    <w:rsid w:val="00D82D7E"/>
    <w:rsid w:val="00D83175"/>
    <w:rsid w:val="00D831FB"/>
    <w:rsid w:val="00D8347D"/>
    <w:rsid w:val="00D834FD"/>
    <w:rsid w:val="00D83E1B"/>
    <w:rsid w:val="00D842D8"/>
    <w:rsid w:val="00D84593"/>
    <w:rsid w:val="00D84A49"/>
    <w:rsid w:val="00D84B69"/>
    <w:rsid w:val="00D84BB9"/>
    <w:rsid w:val="00D84EED"/>
    <w:rsid w:val="00D85211"/>
    <w:rsid w:val="00D85399"/>
    <w:rsid w:val="00D85693"/>
    <w:rsid w:val="00D85D88"/>
    <w:rsid w:val="00D86EBE"/>
    <w:rsid w:val="00D87C5F"/>
    <w:rsid w:val="00D9021A"/>
    <w:rsid w:val="00D902D2"/>
    <w:rsid w:val="00D9116F"/>
    <w:rsid w:val="00D91253"/>
    <w:rsid w:val="00D9145C"/>
    <w:rsid w:val="00D91EA6"/>
    <w:rsid w:val="00D9301F"/>
    <w:rsid w:val="00D9416F"/>
    <w:rsid w:val="00D9472C"/>
    <w:rsid w:val="00D94A7C"/>
    <w:rsid w:val="00D94F1D"/>
    <w:rsid w:val="00D9584F"/>
    <w:rsid w:val="00D95896"/>
    <w:rsid w:val="00D962B3"/>
    <w:rsid w:val="00D967FE"/>
    <w:rsid w:val="00D96831"/>
    <w:rsid w:val="00D96D5A"/>
    <w:rsid w:val="00D9789B"/>
    <w:rsid w:val="00DA008C"/>
    <w:rsid w:val="00DA04C3"/>
    <w:rsid w:val="00DA08D4"/>
    <w:rsid w:val="00DA2BFD"/>
    <w:rsid w:val="00DA2CCC"/>
    <w:rsid w:val="00DA2EFD"/>
    <w:rsid w:val="00DA30FD"/>
    <w:rsid w:val="00DA3163"/>
    <w:rsid w:val="00DA3333"/>
    <w:rsid w:val="00DA3879"/>
    <w:rsid w:val="00DA39C7"/>
    <w:rsid w:val="00DA47A4"/>
    <w:rsid w:val="00DA51AC"/>
    <w:rsid w:val="00DA52D0"/>
    <w:rsid w:val="00DA5820"/>
    <w:rsid w:val="00DA59B3"/>
    <w:rsid w:val="00DA5DCE"/>
    <w:rsid w:val="00DA6366"/>
    <w:rsid w:val="00DA65C7"/>
    <w:rsid w:val="00DA66A1"/>
    <w:rsid w:val="00DA78E5"/>
    <w:rsid w:val="00DB00FD"/>
    <w:rsid w:val="00DB0274"/>
    <w:rsid w:val="00DB0A5F"/>
    <w:rsid w:val="00DB2983"/>
    <w:rsid w:val="00DB2A4E"/>
    <w:rsid w:val="00DB2EDF"/>
    <w:rsid w:val="00DB3176"/>
    <w:rsid w:val="00DB3F33"/>
    <w:rsid w:val="00DB437D"/>
    <w:rsid w:val="00DB4D16"/>
    <w:rsid w:val="00DB538A"/>
    <w:rsid w:val="00DB53C6"/>
    <w:rsid w:val="00DB57C5"/>
    <w:rsid w:val="00DB65A1"/>
    <w:rsid w:val="00DB79F7"/>
    <w:rsid w:val="00DC02D7"/>
    <w:rsid w:val="00DC03A4"/>
    <w:rsid w:val="00DC0511"/>
    <w:rsid w:val="00DC0C67"/>
    <w:rsid w:val="00DC1257"/>
    <w:rsid w:val="00DC1388"/>
    <w:rsid w:val="00DC14BE"/>
    <w:rsid w:val="00DC1980"/>
    <w:rsid w:val="00DC218B"/>
    <w:rsid w:val="00DC3501"/>
    <w:rsid w:val="00DC363A"/>
    <w:rsid w:val="00DC36D6"/>
    <w:rsid w:val="00DC3DC0"/>
    <w:rsid w:val="00DC4131"/>
    <w:rsid w:val="00DC413E"/>
    <w:rsid w:val="00DC47F1"/>
    <w:rsid w:val="00DC4A85"/>
    <w:rsid w:val="00DC4B9D"/>
    <w:rsid w:val="00DC4C6F"/>
    <w:rsid w:val="00DC5B2B"/>
    <w:rsid w:val="00DC67D2"/>
    <w:rsid w:val="00DC748C"/>
    <w:rsid w:val="00DC7663"/>
    <w:rsid w:val="00DC7EEA"/>
    <w:rsid w:val="00DC7FCF"/>
    <w:rsid w:val="00DD06D7"/>
    <w:rsid w:val="00DD0EA4"/>
    <w:rsid w:val="00DD1269"/>
    <w:rsid w:val="00DD14D9"/>
    <w:rsid w:val="00DD1657"/>
    <w:rsid w:val="00DD1A4F"/>
    <w:rsid w:val="00DD1F46"/>
    <w:rsid w:val="00DD2040"/>
    <w:rsid w:val="00DD2593"/>
    <w:rsid w:val="00DD2B2C"/>
    <w:rsid w:val="00DD2E5C"/>
    <w:rsid w:val="00DD318D"/>
    <w:rsid w:val="00DD3468"/>
    <w:rsid w:val="00DD38D9"/>
    <w:rsid w:val="00DD44B4"/>
    <w:rsid w:val="00DD4791"/>
    <w:rsid w:val="00DD560C"/>
    <w:rsid w:val="00DD64E9"/>
    <w:rsid w:val="00DD6B00"/>
    <w:rsid w:val="00DD6BC0"/>
    <w:rsid w:val="00DD7369"/>
    <w:rsid w:val="00DD745D"/>
    <w:rsid w:val="00DD758F"/>
    <w:rsid w:val="00DD778D"/>
    <w:rsid w:val="00DD79C9"/>
    <w:rsid w:val="00DD7CDA"/>
    <w:rsid w:val="00DD7E98"/>
    <w:rsid w:val="00DE01EA"/>
    <w:rsid w:val="00DE083F"/>
    <w:rsid w:val="00DE0A0A"/>
    <w:rsid w:val="00DE0A2A"/>
    <w:rsid w:val="00DE13B5"/>
    <w:rsid w:val="00DE1F48"/>
    <w:rsid w:val="00DE2136"/>
    <w:rsid w:val="00DE2AE3"/>
    <w:rsid w:val="00DE2FBF"/>
    <w:rsid w:val="00DE3399"/>
    <w:rsid w:val="00DE370B"/>
    <w:rsid w:val="00DE4175"/>
    <w:rsid w:val="00DE43CA"/>
    <w:rsid w:val="00DE48D9"/>
    <w:rsid w:val="00DE49A7"/>
    <w:rsid w:val="00DE5024"/>
    <w:rsid w:val="00DE54E6"/>
    <w:rsid w:val="00DE5B23"/>
    <w:rsid w:val="00DE6782"/>
    <w:rsid w:val="00DE6C98"/>
    <w:rsid w:val="00DE6DE1"/>
    <w:rsid w:val="00DE6ECE"/>
    <w:rsid w:val="00DE6FA9"/>
    <w:rsid w:val="00DE715C"/>
    <w:rsid w:val="00DE73CC"/>
    <w:rsid w:val="00DF0270"/>
    <w:rsid w:val="00DF0C79"/>
    <w:rsid w:val="00DF1DBE"/>
    <w:rsid w:val="00DF20E9"/>
    <w:rsid w:val="00DF2989"/>
    <w:rsid w:val="00DF2E12"/>
    <w:rsid w:val="00DF2FA9"/>
    <w:rsid w:val="00DF35BF"/>
    <w:rsid w:val="00DF3BB1"/>
    <w:rsid w:val="00DF3F2D"/>
    <w:rsid w:val="00DF3FA0"/>
    <w:rsid w:val="00DF452C"/>
    <w:rsid w:val="00DF4A7C"/>
    <w:rsid w:val="00DF4E96"/>
    <w:rsid w:val="00DF514A"/>
    <w:rsid w:val="00DF5544"/>
    <w:rsid w:val="00DF5E61"/>
    <w:rsid w:val="00DF63F8"/>
    <w:rsid w:val="00DF6690"/>
    <w:rsid w:val="00DF66AF"/>
    <w:rsid w:val="00DF6804"/>
    <w:rsid w:val="00DF6B34"/>
    <w:rsid w:val="00DF7DAC"/>
    <w:rsid w:val="00DF7FEB"/>
    <w:rsid w:val="00E0053E"/>
    <w:rsid w:val="00E00992"/>
    <w:rsid w:val="00E00DBF"/>
    <w:rsid w:val="00E01277"/>
    <w:rsid w:val="00E012D8"/>
    <w:rsid w:val="00E015B2"/>
    <w:rsid w:val="00E015E0"/>
    <w:rsid w:val="00E01726"/>
    <w:rsid w:val="00E0185E"/>
    <w:rsid w:val="00E01C32"/>
    <w:rsid w:val="00E02E9A"/>
    <w:rsid w:val="00E03247"/>
    <w:rsid w:val="00E0358D"/>
    <w:rsid w:val="00E03DB6"/>
    <w:rsid w:val="00E03E18"/>
    <w:rsid w:val="00E03FAB"/>
    <w:rsid w:val="00E041C9"/>
    <w:rsid w:val="00E04323"/>
    <w:rsid w:val="00E04B3E"/>
    <w:rsid w:val="00E054BB"/>
    <w:rsid w:val="00E05E6B"/>
    <w:rsid w:val="00E06649"/>
    <w:rsid w:val="00E06A26"/>
    <w:rsid w:val="00E06A4C"/>
    <w:rsid w:val="00E06C27"/>
    <w:rsid w:val="00E070A2"/>
    <w:rsid w:val="00E076C0"/>
    <w:rsid w:val="00E10D9A"/>
    <w:rsid w:val="00E1128F"/>
    <w:rsid w:val="00E12817"/>
    <w:rsid w:val="00E13AA4"/>
    <w:rsid w:val="00E14279"/>
    <w:rsid w:val="00E14C64"/>
    <w:rsid w:val="00E14E0B"/>
    <w:rsid w:val="00E152B8"/>
    <w:rsid w:val="00E156B1"/>
    <w:rsid w:val="00E15704"/>
    <w:rsid w:val="00E157B4"/>
    <w:rsid w:val="00E15E4D"/>
    <w:rsid w:val="00E16599"/>
    <w:rsid w:val="00E167A0"/>
    <w:rsid w:val="00E17235"/>
    <w:rsid w:val="00E1751F"/>
    <w:rsid w:val="00E175AF"/>
    <w:rsid w:val="00E1785E"/>
    <w:rsid w:val="00E20080"/>
    <w:rsid w:val="00E20799"/>
    <w:rsid w:val="00E21414"/>
    <w:rsid w:val="00E21582"/>
    <w:rsid w:val="00E215C1"/>
    <w:rsid w:val="00E218F7"/>
    <w:rsid w:val="00E225EF"/>
    <w:rsid w:val="00E22E01"/>
    <w:rsid w:val="00E235AD"/>
    <w:rsid w:val="00E237AB"/>
    <w:rsid w:val="00E23C7F"/>
    <w:rsid w:val="00E24244"/>
    <w:rsid w:val="00E246B9"/>
    <w:rsid w:val="00E2475D"/>
    <w:rsid w:val="00E247D3"/>
    <w:rsid w:val="00E24ACA"/>
    <w:rsid w:val="00E24BC4"/>
    <w:rsid w:val="00E25497"/>
    <w:rsid w:val="00E2656A"/>
    <w:rsid w:val="00E266A9"/>
    <w:rsid w:val="00E2688A"/>
    <w:rsid w:val="00E2742A"/>
    <w:rsid w:val="00E27804"/>
    <w:rsid w:val="00E27E7D"/>
    <w:rsid w:val="00E300BC"/>
    <w:rsid w:val="00E3017C"/>
    <w:rsid w:val="00E301D1"/>
    <w:rsid w:val="00E30484"/>
    <w:rsid w:val="00E307E3"/>
    <w:rsid w:val="00E316D2"/>
    <w:rsid w:val="00E319F4"/>
    <w:rsid w:val="00E31C90"/>
    <w:rsid w:val="00E32975"/>
    <w:rsid w:val="00E32B37"/>
    <w:rsid w:val="00E33CB1"/>
    <w:rsid w:val="00E3402F"/>
    <w:rsid w:val="00E344F8"/>
    <w:rsid w:val="00E35C05"/>
    <w:rsid w:val="00E367D5"/>
    <w:rsid w:val="00E36A8F"/>
    <w:rsid w:val="00E36B88"/>
    <w:rsid w:val="00E36F77"/>
    <w:rsid w:val="00E37315"/>
    <w:rsid w:val="00E373A8"/>
    <w:rsid w:val="00E3756B"/>
    <w:rsid w:val="00E37709"/>
    <w:rsid w:val="00E402DC"/>
    <w:rsid w:val="00E404F8"/>
    <w:rsid w:val="00E40ECB"/>
    <w:rsid w:val="00E41028"/>
    <w:rsid w:val="00E412D0"/>
    <w:rsid w:val="00E415BC"/>
    <w:rsid w:val="00E419C8"/>
    <w:rsid w:val="00E41ADC"/>
    <w:rsid w:val="00E41C05"/>
    <w:rsid w:val="00E41EBC"/>
    <w:rsid w:val="00E42580"/>
    <w:rsid w:val="00E42897"/>
    <w:rsid w:val="00E438D2"/>
    <w:rsid w:val="00E439C7"/>
    <w:rsid w:val="00E43DAB"/>
    <w:rsid w:val="00E44968"/>
    <w:rsid w:val="00E449D2"/>
    <w:rsid w:val="00E44FA8"/>
    <w:rsid w:val="00E450B9"/>
    <w:rsid w:val="00E45444"/>
    <w:rsid w:val="00E4552C"/>
    <w:rsid w:val="00E4679B"/>
    <w:rsid w:val="00E4679D"/>
    <w:rsid w:val="00E47025"/>
    <w:rsid w:val="00E47442"/>
    <w:rsid w:val="00E477C5"/>
    <w:rsid w:val="00E47E79"/>
    <w:rsid w:val="00E500E3"/>
    <w:rsid w:val="00E500FF"/>
    <w:rsid w:val="00E50361"/>
    <w:rsid w:val="00E50504"/>
    <w:rsid w:val="00E50B25"/>
    <w:rsid w:val="00E50B80"/>
    <w:rsid w:val="00E519F1"/>
    <w:rsid w:val="00E51A8D"/>
    <w:rsid w:val="00E51E34"/>
    <w:rsid w:val="00E521A8"/>
    <w:rsid w:val="00E52469"/>
    <w:rsid w:val="00E52B75"/>
    <w:rsid w:val="00E53084"/>
    <w:rsid w:val="00E53A9B"/>
    <w:rsid w:val="00E53F25"/>
    <w:rsid w:val="00E55D9B"/>
    <w:rsid w:val="00E56322"/>
    <w:rsid w:val="00E56561"/>
    <w:rsid w:val="00E568CC"/>
    <w:rsid w:val="00E57223"/>
    <w:rsid w:val="00E57935"/>
    <w:rsid w:val="00E6053C"/>
    <w:rsid w:val="00E60982"/>
    <w:rsid w:val="00E61787"/>
    <w:rsid w:val="00E61D42"/>
    <w:rsid w:val="00E628EE"/>
    <w:rsid w:val="00E62C62"/>
    <w:rsid w:val="00E6376D"/>
    <w:rsid w:val="00E63C49"/>
    <w:rsid w:val="00E63DB7"/>
    <w:rsid w:val="00E648A7"/>
    <w:rsid w:val="00E649A3"/>
    <w:rsid w:val="00E649AC"/>
    <w:rsid w:val="00E65009"/>
    <w:rsid w:val="00E65297"/>
    <w:rsid w:val="00E6532E"/>
    <w:rsid w:val="00E6536B"/>
    <w:rsid w:val="00E654C1"/>
    <w:rsid w:val="00E65789"/>
    <w:rsid w:val="00E65D97"/>
    <w:rsid w:val="00E65DE0"/>
    <w:rsid w:val="00E65E3A"/>
    <w:rsid w:val="00E66508"/>
    <w:rsid w:val="00E66677"/>
    <w:rsid w:val="00E66BC3"/>
    <w:rsid w:val="00E679B4"/>
    <w:rsid w:val="00E67D78"/>
    <w:rsid w:val="00E67EF5"/>
    <w:rsid w:val="00E70375"/>
    <w:rsid w:val="00E70900"/>
    <w:rsid w:val="00E71568"/>
    <w:rsid w:val="00E719B1"/>
    <w:rsid w:val="00E71F62"/>
    <w:rsid w:val="00E7261C"/>
    <w:rsid w:val="00E72662"/>
    <w:rsid w:val="00E72A5A"/>
    <w:rsid w:val="00E73354"/>
    <w:rsid w:val="00E738BD"/>
    <w:rsid w:val="00E73940"/>
    <w:rsid w:val="00E73A74"/>
    <w:rsid w:val="00E73A90"/>
    <w:rsid w:val="00E73CF9"/>
    <w:rsid w:val="00E73D31"/>
    <w:rsid w:val="00E740ED"/>
    <w:rsid w:val="00E74C23"/>
    <w:rsid w:val="00E768C3"/>
    <w:rsid w:val="00E76FC2"/>
    <w:rsid w:val="00E7719E"/>
    <w:rsid w:val="00E777D1"/>
    <w:rsid w:val="00E77CFF"/>
    <w:rsid w:val="00E77E3A"/>
    <w:rsid w:val="00E80CE2"/>
    <w:rsid w:val="00E80E37"/>
    <w:rsid w:val="00E80FB4"/>
    <w:rsid w:val="00E81981"/>
    <w:rsid w:val="00E81A6F"/>
    <w:rsid w:val="00E81C72"/>
    <w:rsid w:val="00E81E3A"/>
    <w:rsid w:val="00E82173"/>
    <w:rsid w:val="00E82214"/>
    <w:rsid w:val="00E8347C"/>
    <w:rsid w:val="00E83568"/>
    <w:rsid w:val="00E83EE6"/>
    <w:rsid w:val="00E85643"/>
    <w:rsid w:val="00E85879"/>
    <w:rsid w:val="00E85BBC"/>
    <w:rsid w:val="00E86022"/>
    <w:rsid w:val="00E869A7"/>
    <w:rsid w:val="00E8726A"/>
    <w:rsid w:val="00E9047F"/>
    <w:rsid w:val="00E904FD"/>
    <w:rsid w:val="00E91EBE"/>
    <w:rsid w:val="00E9242D"/>
    <w:rsid w:val="00E933EE"/>
    <w:rsid w:val="00E93740"/>
    <w:rsid w:val="00E93EE8"/>
    <w:rsid w:val="00E94512"/>
    <w:rsid w:val="00E947A0"/>
    <w:rsid w:val="00E9480F"/>
    <w:rsid w:val="00E95434"/>
    <w:rsid w:val="00E955FE"/>
    <w:rsid w:val="00E95849"/>
    <w:rsid w:val="00E962F5"/>
    <w:rsid w:val="00E96703"/>
    <w:rsid w:val="00E96BE6"/>
    <w:rsid w:val="00E96CF4"/>
    <w:rsid w:val="00E972F4"/>
    <w:rsid w:val="00E97357"/>
    <w:rsid w:val="00E979D2"/>
    <w:rsid w:val="00E97F50"/>
    <w:rsid w:val="00EA110A"/>
    <w:rsid w:val="00EA1323"/>
    <w:rsid w:val="00EA1472"/>
    <w:rsid w:val="00EA1AFC"/>
    <w:rsid w:val="00EA1B33"/>
    <w:rsid w:val="00EA1D44"/>
    <w:rsid w:val="00EA1D72"/>
    <w:rsid w:val="00EA2525"/>
    <w:rsid w:val="00EA2A56"/>
    <w:rsid w:val="00EA438D"/>
    <w:rsid w:val="00EA43AA"/>
    <w:rsid w:val="00EA4607"/>
    <w:rsid w:val="00EA4826"/>
    <w:rsid w:val="00EA4A5E"/>
    <w:rsid w:val="00EA4C3E"/>
    <w:rsid w:val="00EA4CCB"/>
    <w:rsid w:val="00EA5B7F"/>
    <w:rsid w:val="00EA5DE6"/>
    <w:rsid w:val="00EA6F45"/>
    <w:rsid w:val="00EA75F2"/>
    <w:rsid w:val="00EA7ED7"/>
    <w:rsid w:val="00EA7F2A"/>
    <w:rsid w:val="00EB2071"/>
    <w:rsid w:val="00EB2274"/>
    <w:rsid w:val="00EB2F99"/>
    <w:rsid w:val="00EB3876"/>
    <w:rsid w:val="00EB3CFE"/>
    <w:rsid w:val="00EB41C5"/>
    <w:rsid w:val="00EB4954"/>
    <w:rsid w:val="00EB4AEF"/>
    <w:rsid w:val="00EB4DE5"/>
    <w:rsid w:val="00EB50CF"/>
    <w:rsid w:val="00EB5255"/>
    <w:rsid w:val="00EB526F"/>
    <w:rsid w:val="00EB56A8"/>
    <w:rsid w:val="00EB5B6B"/>
    <w:rsid w:val="00EB5C47"/>
    <w:rsid w:val="00EB5F78"/>
    <w:rsid w:val="00EB64DC"/>
    <w:rsid w:val="00EB66D6"/>
    <w:rsid w:val="00EB6B6D"/>
    <w:rsid w:val="00EB7217"/>
    <w:rsid w:val="00EB7284"/>
    <w:rsid w:val="00EB7936"/>
    <w:rsid w:val="00EB7DEE"/>
    <w:rsid w:val="00EC0B1E"/>
    <w:rsid w:val="00EC137D"/>
    <w:rsid w:val="00EC178A"/>
    <w:rsid w:val="00EC1C51"/>
    <w:rsid w:val="00EC1EA4"/>
    <w:rsid w:val="00EC25AD"/>
    <w:rsid w:val="00EC388C"/>
    <w:rsid w:val="00EC5430"/>
    <w:rsid w:val="00EC5E0D"/>
    <w:rsid w:val="00EC5F05"/>
    <w:rsid w:val="00EC5F82"/>
    <w:rsid w:val="00EC66BE"/>
    <w:rsid w:val="00EC6803"/>
    <w:rsid w:val="00EC68A2"/>
    <w:rsid w:val="00EC6A41"/>
    <w:rsid w:val="00EC70EB"/>
    <w:rsid w:val="00EC7617"/>
    <w:rsid w:val="00EC7A56"/>
    <w:rsid w:val="00EC7E21"/>
    <w:rsid w:val="00ED0639"/>
    <w:rsid w:val="00ED09BA"/>
    <w:rsid w:val="00ED0BDF"/>
    <w:rsid w:val="00ED1F56"/>
    <w:rsid w:val="00ED2651"/>
    <w:rsid w:val="00ED2F7E"/>
    <w:rsid w:val="00ED3995"/>
    <w:rsid w:val="00ED3E2D"/>
    <w:rsid w:val="00ED446B"/>
    <w:rsid w:val="00ED4B56"/>
    <w:rsid w:val="00ED4C69"/>
    <w:rsid w:val="00ED6936"/>
    <w:rsid w:val="00ED6C79"/>
    <w:rsid w:val="00ED749E"/>
    <w:rsid w:val="00ED7E07"/>
    <w:rsid w:val="00EE0030"/>
    <w:rsid w:val="00EE017A"/>
    <w:rsid w:val="00EE0E96"/>
    <w:rsid w:val="00EE13C2"/>
    <w:rsid w:val="00EE1B91"/>
    <w:rsid w:val="00EE1C8D"/>
    <w:rsid w:val="00EE21E4"/>
    <w:rsid w:val="00EE230C"/>
    <w:rsid w:val="00EE2535"/>
    <w:rsid w:val="00EE2CA4"/>
    <w:rsid w:val="00EE2E2A"/>
    <w:rsid w:val="00EE3479"/>
    <w:rsid w:val="00EE370A"/>
    <w:rsid w:val="00EE3B0A"/>
    <w:rsid w:val="00EE4145"/>
    <w:rsid w:val="00EE43E8"/>
    <w:rsid w:val="00EE4603"/>
    <w:rsid w:val="00EE471E"/>
    <w:rsid w:val="00EE4949"/>
    <w:rsid w:val="00EE4F73"/>
    <w:rsid w:val="00EE4FC0"/>
    <w:rsid w:val="00EE5150"/>
    <w:rsid w:val="00EE5922"/>
    <w:rsid w:val="00EE5CFD"/>
    <w:rsid w:val="00EE6273"/>
    <w:rsid w:val="00EE67E7"/>
    <w:rsid w:val="00EE69C2"/>
    <w:rsid w:val="00EE6FDD"/>
    <w:rsid w:val="00EE71C0"/>
    <w:rsid w:val="00EE720A"/>
    <w:rsid w:val="00EF0295"/>
    <w:rsid w:val="00EF06A9"/>
    <w:rsid w:val="00EF0B4B"/>
    <w:rsid w:val="00EF0C53"/>
    <w:rsid w:val="00EF1479"/>
    <w:rsid w:val="00EF1BA5"/>
    <w:rsid w:val="00EF1D1A"/>
    <w:rsid w:val="00EF274D"/>
    <w:rsid w:val="00EF27CC"/>
    <w:rsid w:val="00EF2A7C"/>
    <w:rsid w:val="00EF312C"/>
    <w:rsid w:val="00EF3D6F"/>
    <w:rsid w:val="00EF404D"/>
    <w:rsid w:val="00EF4755"/>
    <w:rsid w:val="00EF56C1"/>
    <w:rsid w:val="00EF5DC8"/>
    <w:rsid w:val="00EF60CA"/>
    <w:rsid w:val="00EF6483"/>
    <w:rsid w:val="00EF6716"/>
    <w:rsid w:val="00EF6A8F"/>
    <w:rsid w:val="00EF7135"/>
    <w:rsid w:val="00EF71BF"/>
    <w:rsid w:val="00EF747A"/>
    <w:rsid w:val="00EF75BE"/>
    <w:rsid w:val="00EF77F0"/>
    <w:rsid w:val="00EF7B3E"/>
    <w:rsid w:val="00EF7D08"/>
    <w:rsid w:val="00F0048E"/>
    <w:rsid w:val="00F005FD"/>
    <w:rsid w:val="00F009E9"/>
    <w:rsid w:val="00F00C7B"/>
    <w:rsid w:val="00F014AB"/>
    <w:rsid w:val="00F01A2A"/>
    <w:rsid w:val="00F01EF0"/>
    <w:rsid w:val="00F02221"/>
    <w:rsid w:val="00F027DB"/>
    <w:rsid w:val="00F02ACC"/>
    <w:rsid w:val="00F02BD8"/>
    <w:rsid w:val="00F03078"/>
    <w:rsid w:val="00F0349D"/>
    <w:rsid w:val="00F0394A"/>
    <w:rsid w:val="00F03DEB"/>
    <w:rsid w:val="00F04748"/>
    <w:rsid w:val="00F050A7"/>
    <w:rsid w:val="00F05317"/>
    <w:rsid w:val="00F05730"/>
    <w:rsid w:val="00F06A92"/>
    <w:rsid w:val="00F074E3"/>
    <w:rsid w:val="00F07ACA"/>
    <w:rsid w:val="00F1078A"/>
    <w:rsid w:val="00F10A76"/>
    <w:rsid w:val="00F10DB2"/>
    <w:rsid w:val="00F12096"/>
    <w:rsid w:val="00F1280C"/>
    <w:rsid w:val="00F12DB4"/>
    <w:rsid w:val="00F1411F"/>
    <w:rsid w:val="00F14A7A"/>
    <w:rsid w:val="00F14BFC"/>
    <w:rsid w:val="00F14E29"/>
    <w:rsid w:val="00F14E74"/>
    <w:rsid w:val="00F14EB3"/>
    <w:rsid w:val="00F16097"/>
    <w:rsid w:val="00F163FF"/>
    <w:rsid w:val="00F16430"/>
    <w:rsid w:val="00F16AA5"/>
    <w:rsid w:val="00F16C76"/>
    <w:rsid w:val="00F1729D"/>
    <w:rsid w:val="00F17752"/>
    <w:rsid w:val="00F179D9"/>
    <w:rsid w:val="00F20B68"/>
    <w:rsid w:val="00F21053"/>
    <w:rsid w:val="00F22985"/>
    <w:rsid w:val="00F23176"/>
    <w:rsid w:val="00F233C3"/>
    <w:rsid w:val="00F234AA"/>
    <w:rsid w:val="00F24568"/>
    <w:rsid w:val="00F247D6"/>
    <w:rsid w:val="00F24E5E"/>
    <w:rsid w:val="00F24E71"/>
    <w:rsid w:val="00F25014"/>
    <w:rsid w:val="00F25279"/>
    <w:rsid w:val="00F269E9"/>
    <w:rsid w:val="00F26A32"/>
    <w:rsid w:val="00F27291"/>
    <w:rsid w:val="00F277FD"/>
    <w:rsid w:val="00F27C22"/>
    <w:rsid w:val="00F30E8D"/>
    <w:rsid w:val="00F31196"/>
    <w:rsid w:val="00F31295"/>
    <w:rsid w:val="00F31616"/>
    <w:rsid w:val="00F316E0"/>
    <w:rsid w:val="00F31E0A"/>
    <w:rsid w:val="00F32407"/>
    <w:rsid w:val="00F326BF"/>
    <w:rsid w:val="00F32BC3"/>
    <w:rsid w:val="00F33579"/>
    <w:rsid w:val="00F33584"/>
    <w:rsid w:val="00F3383E"/>
    <w:rsid w:val="00F344FC"/>
    <w:rsid w:val="00F3452F"/>
    <w:rsid w:val="00F347E9"/>
    <w:rsid w:val="00F3527B"/>
    <w:rsid w:val="00F35A43"/>
    <w:rsid w:val="00F35A67"/>
    <w:rsid w:val="00F35EBE"/>
    <w:rsid w:val="00F35F3F"/>
    <w:rsid w:val="00F35F61"/>
    <w:rsid w:val="00F36316"/>
    <w:rsid w:val="00F36527"/>
    <w:rsid w:val="00F36543"/>
    <w:rsid w:val="00F3716B"/>
    <w:rsid w:val="00F40033"/>
    <w:rsid w:val="00F40130"/>
    <w:rsid w:val="00F40A08"/>
    <w:rsid w:val="00F411B5"/>
    <w:rsid w:val="00F4131F"/>
    <w:rsid w:val="00F41947"/>
    <w:rsid w:val="00F42173"/>
    <w:rsid w:val="00F42904"/>
    <w:rsid w:val="00F42B5F"/>
    <w:rsid w:val="00F42DA8"/>
    <w:rsid w:val="00F43B97"/>
    <w:rsid w:val="00F43D3C"/>
    <w:rsid w:val="00F44872"/>
    <w:rsid w:val="00F44C4B"/>
    <w:rsid w:val="00F44DC6"/>
    <w:rsid w:val="00F44E3B"/>
    <w:rsid w:val="00F4548B"/>
    <w:rsid w:val="00F45B3B"/>
    <w:rsid w:val="00F45CA0"/>
    <w:rsid w:val="00F45CCC"/>
    <w:rsid w:val="00F45E03"/>
    <w:rsid w:val="00F4612A"/>
    <w:rsid w:val="00F46249"/>
    <w:rsid w:val="00F465A7"/>
    <w:rsid w:val="00F472BE"/>
    <w:rsid w:val="00F47A72"/>
    <w:rsid w:val="00F5010A"/>
    <w:rsid w:val="00F505D5"/>
    <w:rsid w:val="00F50B7C"/>
    <w:rsid w:val="00F50DC9"/>
    <w:rsid w:val="00F50F66"/>
    <w:rsid w:val="00F50FAA"/>
    <w:rsid w:val="00F5126C"/>
    <w:rsid w:val="00F51295"/>
    <w:rsid w:val="00F516D1"/>
    <w:rsid w:val="00F51F9D"/>
    <w:rsid w:val="00F521D0"/>
    <w:rsid w:val="00F52390"/>
    <w:rsid w:val="00F52B48"/>
    <w:rsid w:val="00F53739"/>
    <w:rsid w:val="00F5393C"/>
    <w:rsid w:val="00F5446F"/>
    <w:rsid w:val="00F546C6"/>
    <w:rsid w:val="00F550E6"/>
    <w:rsid w:val="00F5638D"/>
    <w:rsid w:val="00F5686A"/>
    <w:rsid w:val="00F57158"/>
    <w:rsid w:val="00F571CB"/>
    <w:rsid w:val="00F57EF4"/>
    <w:rsid w:val="00F6054F"/>
    <w:rsid w:val="00F614B2"/>
    <w:rsid w:val="00F61A55"/>
    <w:rsid w:val="00F63AD5"/>
    <w:rsid w:val="00F647A5"/>
    <w:rsid w:val="00F64BDA"/>
    <w:rsid w:val="00F64E32"/>
    <w:rsid w:val="00F65677"/>
    <w:rsid w:val="00F65D3F"/>
    <w:rsid w:val="00F65FC8"/>
    <w:rsid w:val="00F66888"/>
    <w:rsid w:val="00F67450"/>
    <w:rsid w:val="00F6790C"/>
    <w:rsid w:val="00F67EC1"/>
    <w:rsid w:val="00F70177"/>
    <w:rsid w:val="00F702D7"/>
    <w:rsid w:val="00F71148"/>
    <w:rsid w:val="00F71153"/>
    <w:rsid w:val="00F715E8"/>
    <w:rsid w:val="00F715EC"/>
    <w:rsid w:val="00F71AB5"/>
    <w:rsid w:val="00F71D51"/>
    <w:rsid w:val="00F72713"/>
    <w:rsid w:val="00F72A0A"/>
    <w:rsid w:val="00F72AC4"/>
    <w:rsid w:val="00F72CC1"/>
    <w:rsid w:val="00F72F2A"/>
    <w:rsid w:val="00F73A5C"/>
    <w:rsid w:val="00F74345"/>
    <w:rsid w:val="00F749DA"/>
    <w:rsid w:val="00F74BB7"/>
    <w:rsid w:val="00F74F73"/>
    <w:rsid w:val="00F7543D"/>
    <w:rsid w:val="00F759CC"/>
    <w:rsid w:val="00F7685F"/>
    <w:rsid w:val="00F76AE6"/>
    <w:rsid w:val="00F76ECA"/>
    <w:rsid w:val="00F77156"/>
    <w:rsid w:val="00F775E5"/>
    <w:rsid w:val="00F77AE4"/>
    <w:rsid w:val="00F77D7B"/>
    <w:rsid w:val="00F80390"/>
    <w:rsid w:val="00F80A0A"/>
    <w:rsid w:val="00F80C52"/>
    <w:rsid w:val="00F814AA"/>
    <w:rsid w:val="00F816CE"/>
    <w:rsid w:val="00F82583"/>
    <w:rsid w:val="00F82733"/>
    <w:rsid w:val="00F8295B"/>
    <w:rsid w:val="00F829BC"/>
    <w:rsid w:val="00F82B19"/>
    <w:rsid w:val="00F82BF7"/>
    <w:rsid w:val="00F83372"/>
    <w:rsid w:val="00F83903"/>
    <w:rsid w:val="00F83DEB"/>
    <w:rsid w:val="00F84264"/>
    <w:rsid w:val="00F84457"/>
    <w:rsid w:val="00F849E7"/>
    <w:rsid w:val="00F84FFE"/>
    <w:rsid w:val="00F85030"/>
    <w:rsid w:val="00F8533C"/>
    <w:rsid w:val="00F859AA"/>
    <w:rsid w:val="00F85BDF"/>
    <w:rsid w:val="00F867E3"/>
    <w:rsid w:val="00F87218"/>
    <w:rsid w:val="00F90076"/>
    <w:rsid w:val="00F9021E"/>
    <w:rsid w:val="00F90361"/>
    <w:rsid w:val="00F90409"/>
    <w:rsid w:val="00F9060E"/>
    <w:rsid w:val="00F90F0B"/>
    <w:rsid w:val="00F91797"/>
    <w:rsid w:val="00F9212D"/>
    <w:rsid w:val="00F9246F"/>
    <w:rsid w:val="00F92745"/>
    <w:rsid w:val="00F92751"/>
    <w:rsid w:val="00F928D2"/>
    <w:rsid w:val="00F92CE0"/>
    <w:rsid w:val="00F9327B"/>
    <w:rsid w:val="00F9341C"/>
    <w:rsid w:val="00F934C2"/>
    <w:rsid w:val="00F936B1"/>
    <w:rsid w:val="00F936BD"/>
    <w:rsid w:val="00F937E2"/>
    <w:rsid w:val="00F94156"/>
    <w:rsid w:val="00F944FB"/>
    <w:rsid w:val="00F945FD"/>
    <w:rsid w:val="00F95F1E"/>
    <w:rsid w:val="00F965DA"/>
    <w:rsid w:val="00F972F4"/>
    <w:rsid w:val="00F974EC"/>
    <w:rsid w:val="00FA0081"/>
    <w:rsid w:val="00FA01D6"/>
    <w:rsid w:val="00FA0750"/>
    <w:rsid w:val="00FA0BA0"/>
    <w:rsid w:val="00FA142A"/>
    <w:rsid w:val="00FA1478"/>
    <w:rsid w:val="00FA14D4"/>
    <w:rsid w:val="00FA1742"/>
    <w:rsid w:val="00FA17F5"/>
    <w:rsid w:val="00FA1E87"/>
    <w:rsid w:val="00FA216D"/>
    <w:rsid w:val="00FA23C5"/>
    <w:rsid w:val="00FA2E79"/>
    <w:rsid w:val="00FA3151"/>
    <w:rsid w:val="00FA406A"/>
    <w:rsid w:val="00FA41F3"/>
    <w:rsid w:val="00FA45AA"/>
    <w:rsid w:val="00FA460A"/>
    <w:rsid w:val="00FA4743"/>
    <w:rsid w:val="00FA4FCD"/>
    <w:rsid w:val="00FA5B03"/>
    <w:rsid w:val="00FA5EC7"/>
    <w:rsid w:val="00FA6FF4"/>
    <w:rsid w:val="00FA747A"/>
    <w:rsid w:val="00FA7C63"/>
    <w:rsid w:val="00FB0601"/>
    <w:rsid w:val="00FB168F"/>
    <w:rsid w:val="00FB17BF"/>
    <w:rsid w:val="00FB17FA"/>
    <w:rsid w:val="00FB1BA4"/>
    <w:rsid w:val="00FB2021"/>
    <w:rsid w:val="00FB2246"/>
    <w:rsid w:val="00FB2A43"/>
    <w:rsid w:val="00FB2FD0"/>
    <w:rsid w:val="00FB319E"/>
    <w:rsid w:val="00FB31C4"/>
    <w:rsid w:val="00FB3E49"/>
    <w:rsid w:val="00FB3F6F"/>
    <w:rsid w:val="00FB43A0"/>
    <w:rsid w:val="00FB48E9"/>
    <w:rsid w:val="00FB503A"/>
    <w:rsid w:val="00FB516C"/>
    <w:rsid w:val="00FB52CF"/>
    <w:rsid w:val="00FB5966"/>
    <w:rsid w:val="00FB5E12"/>
    <w:rsid w:val="00FB60F1"/>
    <w:rsid w:val="00FB629A"/>
    <w:rsid w:val="00FB6A3A"/>
    <w:rsid w:val="00FB6DD0"/>
    <w:rsid w:val="00FB7277"/>
    <w:rsid w:val="00FB75F4"/>
    <w:rsid w:val="00FB78EA"/>
    <w:rsid w:val="00FB7A0B"/>
    <w:rsid w:val="00FC02C8"/>
    <w:rsid w:val="00FC04B0"/>
    <w:rsid w:val="00FC055F"/>
    <w:rsid w:val="00FC0603"/>
    <w:rsid w:val="00FC066F"/>
    <w:rsid w:val="00FC0B24"/>
    <w:rsid w:val="00FC0F6A"/>
    <w:rsid w:val="00FC18F3"/>
    <w:rsid w:val="00FC218B"/>
    <w:rsid w:val="00FC2BFD"/>
    <w:rsid w:val="00FC4C3D"/>
    <w:rsid w:val="00FC4C5A"/>
    <w:rsid w:val="00FC5102"/>
    <w:rsid w:val="00FC554E"/>
    <w:rsid w:val="00FC5827"/>
    <w:rsid w:val="00FC5E65"/>
    <w:rsid w:val="00FC6620"/>
    <w:rsid w:val="00FC6AC6"/>
    <w:rsid w:val="00FC6F87"/>
    <w:rsid w:val="00FC7735"/>
    <w:rsid w:val="00FD0236"/>
    <w:rsid w:val="00FD0419"/>
    <w:rsid w:val="00FD0867"/>
    <w:rsid w:val="00FD1169"/>
    <w:rsid w:val="00FD175B"/>
    <w:rsid w:val="00FD1806"/>
    <w:rsid w:val="00FD18F4"/>
    <w:rsid w:val="00FD192B"/>
    <w:rsid w:val="00FD1D6C"/>
    <w:rsid w:val="00FD1FCC"/>
    <w:rsid w:val="00FD260B"/>
    <w:rsid w:val="00FD2E3D"/>
    <w:rsid w:val="00FD2EBF"/>
    <w:rsid w:val="00FD345D"/>
    <w:rsid w:val="00FD351D"/>
    <w:rsid w:val="00FD41BF"/>
    <w:rsid w:val="00FD4C1F"/>
    <w:rsid w:val="00FD4E11"/>
    <w:rsid w:val="00FD54DB"/>
    <w:rsid w:val="00FD57EC"/>
    <w:rsid w:val="00FD5A2E"/>
    <w:rsid w:val="00FD5BDC"/>
    <w:rsid w:val="00FD619F"/>
    <w:rsid w:val="00FD6428"/>
    <w:rsid w:val="00FD6F78"/>
    <w:rsid w:val="00FD7666"/>
    <w:rsid w:val="00FD7DCF"/>
    <w:rsid w:val="00FE038E"/>
    <w:rsid w:val="00FE0964"/>
    <w:rsid w:val="00FE0D26"/>
    <w:rsid w:val="00FE0F27"/>
    <w:rsid w:val="00FE1B88"/>
    <w:rsid w:val="00FE1CAC"/>
    <w:rsid w:val="00FE1EFC"/>
    <w:rsid w:val="00FE2333"/>
    <w:rsid w:val="00FE287C"/>
    <w:rsid w:val="00FE307A"/>
    <w:rsid w:val="00FE337C"/>
    <w:rsid w:val="00FE3834"/>
    <w:rsid w:val="00FE3B4C"/>
    <w:rsid w:val="00FE3E35"/>
    <w:rsid w:val="00FE4561"/>
    <w:rsid w:val="00FE491A"/>
    <w:rsid w:val="00FE4BDE"/>
    <w:rsid w:val="00FE4BEB"/>
    <w:rsid w:val="00FE5021"/>
    <w:rsid w:val="00FE6104"/>
    <w:rsid w:val="00FF08CB"/>
    <w:rsid w:val="00FF0FAB"/>
    <w:rsid w:val="00FF12D9"/>
    <w:rsid w:val="00FF12FC"/>
    <w:rsid w:val="00FF1411"/>
    <w:rsid w:val="00FF1A28"/>
    <w:rsid w:val="00FF1E0B"/>
    <w:rsid w:val="00FF1EC5"/>
    <w:rsid w:val="00FF253E"/>
    <w:rsid w:val="00FF3002"/>
    <w:rsid w:val="00FF31DE"/>
    <w:rsid w:val="00FF3247"/>
    <w:rsid w:val="00FF3A46"/>
    <w:rsid w:val="00FF3D98"/>
    <w:rsid w:val="00FF3ECC"/>
    <w:rsid w:val="00FF46C3"/>
    <w:rsid w:val="00FF49AA"/>
    <w:rsid w:val="00FF60CD"/>
    <w:rsid w:val="00FF6D09"/>
    <w:rsid w:val="00FF7182"/>
    <w:rsid w:val="00FF728C"/>
    <w:rsid w:val="00FF72CF"/>
    <w:rsid w:val="00FF7704"/>
    <w:rsid w:val="00FF7884"/>
    <w:rsid w:val="00FF78D3"/>
    <w:rsid w:val="00FF7E5B"/>
    <w:rsid w:val="01290F7E"/>
    <w:rsid w:val="01554018"/>
    <w:rsid w:val="015D1E09"/>
    <w:rsid w:val="02697903"/>
    <w:rsid w:val="02F96569"/>
    <w:rsid w:val="033B6B53"/>
    <w:rsid w:val="03CC7D58"/>
    <w:rsid w:val="03EA7B21"/>
    <w:rsid w:val="04E2291E"/>
    <w:rsid w:val="05F83EAE"/>
    <w:rsid w:val="06175B38"/>
    <w:rsid w:val="062D2928"/>
    <w:rsid w:val="063E7D85"/>
    <w:rsid w:val="07293586"/>
    <w:rsid w:val="07295285"/>
    <w:rsid w:val="0743608A"/>
    <w:rsid w:val="07636392"/>
    <w:rsid w:val="07770C56"/>
    <w:rsid w:val="07CC7F2C"/>
    <w:rsid w:val="092217DD"/>
    <w:rsid w:val="093323B3"/>
    <w:rsid w:val="093A7294"/>
    <w:rsid w:val="0A0E3641"/>
    <w:rsid w:val="0A263993"/>
    <w:rsid w:val="0A2D3AC2"/>
    <w:rsid w:val="0AA755DF"/>
    <w:rsid w:val="0B120D44"/>
    <w:rsid w:val="0BD27BF6"/>
    <w:rsid w:val="0C3B3C7D"/>
    <w:rsid w:val="0CAB2EAE"/>
    <w:rsid w:val="0CC71F56"/>
    <w:rsid w:val="0D113D64"/>
    <w:rsid w:val="0D621C7D"/>
    <w:rsid w:val="0DE87F42"/>
    <w:rsid w:val="0E223969"/>
    <w:rsid w:val="0E73034D"/>
    <w:rsid w:val="0F13775A"/>
    <w:rsid w:val="0F5F45FE"/>
    <w:rsid w:val="0F9A112B"/>
    <w:rsid w:val="106D2F64"/>
    <w:rsid w:val="1087320A"/>
    <w:rsid w:val="10B6215B"/>
    <w:rsid w:val="10B63710"/>
    <w:rsid w:val="10F10820"/>
    <w:rsid w:val="111C2F7A"/>
    <w:rsid w:val="11665CA1"/>
    <w:rsid w:val="11E42B84"/>
    <w:rsid w:val="12AA36D7"/>
    <w:rsid w:val="13951726"/>
    <w:rsid w:val="14396509"/>
    <w:rsid w:val="14DD2C3C"/>
    <w:rsid w:val="152B6C59"/>
    <w:rsid w:val="16087E1D"/>
    <w:rsid w:val="173617ED"/>
    <w:rsid w:val="17701D14"/>
    <w:rsid w:val="17735226"/>
    <w:rsid w:val="184937A9"/>
    <w:rsid w:val="189F624C"/>
    <w:rsid w:val="197B3015"/>
    <w:rsid w:val="1A1C66C0"/>
    <w:rsid w:val="1A42393B"/>
    <w:rsid w:val="1A7E1329"/>
    <w:rsid w:val="1AAD45DE"/>
    <w:rsid w:val="1B046F80"/>
    <w:rsid w:val="1B3267B5"/>
    <w:rsid w:val="1B40161D"/>
    <w:rsid w:val="1B441859"/>
    <w:rsid w:val="1B6606B1"/>
    <w:rsid w:val="1C5E7925"/>
    <w:rsid w:val="1CFD070F"/>
    <w:rsid w:val="1D1C6804"/>
    <w:rsid w:val="1D290E23"/>
    <w:rsid w:val="1D5F6196"/>
    <w:rsid w:val="1D6132A5"/>
    <w:rsid w:val="1D8E56D5"/>
    <w:rsid w:val="1DAC0C48"/>
    <w:rsid w:val="1DF04F18"/>
    <w:rsid w:val="1E7A43DA"/>
    <w:rsid w:val="1F3B212E"/>
    <w:rsid w:val="1FE7539E"/>
    <w:rsid w:val="200B517A"/>
    <w:rsid w:val="20671BE0"/>
    <w:rsid w:val="20963CB8"/>
    <w:rsid w:val="20A81A1B"/>
    <w:rsid w:val="20B07FB6"/>
    <w:rsid w:val="20B646FB"/>
    <w:rsid w:val="213B74B1"/>
    <w:rsid w:val="215A2310"/>
    <w:rsid w:val="2173155D"/>
    <w:rsid w:val="21DE318A"/>
    <w:rsid w:val="21EF5B80"/>
    <w:rsid w:val="22576990"/>
    <w:rsid w:val="22E80F0C"/>
    <w:rsid w:val="22F47480"/>
    <w:rsid w:val="23DE1C48"/>
    <w:rsid w:val="240210CD"/>
    <w:rsid w:val="245940B7"/>
    <w:rsid w:val="24BF09F7"/>
    <w:rsid w:val="24C058C1"/>
    <w:rsid w:val="252D53FE"/>
    <w:rsid w:val="255F7F40"/>
    <w:rsid w:val="25EC2D81"/>
    <w:rsid w:val="277057A2"/>
    <w:rsid w:val="29206EB8"/>
    <w:rsid w:val="29595666"/>
    <w:rsid w:val="29874881"/>
    <w:rsid w:val="29E325E0"/>
    <w:rsid w:val="2A184260"/>
    <w:rsid w:val="2A452503"/>
    <w:rsid w:val="2A60727F"/>
    <w:rsid w:val="2B310D94"/>
    <w:rsid w:val="2BA936A8"/>
    <w:rsid w:val="2C315A5A"/>
    <w:rsid w:val="2C4B1C25"/>
    <w:rsid w:val="2C80441E"/>
    <w:rsid w:val="2D266058"/>
    <w:rsid w:val="2D9E56F5"/>
    <w:rsid w:val="2DDE19B8"/>
    <w:rsid w:val="2E581A9B"/>
    <w:rsid w:val="2E667F96"/>
    <w:rsid w:val="2E8226AB"/>
    <w:rsid w:val="2FD065E6"/>
    <w:rsid w:val="2FD96870"/>
    <w:rsid w:val="30580BC9"/>
    <w:rsid w:val="311E2ED7"/>
    <w:rsid w:val="315619EE"/>
    <w:rsid w:val="315C449C"/>
    <w:rsid w:val="31B82709"/>
    <w:rsid w:val="31D05482"/>
    <w:rsid w:val="3206059A"/>
    <w:rsid w:val="32400B34"/>
    <w:rsid w:val="329E6876"/>
    <w:rsid w:val="33003A43"/>
    <w:rsid w:val="333015F2"/>
    <w:rsid w:val="33387C84"/>
    <w:rsid w:val="334B6320"/>
    <w:rsid w:val="33AB1146"/>
    <w:rsid w:val="33D41194"/>
    <w:rsid w:val="33D934D4"/>
    <w:rsid w:val="33FE2F6A"/>
    <w:rsid w:val="33FE7F15"/>
    <w:rsid w:val="340E07E5"/>
    <w:rsid w:val="34235BF7"/>
    <w:rsid w:val="358C5FA8"/>
    <w:rsid w:val="358D104A"/>
    <w:rsid w:val="35C15DF1"/>
    <w:rsid w:val="36074A7F"/>
    <w:rsid w:val="36923549"/>
    <w:rsid w:val="36B75FBF"/>
    <w:rsid w:val="36BD0C45"/>
    <w:rsid w:val="37AF276E"/>
    <w:rsid w:val="37C93160"/>
    <w:rsid w:val="37E00298"/>
    <w:rsid w:val="38B302F9"/>
    <w:rsid w:val="38F12CD3"/>
    <w:rsid w:val="38F94775"/>
    <w:rsid w:val="38FD1665"/>
    <w:rsid w:val="392971ED"/>
    <w:rsid w:val="39325651"/>
    <w:rsid w:val="398020F9"/>
    <w:rsid w:val="3A872856"/>
    <w:rsid w:val="3B3763D1"/>
    <w:rsid w:val="3C0B1789"/>
    <w:rsid w:val="3C2F6E1E"/>
    <w:rsid w:val="3C4F64BA"/>
    <w:rsid w:val="3CDA245A"/>
    <w:rsid w:val="3D1E06B7"/>
    <w:rsid w:val="3D36157D"/>
    <w:rsid w:val="3E044E31"/>
    <w:rsid w:val="3E333ECC"/>
    <w:rsid w:val="3EDA0523"/>
    <w:rsid w:val="3FBE53EB"/>
    <w:rsid w:val="3FC14044"/>
    <w:rsid w:val="407A6407"/>
    <w:rsid w:val="4200449D"/>
    <w:rsid w:val="423A3BCC"/>
    <w:rsid w:val="424E57D2"/>
    <w:rsid w:val="42B26C49"/>
    <w:rsid w:val="433A6FE6"/>
    <w:rsid w:val="43480868"/>
    <w:rsid w:val="4350713C"/>
    <w:rsid w:val="436653E0"/>
    <w:rsid w:val="43C4431A"/>
    <w:rsid w:val="44817D97"/>
    <w:rsid w:val="44B951CC"/>
    <w:rsid w:val="44CD14E0"/>
    <w:rsid w:val="44F20B0B"/>
    <w:rsid w:val="452E5F4C"/>
    <w:rsid w:val="45612018"/>
    <w:rsid w:val="458946E9"/>
    <w:rsid w:val="45A13560"/>
    <w:rsid w:val="45A47C0E"/>
    <w:rsid w:val="46577FD6"/>
    <w:rsid w:val="46592743"/>
    <w:rsid w:val="46D955A7"/>
    <w:rsid w:val="47133957"/>
    <w:rsid w:val="47A07E0C"/>
    <w:rsid w:val="4870272E"/>
    <w:rsid w:val="488B25AC"/>
    <w:rsid w:val="49AE7064"/>
    <w:rsid w:val="49DC7715"/>
    <w:rsid w:val="4A023139"/>
    <w:rsid w:val="4A7B576F"/>
    <w:rsid w:val="4AF561A9"/>
    <w:rsid w:val="4B075EE2"/>
    <w:rsid w:val="4B635A85"/>
    <w:rsid w:val="4C4A0649"/>
    <w:rsid w:val="4C5A4D5C"/>
    <w:rsid w:val="4C7E5ECA"/>
    <w:rsid w:val="4C876AA5"/>
    <w:rsid w:val="4D0E00FB"/>
    <w:rsid w:val="4D176606"/>
    <w:rsid w:val="4DEC4FB0"/>
    <w:rsid w:val="4E075D8A"/>
    <w:rsid w:val="4EC00FAD"/>
    <w:rsid w:val="4F9843DC"/>
    <w:rsid w:val="4FC62A8C"/>
    <w:rsid w:val="4FE20F0D"/>
    <w:rsid w:val="4FE51552"/>
    <w:rsid w:val="50504C4B"/>
    <w:rsid w:val="509C6E7C"/>
    <w:rsid w:val="5162104E"/>
    <w:rsid w:val="52882135"/>
    <w:rsid w:val="533344E0"/>
    <w:rsid w:val="53A039CC"/>
    <w:rsid w:val="53A1505A"/>
    <w:rsid w:val="54063E08"/>
    <w:rsid w:val="543437E8"/>
    <w:rsid w:val="54F73313"/>
    <w:rsid w:val="54F80955"/>
    <w:rsid w:val="555170A7"/>
    <w:rsid w:val="5587536D"/>
    <w:rsid w:val="559B174B"/>
    <w:rsid w:val="55CE0CF4"/>
    <w:rsid w:val="56534C6F"/>
    <w:rsid w:val="566436DB"/>
    <w:rsid w:val="56B22A9C"/>
    <w:rsid w:val="56FE03AE"/>
    <w:rsid w:val="57B72A76"/>
    <w:rsid w:val="57C3426C"/>
    <w:rsid w:val="57CE1F93"/>
    <w:rsid w:val="57EA64D7"/>
    <w:rsid w:val="58583CEB"/>
    <w:rsid w:val="588743D1"/>
    <w:rsid w:val="5887701A"/>
    <w:rsid w:val="59BF0B70"/>
    <w:rsid w:val="59C0439F"/>
    <w:rsid w:val="5ABE2233"/>
    <w:rsid w:val="5B105E6C"/>
    <w:rsid w:val="5B615919"/>
    <w:rsid w:val="5BDF5D95"/>
    <w:rsid w:val="5BEA6196"/>
    <w:rsid w:val="5BFE7528"/>
    <w:rsid w:val="5DE92AE3"/>
    <w:rsid w:val="5E2467F1"/>
    <w:rsid w:val="5E776685"/>
    <w:rsid w:val="5E906082"/>
    <w:rsid w:val="5ED96DAD"/>
    <w:rsid w:val="5F1A2B43"/>
    <w:rsid w:val="5FB837BB"/>
    <w:rsid w:val="5FE22BDF"/>
    <w:rsid w:val="60CC405A"/>
    <w:rsid w:val="60ED4EDF"/>
    <w:rsid w:val="611A28E3"/>
    <w:rsid w:val="61E215D8"/>
    <w:rsid w:val="621B1D41"/>
    <w:rsid w:val="621B3775"/>
    <w:rsid w:val="62364782"/>
    <w:rsid w:val="6394356A"/>
    <w:rsid w:val="63C61B2C"/>
    <w:rsid w:val="63D40BE9"/>
    <w:rsid w:val="64102431"/>
    <w:rsid w:val="64A5243A"/>
    <w:rsid w:val="64F531DE"/>
    <w:rsid w:val="650B7A25"/>
    <w:rsid w:val="65373578"/>
    <w:rsid w:val="65C87FE3"/>
    <w:rsid w:val="671F124A"/>
    <w:rsid w:val="677A33C6"/>
    <w:rsid w:val="681F6961"/>
    <w:rsid w:val="68610A2F"/>
    <w:rsid w:val="68805514"/>
    <w:rsid w:val="690577E1"/>
    <w:rsid w:val="69316E2F"/>
    <w:rsid w:val="694E2071"/>
    <w:rsid w:val="69766163"/>
    <w:rsid w:val="697A3B33"/>
    <w:rsid w:val="69D44760"/>
    <w:rsid w:val="6A520EC7"/>
    <w:rsid w:val="6AF87E20"/>
    <w:rsid w:val="6B322639"/>
    <w:rsid w:val="6BE00173"/>
    <w:rsid w:val="6C393ADD"/>
    <w:rsid w:val="6C636C38"/>
    <w:rsid w:val="6DAB4896"/>
    <w:rsid w:val="6DB34098"/>
    <w:rsid w:val="6DB545B6"/>
    <w:rsid w:val="6DE02FB4"/>
    <w:rsid w:val="6E514CED"/>
    <w:rsid w:val="6EB563D5"/>
    <w:rsid w:val="6ED46B39"/>
    <w:rsid w:val="6ED92677"/>
    <w:rsid w:val="6F225983"/>
    <w:rsid w:val="6FB17AA8"/>
    <w:rsid w:val="6FFC5590"/>
    <w:rsid w:val="706D1DD0"/>
    <w:rsid w:val="70856B87"/>
    <w:rsid w:val="70D527EE"/>
    <w:rsid w:val="715B5300"/>
    <w:rsid w:val="71A84E0E"/>
    <w:rsid w:val="71D27F8A"/>
    <w:rsid w:val="72553024"/>
    <w:rsid w:val="72E20F37"/>
    <w:rsid w:val="73122968"/>
    <w:rsid w:val="731F5D5E"/>
    <w:rsid w:val="73C51AD5"/>
    <w:rsid w:val="741E793C"/>
    <w:rsid w:val="745E3944"/>
    <w:rsid w:val="74A94BE2"/>
    <w:rsid w:val="7635099D"/>
    <w:rsid w:val="76B0089B"/>
    <w:rsid w:val="77762421"/>
    <w:rsid w:val="77B56B1F"/>
    <w:rsid w:val="77E84096"/>
    <w:rsid w:val="780F09F4"/>
    <w:rsid w:val="78A90480"/>
    <w:rsid w:val="78EA40CC"/>
    <w:rsid w:val="796E2504"/>
    <w:rsid w:val="7A282B0A"/>
    <w:rsid w:val="7A364017"/>
    <w:rsid w:val="7A8265E1"/>
    <w:rsid w:val="7AD16706"/>
    <w:rsid w:val="7B686D42"/>
    <w:rsid w:val="7B841746"/>
    <w:rsid w:val="7C6C5AC7"/>
    <w:rsid w:val="7CC6544B"/>
    <w:rsid w:val="7D0239FF"/>
    <w:rsid w:val="7D5E40CD"/>
    <w:rsid w:val="7DCD56F2"/>
    <w:rsid w:val="7F001CE7"/>
    <w:rsid w:val="7F02794A"/>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9" w:semiHidden="0" w:name="heading 2" w:locked="1"/>
    <w:lsdException w:qFormat="1" w:uiPriority="0" w:semiHidden="0" w:name="heading 3" w:locked="1"/>
    <w:lsdException w:qFormat="1" w:uiPriority="9"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qFormat="1" w:unhideWhenUsed="0" w:uiPriority="0" w:semiHidden="0" w:name="index 1" w:locked="1"/>
    <w:lsdException w:uiPriority="0" w:name="index 2" w:locked="1"/>
    <w:lsdException w:uiPriority="0" w:name="index 3" w:locked="1"/>
    <w:lsdException w:uiPriority="0" w:name="index 4" w:locked="1"/>
    <w:lsdException w:qFormat="1" w:unhideWhenUsed="0" w:uiPriority="0" w:semiHidden="0" w:name="index 5" w:locked="1"/>
    <w:lsdException w:uiPriority="0" w:name="index 6" w:locked="1"/>
    <w:lsdException w:uiPriority="0" w:name="index 7" w:locked="1"/>
    <w:lsdException w:uiPriority="0" w:name="index 8" w:locked="1"/>
    <w:lsdException w:qFormat="1" w:uiPriority="0" w:semiHidden="0" w:name="index 9" w:locked="1"/>
    <w:lsdException w:uiPriority="0" w:name="toc 1" w:locked="1"/>
    <w:lsdException w:uiPriority="0" w:name="toc 2" w:locked="1"/>
    <w:lsdException w:qFormat="1" w:unhideWhenUsed="0" w:uiPriority="0" w:semiHidden="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ocked="1"/>
    <w:lsdException w:uiPriority="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ocked="1"/>
    <w:lsdException w:qFormat="1" w:unhideWhenUsed="0" w:uiPriority="35"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0" w:semiHidden="0" w:name="annotation reference"/>
    <w:lsdException w:uiPriority="0" w:name="line number" w:locked="1"/>
    <w:lsdException w:qFormat="1" w:unhideWhenUsed="0" w:uiPriority="0" w:semiHidden="0" w:name="page number" w:locked="1"/>
    <w:lsdException w:qFormat="1" w:uiPriority="0" w:semiHidden="0" w:name="endnote reference" w:locked="1"/>
    <w:lsdException w:qFormat="1" w:uiPriority="0" w:semiHidden="0" w:name="endnote text" w:locked="1"/>
    <w:lsdException w:unhideWhenUsed="0" w:uiPriority="0" w:semiHidden="0" w:name="table of authorities" w:locked="1"/>
    <w:lsdException w:uiPriority="0" w:name="macro" w:locked="1"/>
    <w:lsdException w:uiPriority="0" w:name="toa heading" w:locked="1"/>
    <w:lsdException w:qFormat="1" w:unhideWhenUsed="0" w:uiPriority="0" w:semiHidden="0" w:name="List" w:locked="1"/>
    <w:lsdException w:qFormat="1" w:unhideWhenUsed="0" w:uiPriority="0" w:semiHidden="0" w:name="List Bullet" w:locked="1"/>
    <w:lsdException w:uiPriority="0" w:name="List Number" w:locked="1"/>
    <w:lsdException w:qFormat="1" w:uiPriority="0" w:semiHidden="0" w:name="List 2" w:locked="1"/>
    <w:lsdException w:uiPriority="0" w:name="List 3" w:locked="1"/>
    <w:lsdException w:uiPriority="0" w:name="List 4" w:locked="1"/>
    <w:lsdException w:uiPriority="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iPriority="0" w:name="Message Header" w:locked="1"/>
    <w:lsdException w:qFormat="1" w:unhideWhenUsed="0" w:uiPriority="11" w:semiHidden="0" w:name="Subtitle" w:locked="1"/>
    <w:lsdException w:uiPriority="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iPriority="0" w:name="Note Heading" w:locked="1"/>
    <w:lsdException w:qFormat="1" w:unhideWhenUsed="0" w:uiPriority="99"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99" w:semiHidden="0" w:name="Hyperlink" w:locked="1"/>
    <w:lsdException w:uiPriority="0" w:name="FollowedHyperlink" w:locked="1"/>
    <w:lsdException w:qFormat="1" w:unhideWhenUsed="0" w:uiPriority="0" w:semiHidden="0" w:name="Strong" w:locked="1"/>
    <w:lsdException w:qFormat="1" w:unhideWhenUsed="0" w:uiPriority="20" w:semiHidden="0" w:name="Emphasis" w:locked="1"/>
    <w:lsdException w:qFormat="1" w:unhideWhenUsed="0" w:uiPriority="0" w:semiHidden="0" w:name="Document Map" w:locked="1"/>
    <w:lsdException w:qFormat="1" w:unhideWhenUsed="0" w:uiPriority="0" w:semiHidden="0" w:name="Plain Text" w:locked="1"/>
    <w:lsdException w:qFormat="1" w:unhideWhenUsed="0" w:uiPriority="0" w:semiHidden="0" w:name="E-mail Signature" w:locked="1"/>
    <w:lsdException w:qFormat="1" w:unhideWhenUsed="0" w:uiPriority="0"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qFormat="1" w:unhideWhenUsed="0" w:uiPriority="0" w:semiHidden="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99" w:name="annotation subject"/>
    <w:lsdException w:uiPriority="0" w:name="Table Simple 1" w:locked="1"/>
    <w:lsdException w:uiPriority="0" w:name="Table Simple 2" w:locked="1"/>
    <w:lsdException w:uiPriority="0" w:name="Table Simple 3" w:locked="1"/>
    <w:lsdException w:qFormat="1"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99" w:name="Balloon Text"/>
    <w:lsdException w:qFormat="1" w:unhideWhenUsed="0" w:uiPriority="0" w:semiHidden="0" w:name="Table Grid"/>
    <w:lsdException w:uiPriority="0" w:name="Table Theme" w:locked="1"/>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02"/>
    <w:qFormat/>
    <w:locked/>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95"/>
    <w:qFormat/>
    <w:locked/>
    <w:uiPriority w:val="9"/>
    <w:pPr>
      <w:keepNext/>
      <w:keepLines/>
      <w:tabs>
        <w:tab w:val="left" w:pos="1276"/>
      </w:tabs>
      <w:adjustRightInd w:val="0"/>
      <w:spacing w:before="100" w:after="100" w:line="360" w:lineRule="auto"/>
      <w:ind w:left="851"/>
      <w:jc w:val="left"/>
      <w:textAlignment w:val="baseline"/>
      <w:outlineLvl w:val="1"/>
    </w:pPr>
    <w:rPr>
      <w:rFonts w:ascii="Arial" w:hAnsi="Arial" w:eastAsia="黑体"/>
      <w:b/>
      <w:sz w:val="28"/>
      <w:szCs w:val="20"/>
    </w:rPr>
  </w:style>
  <w:style w:type="paragraph" w:styleId="5">
    <w:name w:val="heading 3"/>
    <w:basedOn w:val="1"/>
    <w:next w:val="1"/>
    <w:link w:val="103"/>
    <w:unhideWhenUsed/>
    <w:qFormat/>
    <w:locked/>
    <w:uiPriority w:val="0"/>
    <w:pPr>
      <w:keepNext/>
      <w:keepLines/>
      <w:spacing w:before="260" w:after="260" w:line="413" w:lineRule="auto"/>
      <w:outlineLvl w:val="2"/>
    </w:pPr>
    <w:rPr>
      <w:b/>
      <w:sz w:val="32"/>
    </w:rPr>
  </w:style>
  <w:style w:type="paragraph" w:styleId="6">
    <w:name w:val="heading 4"/>
    <w:basedOn w:val="1"/>
    <w:next w:val="1"/>
    <w:link w:val="96"/>
    <w:unhideWhenUsed/>
    <w:qFormat/>
    <w:locked/>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97"/>
    <w:qFormat/>
    <w:locked/>
    <w:uiPriority w:val="0"/>
    <w:pPr>
      <w:keepNext/>
      <w:keepLines/>
      <w:tabs>
        <w:tab w:val="left" w:pos="3827"/>
      </w:tabs>
      <w:spacing w:before="280" w:after="290" w:line="376" w:lineRule="auto"/>
      <w:ind w:left="3402"/>
      <w:outlineLvl w:val="4"/>
    </w:pPr>
    <w:rPr>
      <w:b/>
      <w:bCs/>
      <w:sz w:val="28"/>
      <w:szCs w:val="28"/>
    </w:rPr>
  </w:style>
  <w:style w:type="paragraph" w:styleId="8">
    <w:name w:val="heading 6"/>
    <w:basedOn w:val="1"/>
    <w:next w:val="1"/>
    <w:link w:val="98"/>
    <w:qFormat/>
    <w:locked/>
    <w:uiPriority w:val="0"/>
    <w:pPr>
      <w:keepNext/>
      <w:keepLines/>
      <w:tabs>
        <w:tab w:val="left" w:pos="4677"/>
      </w:tabs>
      <w:spacing w:before="240" w:after="64" w:line="320" w:lineRule="auto"/>
      <w:ind w:left="4252"/>
      <w:outlineLvl w:val="5"/>
    </w:pPr>
    <w:rPr>
      <w:rFonts w:ascii="Arial" w:hAnsi="Arial" w:eastAsia="黑体"/>
      <w:b/>
      <w:bCs/>
      <w:sz w:val="24"/>
    </w:rPr>
  </w:style>
  <w:style w:type="paragraph" w:styleId="9">
    <w:name w:val="heading 7"/>
    <w:basedOn w:val="1"/>
    <w:next w:val="1"/>
    <w:link w:val="99"/>
    <w:qFormat/>
    <w:locked/>
    <w:uiPriority w:val="0"/>
    <w:pPr>
      <w:keepNext/>
      <w:keepLines/>
      <w:tabs>
        <w:tab w:val="left" w:pos="5528"/>
      </w:tabs>
      <w:spacing w:before="240" w:after="64" w:line="320" w:lineRule="auto"/>
      <w:ind w:left="5102"/>
      <w:outlineLvl w:val="6"/>
    </w:pPr>
    <w:rPr>
      <w:b/>
      <w:bCs/>
      <w:sz w:val="24"/>
    </w:rPr>
  </w:style>
  <w:style w:type="paragraph" w:styleId="10">
    <w:name w:val="heading 8"/>
    <w:basedOn w:val="1"/>
    <w:next w:val="1"/>
    <w:link w:val="100"/>
    <w:qFormat/>
    <w:locked/>
    <w:uiPriority w:val="0"/>
    <w:pPr>
      <w:keepNext/>
      <w:keepLines/>
      <w:tabs>
        <w:tab w:val="left" w:pos="6378"/>
      </w:tabs>
      <w:spacing w:before="240" w:after="64" w:line="320" w:lineRule="auto"/>
      <w:ind w:left="5953"/>
      <w:outlineLvl w:val="7"/>
    </w:pPr>
    <w:rPr>
      <w:rFonts w:ascii="Arial" w:hAnsi="Arial" w:eastAsia="黑体"/>
      <w:sz w:val="24"/>
    </w:rPr>
  </w:style>
  <w:style w:type="paragraph" w:styleId="11">
    <w:name w:val="heading 9"/>
    <w:basedOn w:val="1"/>
    <w:next w:val="1"/>
    <w:link w:val="101"/>
    <w:qFormat/>
    <w:locked/>
    <w:uiPriority w:val="0"/>
    <w:pPr>
      <w:keepNext/>
      <w:keepLines/>
      <w:tabs>
        <w:tab w:val="left" w:pos="7228"/>
      </w:tabs>
      <w:spacing w:before="240" w:after="64" w:line="320" w:lineRule="auto"/>
      <w:ind w:left="6803"/>
      <w:outlineLvl w:val="8"/>
    </w:pPr>
    <w:rPr>
      <w:rFonts w:ascii="Arial" w:hAnsi="Arial" w:eastAsia="黑体"/>
      <w:szCs w:val="21"/>
    </w:rPr>
  </w:style>
  <w:style w:type="character" w:default="1" w:styleId="49">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58"/>
    <w:qFormat/>
    <w:uiPriority w:val="0"/>
    <w:pPr>
      <w:widowControl/>
      <w:snapToGrid w:val="0"/>
      <w:spacing w:before="60" w:after="160" w:line="259" w:lineRule="auto"/>
      <w:ind w:right="113"/>
    </w:pPr>
    <w:rPr>
      <w:kern w:val="0"/>
      <w:sz w:val="18"/>
      <w:szCs w:val="20"/>
    </w:rPr>
  </w:style>
  <w:style w:type="paragraph" w:styleId="12">
    <w:name w:val="E-mail Signature"/>
    <w:basedOn w:val="1"/>
    <w:link w:val="320"/>
    <w:qFormat/>
    <w:locked/>
    <w:uiPriority w:val="0"/>
    <w:pPr>
      <w:spacing w:line="500" w:lineRule="exact"/>
    </w:pPr>
    <w:rPr>
      <w:rFonts w:ascii="仿宋_GB2312" w:eastAsia="仿宋_GB2312"/>
      <w:sz w:val="28"/>
      <w:szCs w:val="20"/>
      <w:lang w:val="zh-CN"/>
    </w:rPr>
  </w:style>
  <w:style w:type="paragraph" w:styleId="13">
    <w:name w:val="Normal Indent"/>
    <w:basedOn w:val="1"/>
    <w:next w:val="14"/>
    <w:link w:val="83"/>
    <w:qFormat/>
    <w:locked/>
    <w:uiPriority w:val="0"/>
    <w:pPr>
      <w:ind w:firstLine="420" w:firstLineChars="200"/>
    </w:pPr>
  </w:style>
  <w:style w:type="paragraph" w:styleId="14">
    <w:name w:val="Body Text First Indent 2"/>
    <w:basedOn w:val="15"/>
    <w:next w:val="16"/>
    <w:qFormat/>
    <w:locked/>
    <w:uiPriority w:val="0"/>
    <w:pPr>
      <w:ind w:firstLine="420" w:firstLineChars="200"/>
    </w:pPr>
    <w:rPr>
      <w:sz w:val="21"/>
      <w:szCs w:val="24"/>
    </w:rPr>
  </w:style>
  <w:style w:type="paragraph" w:styleId="15">
    <w:name w:val="Body Text Indent"/>
    <w:basedOn w:val="1"/>
    <w:next w:val="13"/>
    <w:link w:val="59"/>
    <w:qFormat/>
    <w:uiPriority w:val="0"/>
    <w:pPr>
      <w:spacing w:after="120"/>
      <w:ind w:left="420" w:leftChars="200"/>
    </w:pPr>
    <w:rPr>
      <w:kern w:val="0"/>
      <w:sz w:val="24"/>
      <w:szCs w:val="20"/>
    </w:rPr>
  </w:style>
  <w:style w:type="paragraph" w:customStyle="1" w:styleId="16">
    <w:name w:val="Default"/>
    <w:basedOn w:val="17"/>
    <w:next w:val="14"/>
    <w:link w:val="278"/>
    <w:qFormat/>
    <w:uiPriority w:val="0"/>
    <w:pPr>
      <w:widowControl w:val="0"/>
      <w:autoSpaceDE w:val="0"/>
      <w:autoSpaceDN w:val="0"/>
      <w:adjustRightInd w:val="0"/>
    </w:pPr>
    <w:rPr>
      <w:rFonts w:ascii="宋体" w:eastAsia="宋体" w:cs="宋体"/>
      <w:color w:val="000000"/>
      <w:sz w:val="24"/>
    </w:rPr>
  </w:style>
  <w:style w:type="paragraph" w:customStyle="1" w:styleId="17">
    <w:name w:val="标题 段落4级"/>
    <w:qFormat/>
    <w:uiPriority w:val="0"/>
    <w:pPr>
      <w:spacing w:line="500" w:lineRule="exact"/>
      <w:outlineLvl w:val="3"/>
    </w:pPr>
    <w:rPr>
      <w:rFonts w:ascii="Calibri" w:hAnsi="Calibri" w:eastAsia="仿宋_GB2312" w:cs="Calibri"/>
      <w:b/>
      <w:kern w:val="2"/>
      <w:sz w:val="28"/>
      <w:szCs w:val="24"/>
      <w:lang w:val="en-US" w:eastAsia="zh-CN" w:bidi="ar-SA"/>
    </w:rPr>
  </w:style>
  <w:style w:type="paragraph" w:styleId="18">
    <w:name w:val="caption"/>
    <w:basedOn w:val="1"/>
    <w:next w:val="1"/>
    <w:qFormat/>
    <w:locked/>
    <w:uiPriority w:val="35"/>
    <w:pPr>
      <w:jc w:val="center"/>
    </w:pPr>
    <w:rPr>
      <w:b/>
      <w:szCs w:val="20"/>
    </w:rPr>
  </w:style>
  <w:style w:type="paragraph" w:styleId="19">
    <w:name w:val="index 5"/>
    <w:basedOn w:val="1"/>
    <w:next w:val="1"/>
    <w:qFormat/>
    <w:locked/>
    <w:uiPriority w:val="0"/>
    <w:pPr>
      <w:ind w:left="800" w:leftChars="800"/>
    </w:pPr>
  </w:style>
  <w:style w:type="paragraph" w:styleId="20">
    <w:name w:val="List Bullet"/>
    <w:basedOn w:val="1"/>
    <w:qFormat/>
    <w:locked/>
    <w:uiPriority w:val="0"/>
    <w:pPr>
      <w:tabs>
        <w:tab w:val="left" w:pos="360"/>
      </w:tabs>
      <w:spacing w:before="60"/>
      <w:ind w:left="360" w:hanging="360" w:hangingChars="200"/>
    </w:pPr>
    <w:rPr>
      <w:rFonts w:ascii="Arial" w:hAnsi="Arial" w:eastAsia="仿宋_GB2312"/>
      <w:kern w:val="0"/>
      <w:sz w:val="24"/>
      <w:szCs w:val="20"/>
    </w:rPr>
  </w:style>
  <w:style w:type="paragraph" w:styleId="21">
    <w:name w:val="Document Map"/>
    <w:basedOn w:val="1"/>
    <w:link w:val="122"/>
    <w:qFormat/>
    <w:locked/>
    <w:uiPriority w:val="0"/>
    <w:pPr>
      <w:shd w:val="clear" w:color="auto" w:fill="000080"/>
    </w:pPr>
  </w:style>
  <w:style w:type="paragraph" w:styleId="22">
    <w:name w:val="annotation text"/>
    <w:basedOn w:val="1"/>
    <w:link w:val="57"/>
    <w:qFormat/>
    <w:uiPriority w:val="99"/>
    <w:pPr>
      <w:jc w:val="left"/>
    </w:pPr>
    <w:rPr>
      <w:kern w:val="0"/>
      <w:sz w:val="24"/>
      <w:szCs w:val="20"/>
    </w:rPr>
  </w:style>
  <w:style w:type="paragraph" w:styleId="23">
    <w:name w:val="Body Text 3"/>
    <w:basedOn w:val="1"/>
    <w:link w:val="123"/>
    <w:qFormat/>
    <w:locked/>
    <w:uiPriority w:val="0"/>
    <w:pPr>
      <w:spacing w:line="360" w:lineRule="auto"/>
    </w:pPr>
    <w:rPr>
      <w:color w:val="FF0000"/>
    </w:rPr>
  </w:style>
  <w:style w:type="paragraph" w:styleId="24">
    <w:name w:val="List 2"/>
    <w:basedOn w:val="1"/>
    <w:unhideWhenUsed/>
    <w:qFormat/>
    <w:locked/>
    <w:uiPriority w:val="0"/>
    <w:pPr>
      <w:ind w:left="100" w:leftChars="200" w:hanging="200" w:hangingChars="200"/>
      <w:contextualSpacing/>
    </w:pPr>
  </w:style>
  <w:style w:type="paragraph" w:styleId="25">
    <w:name w:val="Block Text"/>
    <w:basedOn w:val="1"/>
    <w:qFormat/>
    <w:locked/>
    <w:uiPriority w:val="0"/>
    <w:pPr>
      <w:spacing w:line="360" w:lineRule="auto"/>
      <w:jc w:val="left"/>
    </w:pPr>
  </w:style>
  <w:style w:type="paragraph" w:styleId="26">
    <w:name w:val="toc 3"/>
    <w:basedOn w:val="1"/>
    <w:next w:val="1"/>
    <w:qFormat/>
    <w:locked/>
    <w:uiPriority w:val="0"/>
    <w:pPr>
      <w:ind w:left="420"/>
      <w:jc w:val="left"/>
    </w:pPr>
    <w:rPr>
      <w:i/>
      <w:iCs/>
      <w:sz w:val="20"/>
      <w:szCs w:val="20"/>
    </w:rPr>
  </w:style>
  <w:style w:type="paragraph" w:styleId="27">
    <w:name w:val="Plain Text"/>
    <w:basedOn w:val="1"/>
    <w:link w:val="124"/>
    <w:qFormat/>
    <w:locked/>
    <w:uiPriority w:val="0"/>
    <w:pPr>
      <w:adjustRightInd w:val="0"/>
      <w:spacing w:before="120" w:line="400" w:lineRule="exact"/>
      <w:textAlignment w:val="baseline"/>
    </w:pPr>
    <w:rPr>
      <w:rFonts w:ascii="宋体" w:hAnsi="Courier New"/>
      <w:spacing w:val="-2"/>
      <w:kern w:val="28"/>
      <w:szCs w:val="20"/>
    </w:rPr>
  </w:style>
  <w:style w:type="paragraph" w:styleId="28">
    <w:name w:val="Date"/>
    <w:basedOn w:val="1"/>
    <w:next w:val="1"/>
    <w:link w:val="60"/>
    <w:qFormat/>
    <w:uiPriority w:val="0"/>
    <w:pPr>
      <w:ind w:left="100" w:leftChars="2500"/>
    </w:pPr>
    <w:rPr>
      <w:kern w:val="0"/>
      <w:sz w:val="24"/>
      <w:szCs w:val="20"/>
    </w:rPr>
  </w:style>
  <w:style w:type="paragraph" w:styleId="29">
    <w:name w:val="Body Text Indent 2"/>
    <w:basedOn w:val="1"/>
    <w:link w:val="125"/>
    <w:qFormat/>
    <w:locked/>
    <w:uiPriority w:val="0"/>
    <w:pPr>
      <w:spacing w:before="15" w:line="480" w:lineRule="exact"/>
      <w:ind w:firstLine="496" w:firstLineChars="200"/>
    </w:pPr>
    <w:rPr>
      <w:rFonts w:ascii="宋体" w:hAnsi="宋体"/>
      <w:spacing w:val="4"/>
      <w:sz w:val="24"/>
    </w:rPr>
  </w:style>
  <w:style w:type="paragraph" w:styleId="30">
    <w:name w:val="endnote text"/>
    <w:basedOn w:val="1"/>
    <w:link w:val="126"/>
    <w:unhideWhenUsed/>
    <w:qFormat/>
    <w:locked/>
    <w:uiPriority w:val="0"/>
    <w:pPr>
      <w:snapToGrid w:val="0"/>
      <w:jc w:val="left"/>
    </w:pPr>
  </w:style>
  <w:style w:type="paragraph" w:styleId="31">
    <w:name w:val="Balloon Text"/>
    <w:basedOn w:val="1"/>
    <w:link w:val="61"/>
    <w:semiHidden/>
    <w:qFormat/>
    <w:uiPriority w:val="99"/>
    <w:rPr>
      <w:kern w:val="0"/>
      <w:sz w:val="18"/>
      <w:szCs w:val="20"/>
    </w:rPr>
  </w:style>
  <w:style w:type="paragraph" w:styleId="32">
    <w:name w:val="footer"/>
    <w:basedOn w:val="1"/>
    <w:link w:val="62"/>
    <w:qFormat/>
    <w:uiPriority w:val="99"/>
    <w:pPr>
      <w:tabs>
        <w:tab w:val="center" w:pos="4153"/>
        <w:tab w:val="right" w:pos="8306"/>
      </w:tabs>
      <w:snapToGrid w:val="0"/>
      <w:jc w:val="left"/>
    </w:pPr>
    <w:rPr>
      <w:kern w:val="0"/>
      <w:sz w:val="18"/>
      <w:szCs w:val="20"/>
    </w:rPr>
  </w:style>
  <w:style w:type="paragraph" w:styleId="33">
    <w:name w:val="header"/>
    <w:basedOn w:val="1"/>
    <w:link w:val="63"/>
    <w:qFormat/>
    <w:uiPriority w:val="99"/>
    <w:pPr>
      <w:pBdr>
        <w:bottom w:val="single" w:color="auto" w:sz="6" w:space="1"/>
      </w:pBdr>
      <w:tabs>
        <w:tab w:val="center" w:pos="4153"/>
        <w:tab w:val="right" w:pos="8306"/>
      </w:tabs>
      <w:snapToGrid w:val="0"/>
      <w:jc w:val="center"/>
    </w:pPr>
    <w:rPr>
      <w:kern w:val="0"/>
      <w:sz w:val="18"/>
      <w:szCs w:val="20"/>
    </w:rPr>
  </w:style>
  <w:style w:type="paragraph" w:styleId="34">
    <w:name w:val="index heading"/>
    <w:basedOn w:val="1"/>
    <w:next w:val="35"/>
    <w:qFormat/>
    <w:locked/>
    <w:uiPriority w:val="0"/>
    <w:rPr>
      <w:szCs w:val="20"/>
    </w:rPr>
  </w:style>
  <w:style w:type="paragraph" w:styleId="35">
    <w:name w:val="index 1"/>
    <w:basedOn w:val="1"/>
    <w:next w:val="1"/>
    <w:qFormat/>
    <w:locked/>
    <w:uiPriority w:val="0"/>
  </w:style>
  <w:style w:type="paragraph" w:styleId="36">
    <w:name w:val="Subtitle"/>
    <w:basedOn w:val="1"/>
    <w:next w:val="1"/>
    <w:link w:val="127"/>
    <w:qFormat/>
    <w:locked/>
    <w:uiPriority w:val="11"/>
    <w:pPr>
      <w:jc w:val="left"/>
      <w:outlineLvl w:val="3"/>
    </w:pPr>
    <w:rPr>
      <w:b/>
      <w:bCs/>
      <w:kern w:val="28"/>
      <w:szCs w:val="32"/>
    </w:rPr>
  </w:style>
  <w:style w:type="paragraph" w:styleId="37">
    <w:name w:val="List"/>
    <w:basedOn w:val="1"/>
    <w:qFormat/>
    <w:locked/>
    <w:uiPriority w:val="0"/>
    <w:pPr>
      <w:ind w:left="200" w:hanging="200" w:hangingChars="200"/>
    </w:pPr>
  </w:style>
  <w:style w:type="paragraph" w:styleId="38">
    <w:name w:val="Body Text Indent 3"/>
    <w:basedOn w:val="1"/>
    <w:link w:val="128"/>
    <w:qFormat/>
    <w:locked/>
    <w:uiPriority w:val="0"/>
    <w:pPr>
      <w:spacing w:before="120" w:line="460" w:lineRule="atLeast"/>
      <w:ind w:firstLine="480" w:firstLineChars="200"/>
    </w:pPr>
    <w:rPr>
      <w:sz w:val="24"/>
    </w:rPr>
  </w:style>
  <w:style w:type="paragraph" w:styleId="39">
    <w:name w:val="index 9"/>
    <w:basedOn w:val="1"/>
    <w:next w:val="1"/>
    <w:unhideWhenUsed/>
    <w:qFormat/>
    <w:locked/>
    <w:uiPriority w:val="0"/>
    <w:pPr>
      <w:ind w:left="1600" w:leftChars="1600"/>
    </w:pPr>
  </w:style>
  <w:style w:type="paragraph" w:styleId="40">
    <w:name w:val="Body Text 2"/>
    <w:basedOn w:val="1"/>
    <w:link w:val="129"/>
    <w:qFormat/>
    <w:locked/>
    <w:uiPriority w:val="99"/>
    <w:pPr>
      <w:spacing w:after="120" w:line="480" w:lineRule="auto"/>
    </w:pPr>
  </w:style>
  <w:style w:type="paragraph" w:styleId="41">
    <w:name w:val="HTML Preformatted"/>
    <w:basedOn w:val="1"/>
    <w:link w:val="130"/>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3" w:lineRule="atLeast"/>
      <w:jc w:val="left"/>
    </w:pPr>
    <w:rPr>
      <w:rFonts w:ascii="Arial" w:hAnsi="Arial" w:cs="Arial"/>
      <w:kern w:val="0"/>
      <w:sz w:val="16"/>
      <w:szCs w:val="16"/>
    </w:rPr>
  </w:style>
  <w:style w:type="paragraph" w:styleId="42">
    <w:name w:val="Normal (Web)"/>
    <w:basedOn w:val="1"/>
    <w:link w:val="64"/>
    <w:qFormat/>
    <w:uiPriority w:val="0"/>
    <w:pPr>
      <w:widowControl/>
      <w:spacing w:before="100" w:beforeAutospacing="1" w:after="100" w:afterAutospacing="1"/>
      <w:jc w:val="left"/>
    </w:pPr>
    <w:rPr>
      <w:rFonts w:ascii="宋体" w:hAnsi="宋体"/>
      <w:kern w:val="0"/>
      <w:sz w:val="24"/>
      <w:szCs w:val="20"/>
    </w:rPr>
  </w:style>
  <w:style w:type="paragraph" w:styleId="43">
    <w:name w:val="Title"/>
    <w:basedOn w:val="1"/>
    <w:qFormat/>
    <w:locked/>
    <w:uiPriority w:val="0"/>
    <w:pPr>
      <w:spacing w:before="240" w:after="60"/>
      <w:jc w:val="center"/>
      <w:outlineLvl w:val="0"/>
    </w:pPr>
    <w:rPr>
      <w:rFonts w:ascii="Arial" w:hAnsi="Arial"/>
      <w:b/>
      <w:sz w:val="32"/>
    </w:rPr>
  </w:style>
  <w:style w:type="paragraph" w:styleId="44">
    <w:name w:val="annotation subject"/>
    <w:basedOn w:val="22"/>
    <w:next w:val="22"/>
    <w:link w:val="65"/>
    <w:semiHidden/>
    <w:qFormat/>
    <w:uiPriority w:val="99"/>
    <w:rPr>
      <w:b/>
    </w:rPr>
  </w:style>
  <w:style w:type="paragraph" w:styleId="45">
    <w:name w:val="Body Text First Indent"/>
    <w:basedOn w:val="1"/>
    <w:next w:val="14"/>
    <w:link w:val="131"/>
    <w:qFormat/>
    <w:locked/>
    <w:uiPriority w:val="0"/>
    <w:pPr>
      <w:spacing w:after="120"/>
      <w:ind w:firstLine="420" w:firstLineChars="100"/>
    </w:pPr>
  </w:style>
  <w:style w:type="table" w:styleId="47">
    <w:name w:val="Table Grid"/>
    <w:basedOn w:val="4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8">
    <w:name w:val="Table Classic 1"/>
    <w:basedOn w:val="46"/>
    <w:semiHidden/>
    <w:unhideWhenUsed/>
    <w:qFormat/>
    <w:locked/>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50">
    <w:name w:val="Strong"/>
    <w:qFormat/>
    <w:locked/>
    <w:uiPriority w:val="0"/>
    <w:rPr>
      <w:b/>
      <w:bCs/>
    </w:rPr>
  </w:style>
  <w:style w:type="character" w:styleId="51">
    <w:name w:val="endnote reference"/>
    <w:basedOn w:val="49"/>
    <w:unhideWhenUsed/>
    <w:qFormat/>
    <w:locked/>
    <w:uiPriority w:val="0"/>
    <w:rPr>
      <w:vertAlign w:val="superscript"/>
    </w:rPr>
  </w:style>
  <w:style w:type="character" w:styleId="52">
    <w:name w:val="page number"/>
    <w:basedOn w:val="49"/>
    <w:qFormat/>
    <w:locked/>
    <w:uiPriority w:val="0"/>
  </w:style>
  <w:style w:type="character" w:styleId="53">
    <w:name w:val="Emphasis"/>
    <w:qFormat/>
    <w:locked/>
    <w:uiPriority w:val="20"/>
    <w:rPr>
      <w:i/>
      <w:iCs/>
    </w:rPr>
  </w:style>
  <w:style w:type="character" w:styleId="54">
    <w:name w:val="Hyperlink"/>
    <w:qFormat/>
    <w:locked/>
    <w:uiPriority w:val="99"/>
    <w:rPr>
      <w:color w:val="0000FF"/>
      <w:u w:val="none"/>
    </w:rPr>
  </w:style>
  <w:style w:type="character" w:styleId="55">
    <w:name w:val="annotation reference"/>
    <w:qFormat/>
    <w:uiPriority w:val="0"/>
    <w:rPr>
      <w:sz w:val="21"/>
    </w:rPr>
  </w:style>
  <w:style w:type="paragraph" w:customStyle="1" w:styleId="56">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57">
    <w:name w:val="批注文字 字符"/>
    <w:link w:val="22"/>
    <w:qFormat/>
    <w:locked/>
    <w:uiPriority w:val="0"/>
    <w:rPr>
      <w:rFonts w:ascii="Times New Roman" w:hAnsi="Times New Roman" w:eastAsia="宋体"/>
      <w:sz w:val="24"/>
    </w:rPr>
  </w:style>
  <w:style w:type="character" w:customStyle="1" w:styleId="58">
    <w:name w:val="正文文本 字符"/>
    <w:link w:val="2"/>
    <w:qFormat/>
    <w:locked/>
    <w:uiPriority w:val="0"/>
    <w:rPr>
      <w:sz w:val="18"/>
    </w:rPr>
  </w:style>
  <w:style w:type="character" w:customStyle="1" w:styleId="59">
    <w:name w:val="正文文本缩进 字符"/>
    <w:link w:val="15"/>
    <w:qFormat/>
    <w:locked/>
    <w:uiPriority w:val="0"/>
    <w:rPr>
      <w:rFonts w:ascii="Times New Roman" w:hAnsi="Times New Roman" w:eastAsia="宋体"/>
      <w:sz w:val="24"/>
    </w:rPr>
  </w:style>
  <w:style w:type="character" w:customStyle="1" w:styleId="60">
    <w:name w:val="日期 字符1"/>
    <w:link w:val="28"/>
    <w:qFormat/>
    <w:locked/>
    <w:uiPriority w:val="0"/>
    <w:rPr>
      <w:rFonts w:ascii="Times New Roman" w:hAnsi="Times New Roman" w:eastAsia="宋体"/>
      <w:sz w:val="24"/>
    </w:rPr>
  </w:style>
  <w:style w:type="character" w:customStyle="1" w:styleId="61">
    <w:name w:val="批注框文本 字符"/>
    <w:link w:val="31"/>
    <w:semiHidden/>
    <w:qFormat/>
    <w:locked/>
    <w:uiPriority w:val="99"/>
    <w:rPr>
      <w:rFonts w:ascii="Times New Roman" w:hAnsi="Times New Roman" w:eastAsia="宋体"/>
      <w:sz w:val="18"/>
    </w:rPr>
  </w:style>
  <w:style w:type="character" w:customStyle="1" w:styleId="62">
    <w:name w:val="页脚 字符1"/>
    <w:link w:val="32"/>
    <w:qFormat/>
    <w:locked/>
    <w:uiPriority w:val="99"/>
    <w:rPr>
      <w:sz w:val="18"/>
    </w:rPr>
  </w:style>
  <w:style w:type="character" w:customStyle="1" w:styleId="63">
    <w:name w:val="页眉 字符"/>
    <w:link w:val="33"/>
    <w:qFormat/>
    <w:locked/>
    <w:uiPriority w:val="99"/>
    <w:rPr>
      <w:sz w:val="18"/>
    </w:rPr>
  </w:style>
  <w:style w:type="character" w:customStyle="1" w:styleId="64">
    <w:name w:val="普通(网站) 字符"/>
    <w:link w:val="42"/>
    <w:qFormat/>
    <w:locked/>
    <w:uiPriority w:val="0"/>
    <w:rPr>
      <w:rFonts w:ascii="宋体" w:hAnsi="宋体" w:eastAsia="宋体"/>
      <w:sz w:val="24"/>
    </w:rPr>
  </w:style>
  <w:style w:type="character" w:customStyle="1" w:styleId="65">
    <w:name w:val="批注主题 字符"/>
    <w:link w:val="44"/>
    <w:semiHidden/>
    <w:qFormat/>
    <w:locked/>
    <w:uiPriority w:val="99"/>
    <w:rPr>
      <w:rFonts w:ascii="Times New Roman" w:hAnsi="Times New Roman" w:eastAsia="宋体"/>
      <w:b/>
      <w:kern w:val="2"/>
      <w:sz w:val="24"/>
    </w:rPr>
  </w:style>
  <w:style w:type="character" w:customStyle="1" w:styleId="66">
    <w:name w:val="页脚 字符"/>
    <w:basedOn w:val="49"/>
    <w:qFormat/>
    <w:uiPriority w:val="99"/>
  </w:style>
  <w:style w:type="character" w:customStyle="1" w:styleId="67">
    <w:name w:val="批注文字 字符1"/>
    <w:semiHidden/>
    <w:qFormat/>
    <w:uiPriority w:val="0"/>
    <w:rPr>
      <w:rFonts w:ascii="Times New Roman" w:hAnsi="Times New Roman" w:eastAsia="宋体"/>
      <w:sz w:val="24"/>
    </w:rPr>
  </w:style>
  <w:style w:type="character" w:customStyle="1" w:styleId="68">
    <w:name w:val="正文文本 字符1"/>
    <w:semiHidden/>
    <w:qFormat/>
    <w:uiPriority w:val="0"/>
    <w:rPr>
      <w:rFonts w:ascii="Times New Roman" w:hAnsi="Times New Roman" w:eastAsia="宋体"/>
      <w:sz w:val="24"/>
    </w:rPr>
  </w:style>
  <w:style w:type="character" w:customStyle="1" w:styleId="69">
    <w:name w:val="表格 Char"/>
    <w:link w:val="70"/>
    <w:qFormat/>
    <w:locked/>
    <w:uiPriority w:val="0"/>
    <w:rPr>
      <w:rFonts w:ascii="宋体"/>
      <w:sz w:val="21"/>
    </w:rPr>
  </w:style>
  <w:style w:type="paragraph" w:customStyle="1" w:styleId="70">
    <w:name w:val="表格"/>
    <w:basedOn w:val="1"/>
    <w:next w:val="1"/>
    <w:link w:val="69"/>
    <w:qFormat/>
    <w:uiPriority w:val="0"/>
    <w:pPr>
      <w:adjustRightInd w:val="0"/>
      <w:snapToGrid w:val="0"/>
      <w:spacing w:beforeLines="10" w:afterLines="10" w:line="259" w:lineRule="auto"/>
      <w:jc w:val="center"/>
    </w:pPr>
    <w:rPr>
      <w:rFonts w:ascii="宋体"/>
      <w:kern w:val="0"/>
      <w:szCs w:val="20"/>
    </w:rPr>
  </w:style>
  <w:style w:type="character" w:customStyle="1" w:styleId="71">
    <w:name w:val="日期 字符"/>
    <w:semiHidden/>
    <w:qFormat/>
    <w:uiPriority w:val="0"/>
    <w:rPr>
      <w:rFonts w:ascii="Times New Roman" w:hAnsi="Times New Roman" w:eastAsia="宋体"/>
      <w:sz w:val="24"/>
    </w:rPr>
  </w:style>
  <w:style w:type="paragraph" w:customStyle="1" w:styleId="7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4">
    <w:name w:val="表格文字"/>
    <w:basedOn w:val="1"/>
    <w:link w:val="117"/>
    <w:qFormat/>
    <w:uiPriority w:val="0"/>
    <w:pPr>
      <w:adjustRightInd w:val="0"/>
      <w:snapToGrid w:val="0"/>
    </w:pPr>
  </w:style>
  <w:style w:type="paragraph" w:customStyle="1" w:styleId="75">
    <w:name w:val="无缩进正文"/>
    <w:basedOn w:val="1"/>
    <w:link w:val="80"/>
    <w:qFormat/>
    <w:uiPriority w:val="0"/>
    <w:pPr>
      <w:spacing w:line="360" w:lineRule="auto"/>
    </w:pPr>
    <w:rPr>
      <w:sz w:val="24"/>
    </w:rPr>
  </w:style>
  <w:style w:type="paragraph" w:customStyle="1" w:styleId="76">
    <w:name w:val="缩进正文"/>
    <w:basedOn w:val="1"/>
    <w:link w:val="81"/>
    <w:qFormat/>
    <w:uiPriority w:val="0"/>
    <w:pPr>
      <w:spacing w:line="360" w:lineRule="auto"/>
      <w:ind w:firstLine="720" w:firstLineChars="200"/>
    </w:pPr>
    <w:rPr>
      <w:sz w:val="24"/>
    </w:rPr>
  </w:style>
  <w:style w:type="paragraph" w:customStyle="1" w:styleId="77">
    <w:name w:val="表格标题"/>
    <w:basedOn w:val="1"/>
    <w:qFormat/>
    <w:uiPriority w:val="0"/>
    <w:pPr>
      <w:spacing w:line="360" w:lineRule="auto"/>
      <w:jc w:val="center"/>
    </w:pPr>
    <w:rPr>
      <w:b/>
      <w:bCs/>
      <w:sz w:val="24"/>
      <w:szCs w:val="22"/>
    </w:rPr>
  </w:style>
  <w:style w:type="paragraph" w:customStyle="1" w:styleId="78">
    <w:name w:val="1、小标题"/>
    <w:basedOn w:val="43"/>
    <w:qFormat/>
    <w:uiPriority w:val="0"/>
    <w:pPr>
      <w:autoSpaceDE w:val="0"/>
      <w:autoSpaceDN w:val="0"/>
      <w:adjustRightInd w:val="0"/>
      <w:snapToGrid w:val="0"/>
      <w:spacing w:line="360" w:lineRule="auto"/>
      <w:jc w:val="left"/>
    </w:pPr>
    <w:rPr>
      <w:rFonts w:ascii="Times New Roman" w:hAnsi="Times New Roman" w:cs="宋体"/>
      <w:kern w:val="0"/>
      <w:sz w:val="24"/>
      <w:szCs w:val="21"/>
    </w:rPr>
  </w:style>
  <w:style w:type="paragraph" w:customStyle="1" w:styleId="79">
    <w:name w:val="（1）小标题"/>
    <w:basedOn w:val="43"/>
    <w:qFormat/>
    <w:uiPriority w:val="0"/>
    <w:pPr>
      <w:autoSpaceDE w:val="0"/>
      <w:autoSpaceDN w:val="0"/>
      <w:adjustRightInd w:val="0"/>
      <w:snapToGrid w:val="0"/>
      <w:spacing w:line="360" w:lineRule="auto"/>
      <w:jc w:val="left"/>
    </w:pPr>
    <w:rPr>
      <w:rFonts w:ascii="Times New Roman" w:hAnsi="Times New Roman" w:cs="宋体"/>
      <w:kern w:val="0"/>
      <w:sz w:val="24"/>
      <w:szCs w:val="21"/>
    </w:rPr>
  </w:style>
  <w:style w:type="character" w:customStyle="1" w:styleId="80">
    <w:name w:val="无缩进正文 Char"/>
    <w:link w:val="75"/>
    <w:qFormat/>
    <w:uiPriority w:val="0"/>
    <w:rPr>
      <w:rFonts w:ascii="Times New Roman" w:hAnsi="Times New Roman" w:eastAsia="宋体"/>
      <w:sz w:val="24"/>
    </w:rPr>
  </w:style>
  <w:style w:type="character" w:customStyle="1" w:styleId="81">
    <w:name w:val="缩进正文 Char"/>
    <w:link w:val="76"/>
    <w:qFormat/>
    <w:uiPriority w:val="0"/>
    <w:rPr>
      <w:rFonts w:ascii="Times New Roman" w:hAnsi="Times New Roman" w:eastAsia="宋体"/>
      <w:sz w:val="24"/>
    </w:rPr>
  </w:style>
  <w:style w:type="paragraph" w:customStyle="1" w:styleId="82">
    <w:name w:val="Char1"/>
    <w:basedOn w:val="1"/>
    <w:qFormat/>
    <w:uiPriority w:val="0"/>
    <w:pPr>
      <w:spacing w:line="240" w:lineRule="exact"/>
      <w:ind w:firstLine="200" w:firstLineChars="200"/>
    </w:pPr>
    <w:rPr>
      <w:sz w:val="28"/>
      <w:szCs w:val="28"/>
    </w:rPr>
  </w:style>
  <w:style w:type="character" w:customStyle="1" w:styleId="83">
    <w:name w:val="正文缩进 字符"/>
    <w:link w:val="13"/>
    <w:qFormat/>
    <w:uiPriority w:val="0"/>
    <w:rPr>
      <w:kern w:val="2"/>
      <w:sz w:val="21"/>
      <w:szCs w:val="24"/>
    </w:rPr>
  </w:style>
  <w:style w:type="character" w:styleId="84">
    <w:name w:val="Placeholder Text"/>
    <w:basedOn w:val="49"/>
    <w:semiHidden/>
    <w:qFormat/>
    <w:uiPriority w:val="99"/>
    <w:rPr>
      <w:color w:val="808080"/>
    </w:rPr>
  </w:style>
  <w:style w:type="paragraph" w:customStyle="1" w:styleId="85">
    <w:name w:val="Table Paragraph"/>
    <w:basedOn w:val="1"/>
    <w:qFormat/>
    <w:uiPriority w:val="1"/>
    <w:pPr>
      <w:jc w:val="left"/>
    </w:pPr>
    <w:rPr>
      <w:rFonts w:asciiTheme="minorHAnsi" w:hAnsiTheme="minorHAnsi" w:eastAsiaTheme="minorEastAsia" w:cstheme="minorBidi"/>
      <w:kern w:val="0"/>
      <w:sz w:val="22"/>
      <w:szCs w:val="22"/>
      <w:lang w:eastAsia="en-US"/>
    </w:rPr>
  </w:style>
  <w:style w:type="paragraph" w:customStyle="1" w:styleId="86">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87">
    <w:name w:val="表格标"/>
    <w:basedOn w:val="1"/>
    <w:link w:val="88"/>
    <w:qFormat/>
    <w:uiPriority w:val="0"/>
    <w:pPr>
      <w:autoSpaceDE w:val="0"/>
      <w:autoSpaceDN w:val="0"/>
      <w:adjustRightInd w:val="0"/>
      <w:snapToGrid w:val="0"/>
      <w:spacing w:line="360" w:lineRule="auto"/>
      <w:jc w:val="center"/>
    </w:pPr>
    <w:rPr>
      <w:b/>
      <w:kern w:val="0"/>
      <w:sz w:val="24"/>
      <w:szCs w:val="21"/>
    </w:rPr>
  </w:style>
  <w:style w:type="character" w:customStyle="1" w:styleId="88">
    <w:name w:val="表格标 Char"/>
    <w:link w:val="87"/>
    <w:qFormat/>
    <w:uiPriority w:val="0"/>
    <w:rPr>
      <w:b/>
      <w:sz w:val="24"/>
      <w:szCs w:val="21"/>
    </w:rPr>
  </w:style>
  <w:style w:type="paragraph" w:customStyle="1" w:styleId="89">
    <w:name w:val="表文字"/>
    <w:basedOn w:val="1"/>
    <w:qFormat/>
    <w:uiPriority w:val="0"/>
    <w:pPr>
      <w:widowControl/>
      <w:spacing w:line="360" w:lineRule="auto"/>
      <w:ind w:firstLine="200" w:firstLineChars="200"/>
      <w:jc w:val="center"/>
    </w:pPr>
    <w:rPr>
      <w:kern w:val="0"/>
      <w:sz w:val="24"/>
      <w:szCs w:val="21"/>
    </w:rPr>
  </w:style>
  <w:style w:type="character" w:customStyle="1" w:styleId="90">
    <w:name w:val="A表头 Char"/>
    <w:link w:val="91"/>
    <w:qFormat/>
    <w:uiPriority w:val="0"/>
    <w:rPr>
      <w:b/>
      <w:sz w:val="24"/>
      <w:szCs w:val="24"/>
    </w:rPr>
  </w:style>
  <w:style w:type="paragraph" w:customStyle="1" w:styleId="91">
    <w:name w:val="A表头"/>
    <w:basedOn w:val="1"/>
    <w:link w:val="90"/>
    <w:qFormat/>
    <w:uiPriority w:val="0"/>
    <w:pPr>
      <w:spacing w:line="360" w:lineRule="auto"/>
      <w:jc w:val="center"/>
    </w:pPr>
    <w:rPr>
      <w:b/>
      <w:kern w:val="0"/>
      <w:sz w:val="24"/>
    </w:rPr>
  </w:style>
  <w:style w:type="table" w:customStyle="1" w:styleId="92">
    <w:name w:val="jstri表格"/>
    <w:basedOn w:val="46"/>
    <w:qFormat/>
    <w:uiPriority w:val="0"/>
    <w:pPr>
      <w:jc w:val="both"/>
    </w:pPr>
    <w:rPr>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character" w:customStyle="1" w:styleId="93">
    <w:name w:val="批注文字 Char"/>
    <w:qFormat/>
    <w:locked/>
    <w:uiPriority w:val="0"/>
    <w:rPr>
      <w:rFonts w:ascii="Times New Roman" w:hAnsi="Times New Roman" w:eastAsia="宋体"/>
      <w:sz w:val="24"/>
    </w:rPr>
  </w:style>
  <w:style w:type="character" w:customStyle="1" w:styleId="94">
    <w:name w:val="正文缩进 Char"/>
    <w:qFormat/>
    <w:uiPriority w:val="0"/>
    <w:rPr>
      <w:kern w:val="2"/>
      <w:sz w:val="28"/>
      <w:szCs w:val="24"/>
    </w:rPr>
  </w:style>
  <w:style w:type="character" w:customStyle="1" w:styleId="95">
    <w:name w:val="标题 2 字符"/>
    <w:basedOn w:val="49"/>
    <w:link w:val="4"/>
    <w:qFormat/>
    <w:uiPriority w:val="9"/>
    <w:rPr>
      <w:rFonts w:ascii="Arial" w:hAnsi="Arial" w:eastAsia="黑体"/>
      <w:b/>
      <w:kern w:val="2"/>
      <w:sz w:val="28"/>
    </w:rPr>
  </w:style>
  <w:style w:type="character" w:customStyle="1" w:styleId="96">
    <w:name w:val="标题 4 字符"/>
    <w:basedOn w:val="49"/>
    <w:link w:val="6"/>
    <w:qFormat/>
    <w:uiPriority w:val="9"/>
    <w:rPr>
      <w:rFonts w:asciiTheme="majorHAnsi" w:hAnsiTheme="majorHAnsi" w:eastAsiaTheme="majorEastAsia" w:cstheme="majorBidi"/>
      <w:b/>
      <w:bCs/>
      <w:kern w:val="2"/>
      <w:sz w:val="28"/>
      <w:szCs w:val="28"/>
    </w:rPr>
  </w:style>
  <w:style w:type="character" w:customStyle="1" w:styleId="97">
    <w:name w:val="标题 5 字符"/>
    <w:basedOn w:val="49"/>
    <w:link w:val="7"/>
    <w:qFormat/>
    <w:uiPriority w:val="0"/>
    <w:rPr>
      <w:b/>
      <w:bCs/>
      <w:kern w:val="2"/>
      <w:sz w:val="28"/>
      <w:szCs w:val="28"/>
    </w:rPr>
  </w:style>
  <w:style w:type="character" w:customStyle="1" w:styleId="98">
    <w:name w:val="标题 6 字符"/>
    <w:basedOn w:val="49"/>
    <w:link w:val="8"/>
    <w:qFormat/>
    <w:uiPriority w:val="0"/>
    <w:rPr>
      <w:rFonts w:ascii="Arial" w:hAnsi="Arial" w:eastAsia="黑体"/>
      <w:b/>
      <w:bCs/>
      <w:kern w:val="2"/>
      <w:sz w:val="24"/>
      <w:szCs w:val="24"/>
    </w:rPr>
  </w:style>
  <w:style w:type="character" w:customStyle="1" w:styleId="99">
    <w:name w:val="标题 7 字符"/>
    <w:basedOn w:val="49"/>
    <w:link w:val="9"/>
    <w:qFormat/>
    <w:uiPriority w:val="0"/>
    <w:rPr>
      <w:b/>
      <w:bCs/>
      <w:kern w:val="2"/>
      <w:sz w:val="24"/>
      <w:szCs w:val="24"/>
    </w:rPr>
  </w:style>
  <w:style w:type="character" w:customStyle="1" w:styleId="100">
    <w:name w:val="标题 8 字符"/>
    <w:basedOn w:val="49"/>
    <w:link w:val="10"/>
    <w:qFormat/>
    <w:uiPriority w:val="0"/>
    <w:rPr>
      <w:rFonts w:ascii="Arial" w:hAnsi="Arial" w:eastAsia="黑体"/>
      <w:kern w:val="2"/>
      <w:sz w:val="24"/>
      <w:szCs w:val="24"/>
    </w:rPr>
  </w:style>
  <w:style w:type="character" w:customStyle="1" w:styleId="101">
    <w:name w:val="标题 9 字符"/>
    <w:basedOn w:val="49"/>
    <w:link w:val="11"/>
    <w:qFormat/>
    <w:uiPriority w:val="0"/>
    <w:rPr>
      <w:rFonts w:ascii="Arial" w:hAnsi="Arial" w:eastAsia="黑体"/>
      <w:kern w:val="2"/>
      <w:sz w:val="21"/>
      <w:szCs w:val="21"/>
    </w:rPr>
  </w:style>
  <w:style w:type="character" w:customStyle="1" w:styleId="102">
    <w:name w:val="标题 1 字符"/>
    <w:basedOn w:val="49"/>
    <w:link w:val="3"/>
    <w:qFormat/>
    <w:uiPriority w:val="9"/>
    <w:rPr>
      <w:rFonts w:eastAsia="黑体"/>
      <w:b/>
      <w:bCs/>
      <w:color w:val="000000"/>
      <w:kern w:val="44"/>
      <w:sz w:val="30"/>
      <w:szCs w:val="30"/>
    </w:rPr>
  </w:style>
  <w:style w:type="character" w:customStyle="1" w:styleId="103">
    <w:name w:val="标题 3 字符"/>
    <w:basedOn w:val="49"/>
    <w:link w:val="5"/>
    <w:qFormat/>
    <w:uiPriority w:val="0"/>
    <w:rPr>
      <w:b/>
      <w:kern w:val="2"/>
      <w:sz w:val="32"/>
      <w:szCs w:val="24"/>
    </w:rPr>
  </w:style>
  <w:style w:type="character" w:customStyle="1" w:styleId="104">
    <w:name w:val="正文文本 Char"/>
    <w:basedOn w:val="49"/>
    <w:qFormat/>
    <w:uiPriority w:val="0"/>
    <w:rPr>
      <w:rFonts w:ascii="Times New Roman" w:hAnsi="Times New Roman"/>
      <w:szCs w:val="24"/>
    </w:rPr>
  </w:style>
  <w:style w:type="character" w:customStyle="1" w:styleId="105">
    <w:name w:val="A正文 Char"/>
    <w:link w:val="106"/>
    <w:qFormat/>
    <w:uiPriority w:val="0"/>
    <w:rPr>
      <w:sz w:val="24"/>
      <w:szCs w:val="24"/>
    </w:rPr>
  </w:style>
  <w:style w:type="paragraph" w:customStyle="1" w:styleId="106">
    <w:name w:val="A正文"/>
    <w:basedOn w:val="1"/>
    <w:link w:val="105"/>
    <w:qFormat/>
    <w:uiPriority w:val="0"/>
    <w:pPr>
      <w:widowControl/>
      <w:spacing w:line="360" w:lineRule="auto"/>
      <w:ind w:firstLine="480" w:firstLineChars="200"/>
      <w:jc w:val="left"/>
    </w:pPr>
    <w:rPr>
      <w:kern w:val="0"/>
      <w:sz w:val="24"/>
    </w:rPr>
  </w:style>
  <w:style w:type="character" w:customStyle="1" w:styleId="107">
    <w:name w:val="t_tag"/>
    <w:qFormat/>
    <w:uiPriority w:val="0"/>
  </w:style>
  <w:style w:type="paragraph" w:styleId="108">
    <w:name w:val="List Paragraph"/>
    <w:basedOn w:val="1"/>
    <w:qFormat/>
    <w:uiPriority w:val="34"/>
    <w:pPr>
      <w:ind w:firstLine="420" w:firstLineChars="200"/>
    </w:pPr>
  </w:style>
  <w:style w:type="paragraph" w:customStyle="1" w:styleId="109">
    <w:name w:val="表格1"/>
    <w:basedOn w:val="1"/>
    <w:next w:val="1"/>
    <w:link w:val="110"/>
    <w:qFormat/>
    <w:uiPriority w:val="0"/>
    <w:pPr>
      <w:jc w:val="center"/>
    </w:pPr>
    <w:rPr>
      <w:rFonts w:cstheme="minorBidi"/>
    </w:rPr>
  </w:style>
  <w:style w:type="character" w:customStyle="1" w:styleId="110">
    <w:name w:val="表格1 Char"/>
    <w:basedOn w:val="49"/>
    <w:link w:val="109"/>
    <w:qFormat/>
    <w:uiPriority w:val="0"/>
    <w:rPr>
      <w:rFonts w:cstheme="minorBidi"/>
      <w:kern w:val="2"/>
      <w:sz w:val="21"/>
      <w:szCs w:val="24"/>
    </w:rPr>
  </w:style>
  <w:style w:type="table" w:customStyle="1" w:styleId="111">
    <w:name w:val="网格型1"/>
    <w:basedOn w:val="46"/>
    <w:qFormat/>
    <w:uiPriority w:val="0"/>
    <w:pPr>
      <w:widowControl w:val="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paragraph" w:customStyle="1" w:styleId="112">
    <w:name w:val="图表标题"/>
    <w:basedOn w:val="1"/>
    <w:link w:val="113"/>
    <w:qFormat/>
    <w:uiPriority w:val="0"/>
    <w:pPr>
      <w:spacing w:line="360" w:lineRule="auto"/>
      <w:jc w:val="center"/>
    </w:pPr>
    <w:rPr>
      <w:rFonts w:cs="宋体"/>
      <w:b/>
      <w:sz w:val="24"/>
    </w:rPr>
  </w:style>
  <w:style w:type="character" w:customStyle="1" w:styleId="113">
    <w:name w:val="图表标题 Char"/>
    <w:basedOn w:val="49"/>
    <w:link w:val="112"/>
    <w:qFormat/>
    <w:uiPriority w:val="0"/>
    <w:rPr>
      <w:rFonts w:cs="宋体"/>
      <w:b/>
      <w:kern w:val="2"/>
      <w:sz w:val="24"/>
      <w:szCs w:val="24"/>
    </w:rPr>
  </w:style>
  <w:style w:type="character" w:customStyle="1" w:styleId="114">
    <w:name w:val="正文缩进 字符1"/>
    <w:qFormat/>
    <w:uiPriority w:val="0"/>
    <w:rPr>
      <w:kern w:val="2"/>
      <w:sz w:val="21"/>
      <w:szCs w:val="24"/>
    </w:rPr>
  </w:style>
  <w:style w:type="character" w:customStyle="1" w:styleId="115">
    <w:name w:val="批注文字 Char1"/>
    <w:qFormat/>
    <w:uiPriority w:val="99"/>
    <w:rPr>
      <w:kern w:val="2"/>
      <w:sz w:val="21"/>
      <w:szCs w:val="24"/>
    </w:rPr>
  </w:style>
  <w:style w:type="character" w:customStyle="1" w:styleId="116">
    <w:name w:val="表格 Char Char"/>
    <w:qFormat/>
    <w:uiPriority w:val="0"/>
    <w:rPr>
      <w:kern w:val="2"/>
      <w:sz w:val="24"/>
      <w:szCs w:val="24"/>
    </w:rPr>
  </w:style>
  <w:style w:type="character" w:customStyle="1" w:styleId="117">
    <w:name w:val="表格文字 Char"/>
    <w:link w:val="74"/>
    <w:qFormat/>
    <w:uiPriority w:val="0"/>
    <w:rPr>
      <w:kern w:val="2"/>
      <w:sz w:val="21"/>
      <w:szCs w:val="24"/>
    </w:rPr>
  </w:style>
  <w:style w:type="character" w:customStyle="1" w:styleId="118">
    <w:name w:val="1表格 Char"/>
    <w:link w:val="119"/>
    <w:qFormat/>
    <w:uiPriority w:val="0"/>
    <w:rPr>
      <w:rFonts w:cs="宋体"/>
      <w:spacing w:val="4"/>
      <w:kern w:val="2"/>
      <w:sz w:val="21"/>
      <w:szCs w:val="24"/>
    </w:rPr>
  </w:style>
  <w:style w:type="paragraph" w:customStyle="1" w:styleId="119">
    <w:name w:val="1表格"/>
    <w:basedOn w:val="1"/>
    <w:link w:val="118"/>
    <w:qFormat/>
    <w:uiPriority w:val="0"/>
    <w:pPr>
      <w:adjustRightInd w:val="0"/>
      <w:snapToGrid w:val="0"/>
      <w:jc w:val="center"/>
      <w:textAlignment w:val="baseline"/>
    </w:pPr>
    <w:rPr>
      <w:rFonts w:cs="宋体"/>
      <w:spacing w:val="4"/>
    </w:rPr>
  </w:style>
  <w:style w:type="paragraph" w:customStyle="1" w:styleId="120">
    <w:name w:val="表内式样"/>
    <w:qFormat/>
    <w:uiPriority w:val="0"/>
    <w:pPr>
      <w:widowControl w:val="0"/>
      <w:jc w:val="center"/>
    </w:pPr>
    <w:rPr>
      <w:rFonts w:ascii="Times New Roman" w:hAnsi="Times New Roman" w:eastAsia="宋体" w:cs="Times New Roman"/>
      <w:kern w:val="2"/>
      <w:sz w:val="21"/>
      <w:szCs w:val="24"/>
      <w:lang w:val="en-US" w:eastAsia="zh-CN" w:bidi="ar-SA"/>
    </w:rPr>
  </w:style>
  <w:style w:type="paragraph" w:customStyle="1" w:styleId="121">
    <w:name w:val="正文1"/>
    <w:qFormat/>
    <w:uiPriority w:val="0"/>
    <w:pPr>
      <w:widowControl w:val="0"/>
      <w:adjustRightInd w:val="0"/>
      <w:snapToGrid w:val="0"/>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character" w:customStyle="1" w:styleId="122">
    <w:name w:val="文档结构图 字符"/>
    <w:basedOn w:val="49"/>
    <w:link w:val="21"/>
    <w:qFormat/>
    <w:uiPriority w:val="0"/>
    <w:rPr>
      <w:kern w:val="2"/>
      <w:sz w:val="21"/>
      <w:szCs w:val="24"/>
      <w:shd w:val="clear" w:color="auto" w:fill="000080"/>
    </w:rPr>
  </w:style>
  <w:style w:type="character" w:customStyle="1" w:styleId="123">
    <w:name w:val="正文文本 3 字符"/>
    <w:basedOn w:val="49"/>
    <w:link w:val="23"/>
    <w:qFormat/>
    <w:uiPriority w:val="0"/>
    <w:rPr>
      <w:color w:val="FF0000"/>
      <w:kern w:val="2"/>
      <w:sz w:val="21"/>
      <w:szCs w:val="24"/>
    </w:rPr>
  </w:style>
  <w:style w:type="character" w:customStyle="1" w:styleId="124">
    <w:name w:val="纯文本 字符"/>
    <w:basedOn w:val="49"/>
    <w:link w:val="27"/>
    <w:qFormat/>
    <w:uiPriority w:val="0"/>
    <w:rPr>
      <w:rFonts w:ascii="宋体" w:hAnsi="Courier New"/>
      <w:spacing w:val="-2"/>
      <w:kern w:val="28"/>
      <w:sz w:val="21"/>
    </w:rPr>
  </w:style>
  <w:style w:type="character" w:customStyle="1" w:styleId="125">
    <w:name w:val="正文文本缩进 2 字符"/>
    <w:basedOn w:val="49"/>
    <w:link w:val="29"/>
    <w:qFormat/>
    <w:uiPriority w:val="0"/>
    <w:rPr>
      <w:rFonts w:ascii="宋体" w:hAnsi="宋体"/>
      <w:spacing w:val="4"/>
      <w:kern w:val="2"/>
      <w:sz w:val="24"/>
      <w:szCs w:val="24"/>
    </w:rPr>
  </w:style>
  <w:style w:type="character" w:customStyle="1" w:styleId="126">
    <w:name w:val="尾注文本 字符"/>
    <w:basedOn w:val="49"/>
    <w:link w:val="30"/>
    <w:qFormat/>
    <w:uiPriority w:val="0"/>
    <w:rPr>
      <w:kern w:val="2"/>
      <w:sz w:val="21"/>
      <w:szCs w:val="24"/>
    </w:rPr>
  </w:style>
  <w:style w:type="character" w:customStyle="1" w:styleId="127">
    <w:name w:val="副标题 字符"/>
    <w:basedOn w:val="49"/>
    <w:link w:val="36"/>
    <w:qFormat/>
    <w:uiPriority w:val="11"/>
    <w:rPr>
      <w:b/>
      <w:bCs/>
      <w:kern w:val="28"/>
      <w:sz w:val="21"/>
      <w:szCs w:val="32"/>
    </w:rPr>
  </w:style>
  <w:style w:type="character" w:customStyle="1" w:styleId="128">
    <w:name w:val="正文文本缩进 3 字符"/>
    <w:basedOn w:val="49"/>
    <w:link w:val="38"/>
    <w:qFormat/>
    <w:uiPriority w:val="0"/>
    <w:rPr>
      <w:kern w:val="2"/>
      <w:sz w:val="24"/>
      <w:szCs w:val="24"/>
    </w:rPr>
  </w:style>
  <w:style w:type="character" w:customStyle="1" w:styleId="129">
    <w:name w:val="正文文本 2 字符"/>
    <w:basedOn w:val="49"/>
    <w:link w:val="40"/>
    <w:qFormat/>
    <w:uiPriority w:val="99"/>
    <w:rPr>
      <w:kern w:val="2"/>
      <w:sz w:val="21"/>
      <w:szCs w:val="24"/>
    </w:rPr>
  </w:style>
  <w:style w:type="character" w:customStyle="1" w:styleId="130">
    <w:name w:val="HTML 预设格式 字符"/>
    <w:basedOn w:val="49"/>
    <w:link w:val="41"/>
    <w:qFormat/>
    <w:uiPriority w:val="0"/>
    <w:rPr>
      <w:rFonts w:ascii="Arial" w:hAnsi="Arial" w:cs="Arial"/>
      <w:sz w:val="16"/>
      <w:szCs w:val="16"/>
    </w:rPr>
  </w:style>
  <w:style w:type="character" w:customStyle="1" w:styleId="131">
    <w:name w:val="正文文本首行缩进 字符"/>
    <w:basedOn w:val="58"/>
    <w:link w:val="45"/>
    <w:qFormat/>
    <w:uiPriority w:val="0"/>
    <w:rPr>
      <w:kern w:val="2"/>
      <w:sz w:val="21"/>
      <w:szCs w:val="24"/>
    </w:rPr>
  </w:style>
  <w:style w:type="character" w:customStyle="1" w:styleId="132">
    <w:name w:val="表格内容 Char"/>
    <w:link w:val="133"/>
    <w:qFormat/>
    <w:locked/>
    <w:uiPriority w:val="0"/>
    <w:rPr>
      <w:rFonts w:ascii="Arial" w:hAnsi="Arial" w:eastAsia="仿宋_GB2312"/>
      <w:sz w:val="24"/>
    </w:rPr>
  </w:style>
  <w:style w:type="paragraph" w:customStyle="1" w:styleId="133">
    <w:name w:val="表格内容"/>
    <w:basedOn w:val="1"/>
    <w:link w:val="132"/>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character" w:customStyle="1" w:styleId="134">
    <w:name w:val="1正文 Char"/>
    <w:link w:val="135"/>
    <w:qFormat/>
    <w:uiPriority w:val="0"/>
    <w:rPr>
      <w:kern w:val="2"/>
      <w:sz w:val="24"/>
    </w:rPr>
  </w:style>
  <w:style w:type="paragraph" w:customStyle="1" w:styleId="135">
    <w:name w:val="1正文"/>
    <w:basedOn w:val="1"/>
    <w:link w:val="134"/>
    <w:qFormat/>
    <w:uiPriority w:val="0"/>
    <w:pPr>
      <w:spacing w:line="360" w:lineRule="auto"/>
      <w:ind w:firstLine="200" w:firstLineChars="200"/>
    </w:pPr>
    <w:rPr>
      <w:sz w:val="24"/>
      <w:szCs w:val="20"/>
    </w:rPr>
  </w:style>
  <w:style w:type="character" w:customStyle="1" w:styleId="136">
    <w:name w:val="表格内文字 Char Char"/>
    <w:qFormat/>
    <w:uiPriority w:val="0"/>
    <w:rPr>
      <w:rFonts w:eastAsia="仿宋_GB2312"/>
      <w:sz w:val="24"/>
      <w:szCs w:val="24"/>
    </w:rPr>
  </w:style>
  <w:style w:type="character" w:customStyle="1" w:styleId="137">
    <w:name w:val="正本文字 Char"/>
    <w:link w:val="138"/>
    <w:qFormat/>
    <w:locked/>
    <w:uiPriority w:val="0"/>
    <w:rPr>
      <w:rFonts w:ascii="宋体" w:hAnsi="宋体" w:cs="宋体"/>
      <w:kern w:val="18"/>
      <w:sz w:val="24"/>
    </w:rPr>
  </w:style>
  <w:style w:type="paragraph" w:customStyle="1" w:styleId="138">
    <w:name w:val="正本文字"/>
    <w:basedOn w:val="1"/>
    <w:link w:val="137"/>
    <w:qFormat/>
    <w:uiPriority w:val="0"/>
    <w:pPr>
      <w:adjustRightInd w:val="0"/>
      <w:snapToGrid w:val="0"/>
      <w:spacing w:line="360" w:lineRule="auto"/>
      <w:ind w:firstLine="480" w:firstLineChars="200"/>
      <w:jc w:val="left"/>
    </w:pPr>
    <w:rPr>
      <w:rFonts w:ascii="宋体" w:hAnsi="宋体" w:cs="宋体"/>
      <w:kern w:val="18"/>
      <w:sz w:val="24"/>
      <w:szCs w:val="20"/>
    </w:rPr>
  </w:style>
  <w:style w:type="character" w:customStyle="1" w:styleId="139">
    <w:name w:val="图表 Char"/>
    <w:link w:val="140"/>
    <w:qFormat/>
    <w:uiPriority w:val="0"/>
    <w:rPr>
      <w:color w:val="000000"/>
      <w:kern w:val="2"/>
      <w:sz w:val="21"/>
      <w:szCs w:val="22"/>
    </w:rPr>
  </w:style>
  <w:style w:type="paragraph" w:customStyle="1" w:styleId="140">
    <w:name w:val="图表"/>
    <w:basedOn w:val="1"/>
    <w:link w:val="139"/>
    <w:qFormat/>
    <w:uiPriority w:val="0"/>
    <w:pPr>
      <w:adjustRightInd w:val="0"/>
      <w:snapToGrid w:val="0"/>
      <w:jc w:val="center"/>
    </w:pPr>
    <w:rPr>
      <w:color w:val="000000"/>
      <w:szCs w:val="22"/>
    </w:rPr>
  </w:style>
  <w:style w:type="character" w:customStyle="1" w:styleId="141">
    <w:name w:val="样式 样式 样式 Arial 小四 行距: 1.5 倍行距 + 首行缩进:  2 字符 + 首行缩进:  2 字符 Char"/>
    <w:link w:val="142"/>
    <w:qFormat/>
    <w:uiPriority w:val="0"/>
    <w:rPr>
      <w:rFonts w:ascii="Arial" w:hAnsi="Arial" w:cs="宋体"/>
      <w:kern w:val="2"/>
      <w:sz w:val="24"/>
    </w:rPr>
  </w:style>
  <w:style w:type="paragraph" w:customStyle="1" w:styleId="142">
    <w:name w:val="样式 样式 样式 Arial 小四 行距: 1.5 倍行距 + 首行缩进:  2 字符 + 首行缩进:  2 字符"/>
    <w:basedOn w:val="1"/>
    <w:link w:val="141"/>
    <w:qFormat/>
    <w:uiPriority w:val="0"/>
    <w:pPr>
      <w:spacing w:line="440" w:lineRule="exact"/>
      <w:ind w:firstLine="200" w:firstLineChars="200"/>
    </w:pPr>
    <w:rPr>
      <w:rFonts w:ascii="Arial" w:hAnsi="Arial" w:cs="宋体"/>
      <w:sz w:val="24"/>
      <w:szCs w:val="20"/>
    </w:rPr>
  </w:style>
  <w:style w:type="character" w:customStyle="1" w:styleId="143">
    <w:name w:val="apple-converted-space"/>
    <w:qFormat/>
    <w:uiPriority w:val="0"/>
  </w:style>
  <w:style w:type="character" w:customStyle="1" w:styleId="144">
    <w:name w:val="样式 样式 样式 样式 Arial 小四 行距: 1.5 倍行距 + 首行缩进:  2 字符 + 首行缩进:  2 字符 + 宋体 Char"/>
    <w:link w:val="145"/>
    <w:qFormat/>
    <w:uiPriority w:val="0"/>
    <w:rPr>
      <w:rFonts w:ascii="Arial" w:hAnsi="Arial" w:cs="宋体"/>
      <w:kern w:val="2"/>
      <w:sz w:val="24"/>
      <w:szCs w:val="24"/>
    </w:rPr>
  </w:style>
  <w:style w:type="paragraph" w:customStyle="1" w:styleId="145">
    <w:name w:val="样式 样式 样式 样式 Arial 小四 行距: 1.5 倍行距 + 首行缩进:  2 字符 + 首行缩进:  2 字符 + 宋体"/>
    <w:basedOn w:val="1"/>
    <w:link w:val="144"/>
    <w:qFormat/>
    <w:uiPriority w:val="0"/>
    <w:pPr>
      <w:spacing w:line="440" w:lineRule="exact"/>
      <w:ind w:firstLine="200" w:firstLineChars="200"/>
    </w:pPr>
    <w:rPr>
      <w:rFonts w:ascii="Arial" w:hAnsi="Arial" w:cs="宋体"/>
      <w:sz w:val="24"/>
    </w:rPr>
  </w:style>
  <w:style w:type="character" w:customStyle="1" w:styleId="146">
    <w:name w:val="111正文 Char"/>
    <w:link w:val="147"/>
    <w:qFormat/>
    <w:uiPriority w:val="0"/>
    <w:rPr>
      <w:kern w:val="2"/>
      <w:sz w:val="24"/>
      <w:szCs w:val="22"/>
    </w:rPr>
  </w:style>
  <w:style w:type="paragraph" w:customStyle="1" w:styleId="147">
    <w:name w:val="111正文"/>
    <w:basedOn w:val="1"/>
    <w:link w:val="146"/>
    <w:qFormat/>
    <w:uiPriority w:val="0"/>
    <w:pPr>
      <w:tabs>
        <w:tab w:val="left" w:pos="600"/>
      </w:tabs>
      <w:spacing w:line="360" w:lineRule="auto"/>
      <w:ind w:firstLine="200" w:firstLineChars="200"/>
    </w:pPr>
    <w:rPr>
      <w:sz w:val="24"/>
      <w:szCs w:val="22"/>
    </w:rPr>
  </w:style>
  <w:style w:type="character" w:customStyle="1" w:styleId="148">
    <w:name w:val="A表格 Char"/>
    <w:link w:val="149"/>
    <w:qFormat/>
    <w:uiPriority w:val="0"/>
    <w:rPr>
      <w:kern w:val="2"/>
      <w:sz w:val="21"/>
      <w:szCs w:val="21"/>
    </w:rPr>
  </w:style>
  <w:style w:type="paragraph" w:customStyle="1" w:styleId="149">
    <w:name w:val="A表格"/>
    <w:basedOn w:val="1"/>
    <w:link w:val="148"/>
    <w:qFormat/>
    <w:uiPriority w:val="0"/>
    <w:pPr>
      <w:jc w:val="center"/>
    </w:pPr>
    <w:rPr>
      <w:szCs w:val="21"/>
    </w:rPr>
  </w:style>
  <w:style w:type="character" w:customStyle="1" w:styleId="150">
    <w:name w:val="表格内文字 Char"/>
    <w:link w:val="151"/>
    <w:qFormat/>
    <w:uiPriority w:val="0"/>
    <w:rPr>
      <w:rFonts w:eastAsia="仿宋_GB2312"/>
      <w:kern w:val="2"/>
      <w:sz w:val="24"/>
      <w:szCs w:val="24"/>
    </w:rPr>
  </w:style>
  <w:style w:type="paragraph" w:customStyle="1" w:styleId="151">
    <w:name w:val="表格内文字"/>
    <w:basedOn w:val="1"/>
    <w:link w:val="150"/>
    <w:qFormat/>
    <w:uiPriority w:val="0"/>
    <w:pPr>
      <w:tabs>
        <w:tab w:val="left" w:pos="0"/>
      </w:tabs>
      <w:adjustRightInd w:val="0"/>
      <w:snapToGrid w:val="0"/>
      <w:jc w:val="center"/>
    </w:pPr>
    <w:rPr>
      <w:rFonts w:eastAsia="仿宋_GB2312"/>
      <w:sz w:val="24"/>
    </w:rPr>
  </w:style>
  <w:style w:type="character" w:customStyle="1" w:styleId="152">
    <w:name w:val="contents"/>
    <w:basedOn w:val="49"/>
    <w:qFormat/>
    <w:uiPriority w:val="0"/>
  </w:style>
  <w:style w:type="character" w:customStyle="1" w:styleId="153">
    <w:name w:val="A标题 Char"/>
    <w:link w:val="154"/>
    <w:qFormat/>
    <w:uiPriority w:val="0"/>
    <w:rPr>
      <w:b/>
      <w:color w:val="000000"/>
      <w:sz w:val="24"/>
      <w:szCs w:val="24"/>
    </w:rPr>
  </w:style>
  <w:style w:type="paragraph" w:customStyle="1" w:styleId="154">
    <w:name w:val="A标题"/>
    <w:basedOn w:val="106"/>
    <w:link w:val="153"/>
    <w:qFormat/>
    <w:uiPriority w:val="0"/>
    <w:pPr>
      <w:widowControl w:val="0"/>
      <w:ind w:firstLine="482"/>
      <w:jc w:val="both"/>
    </w:pPr>
    <w:rPr>
      <w:b/>
      <w:color w:val="000000"/>
    </w:rPr>
  </w:style>
  <w:style w:type="character" w:customStyle="1" w:styleId="155">
    <w:name w:val="headline-content2"/>
    <w:qFormat/>
    <w:uiPriority w:val="0"/>
  </w:style>
  <w:style w:type="character" w:customStyle="1" w:styleId="156">
    <w:name w:val="Plain Text Char1 Char1"/>
    <w:qFormat/>
    <w:uiPriority w:val="0"/>
    <w:rPr>
      <w:rFonts w:ascii="宋体" w:hAnsi="Courier New"/>
      <w:spacing w:val="-2"/>
      <w:kern w:val="28"/>
      <w:sz w:val="21"/>
    </w:rPr>
  </w:style>
  <w:style w:type="character" w:customStyle="1" w:styleId="157">
    <w:name w:val="表头 Char"/>
    <w:link w:val="158"/>
    <w:qFormat/>
    <w:uiPriority w:val="0"/>
    <w:rPr>
      <w:rFonts w:eastAsia="黑体"/>
      <w:color w:val="000000"/>
      <w:kern w:val="2"/>
      <w:sz w:val="24"/>
      <w:szCs w:val="22"/>
    </w:rPr>
  </w:style>
  <w:style w:type="paragraph" w:customStyle="1" w:styleId="158">
    <w:name w:val="表头"/>
    <w:basedOn w:val="140"/>
    <w:link w:val="157"/>
    <w:qFormat/>
    <w:uiPriority w:val="0"/>
    <w:pPr>
      <w:spacing w:line="360" w:lineRule="auto"/>
    </w:pPr>
    <w:rPr>
      <w:rFonts w:eastAsia="黑体"/>
      <w:sz w:val="24"/>
    </w:rPr>
  </w:style>
  <w:style w:type="paragraph" w:customStyle="1" w:styleId="159">
    <w:name w:val="xl67"/>
    <w:basedOn w:val="1"/>
    <w:qFormat/>
    <w:uiPriority w:val="0"/>
    <w:pPr>
      <w:widowControl/>
      <w:pBdr>
        <w:top w:val="single" w:color="000000" w:sz="12" w:space="0"/>
        <w:bottom w:val="single" w:color="000000" w:sz="8" w:space="0"/>
        <w:right w:val="single" w:color="auto" w:sz="8" w:space="0"/>
      </w:pBdr>
      <w:adjustRightInd w:val="0"/>
      <w:snapToGrid w:val="0"/>
      <w:spacing w:before="100" w:beforeAutospacing="1" w:after="100" w:afterAutospacing="1"/>
      <w:jc w:val="center"/>
    </w:pPr>
    <w:rPr>
      <w:color w:val="000000"/>
      <w:kern w:val="0"/>
      <w:sz w:val="24"/>
      <w:lang w:val="zh-CN"/>
    </w:rPr>
  </w:style>
  <w:style w:type="paragraph" w:customStyle="1" w:styleId="160">
    <w:name w:val="小四表文左齐"/>
    <w:basedOn w:val="1"/>
    <w:qFormat/>
    <w:uiPriority w:val="0"/>
    <w:pPr>
      <w:jc w:val="center"/>
    </w:pPr>
    <w:rPr>
      <w:rFonts w:ascii="宋体" w:hAnsi="宋体"/>
      <w:szCs w:val="21"/>
    </w:rPr>
  </w:style>
  <w:style w:type="paragraph" w:customStyle="1" w:styleId="161">
    <w:name w:val="表格式"/>
    <w:basedOn w:val="37"/>
    <w:qFormat/>
    <w:uiPriority w:val="0"/>
    <w:pPr>
      <w:spacing w:line="400" w:lineRule="exact"/>
      <w:ind w:left="0" w:firstLine="0" w:firstLineChars="0"/>
      <w:jc w:val="center"/>
    </w:pPr>
    <w:rPr>
      <w:rFonts w:ascii="宋体"/>
      <w:szCs w:val="20"/>
    </w:rPr>
  </w:style>
  <w:style w:type="paragraph" w:customStyle="1" w:styleId="162">
    <w:name w:val="Char1 Char Char Char"/>
    <w:basedOn w:val="1"/>
    <w:qFormat/>
    <w:uiPriority w:val="0"/>
  </w:style>
  <w:style w:type="paragraph" w:customStyle="1" w:styleId="163">
    <w:name w:val="Char Char Char Char"/>
    <w:basedOn w:val="1"/>
    <w:link w:val="164"/>
    <w:qFormat/>
    <w:uiPriority w:val="0"/>
    <w:rPr>
      <w:sz w:val="28"/>
    </w:rPr>
  </w:style>
  <w:style w:type="character" w:customStyle="1" w:styleId="164">
    <w:name w:val="Char Char Char Char Char Char"/>
    <w:link w:val="163"/>
    <w:qFormat/>
    <w:uiPriority w:val="0"/>
    <w:rPr>
      <w:kern w:val="2"/>
      <w:sz w:val="28"/>
      <w:szCs w:val="24"/>
    </w:rPr>
  </w:style>
  <w:style w:type="paragraph" w:customStyle="1" w:styleId="165">
    <w:name w:val="font12"/>
    <w:basedOn w:val="1"/>
    <w:qFormat/>
    <w:uiPriority w:val="0"/>
    <w:pPr>
      <w:widowControl/>
      <w:adjustRightInd w:val="0"/>
      <w:snapToGrid w:val="0"/>
      <w:spacing w:before="100" w:beforeAutospacing="1" w:after="100" w:afterAutospacing="1"/>
      <w:jc w:val="left"/>
    </w:pPr>
    <w:rPr>
      <w:color w:val="000000"/>
      <w:kern w:val="0"/>
      <w:sz w:val="22"/>
      <w:szCs w:val="22"/>
      <w:lang w:val="zh-CN"/>
    </w:rPr>
  </w:style>
  <w:style w:type="paragraph" w:customStyle="1" w:styleId="166">
    <w:name w:val="正文文本首行缩进1"/>
    <w:basedOn w:val="2"/>
    <w:qFormat/>
    <w:uiPriority w:val="0"/>
    <w:pPr>
      <w:widowControl w:val="0"/>
      <w:snapToGrid/>
      <w:spacing w:before="0" w:after="120" w:line="240" w:lineRule="auto"/>
      <w:ind w:right="0" w:firstLine="420" w:firstLineChars="100"/>
    </w:pPr>
    <w:rPr>
      <w:kern w:val="2"/>
      <w:sz w:val="21"/>
      <w:szCs w:val="24"/>
    </w:rPr>
  </w:style>
  <w:style w:type="paragraph" w:customStyle="1" w:styleId="167">
    <w:name w:val="表"/>
    <w:basedOn w:val="37"/>
    <w:qFormat/>
    <w:uiPriority w:val="0"/>
    <w:pPr>
      <w:keepNext/>
      <w:keepLines/>
      <w:spacing w:before="60" w:after="60" w:line="240" w:lineRule="exact"/>
      <w:ind w:left="0" w:firstLine="0" w:firstLineChars="0"/>
      <w:jc w:val="center"/>
    </w:pPr>
    <w:rPr>
      <w:szCs w:val="21"/>
    </w:rPr>
  </w:style>
  <w:style w:type="paragraph" w:customStyle="1" w:styleId="168">
    <w:name w:val="标3"/>
    <w:basedOn w:val="1"/>
    <w:qFormat/>
    <w:uiPriority w:val="0"/>
    <w:pPr>
      <w:spacing w:line="432" w:lineRule="auto"/>
    </w:pPr>
    <w:rPr>
      <w:rFonts w:ascii="宋体" w:cs="宋体"/>
      <w:b/>
      <w:spacing w:val="27"/>
      <w:kern w:val="0"/>
      <w:sz w:val="24"/>
    </w:rPr>
  </w:style>
  <w:style w:type="paragraph" w:customStyle="1" w:styleId="169">
    <w:name w:val="Char"/>
    <w:basedOn w:val="1"/>
    <w:qFormat/>
    <w:uiPriority w:val="0"/>
    <w:rPr>
      <w:sz w:val="24"/>
    </w:rPr>
  </w:style>
  <w:style w:type="paragraph" w:customStyle="1" w:styleId="170">
    <w:name w:val="默认段落字体 Para Char Char Char1 Char Char Char Char Char Char Char Char Char Char"/>
    <w:basedOn w:val="1"/>
    <w:qFormat/>
    <w:uiPriority w:val="0"/>
    <w:rPr>
      <w:sz w:val="24"/>
    </w:rPr>
  </w:style>
  <w:style w:type="paragraph" w:customStyle="1" w:styleId="171">
    <w:name w:val="文本框"/>
    <w:basedOn w:val="1"/>
    <w:qFormat/>
    <w:uiPriority w:val="0"/>
    <w:pPr>
      <w:spacing w:line="240" w:lineRule="atLeast"/>
    </w:pPr>
    <w:rPr>
      <w:rFonts w:ascii="宋体"/>
      <w:szCs w:val="20"/>
    </w:rPr>
  </w:style>
  <w:style w:type="paragraph" w:customStyle="1" w:styleId="172">
    <w:name w:val="表头1"/>
    <w:basedOn w:val="1"/>
    <w:qFormat/>
    <w:uiPriority w:val="0"/>
    <w:pPr>
      <w:tabs>
        <w:tab w:val="left" w:pos="5280"/>
      </w:tabs>
      <w:adjustRightInd w:val="0"/>
      <w:spacing w:before="120" w:line="300" w:lineRule="auto"/>
      <w:ind w:firstLine="1000" w:firstLineChars="500"/>
      <w:textAlignment w:val="baseline"/>
    </w:pPr>
    <w:rPr>
      <w:rFonts w:ascii="黑体" w:eastAsia="黑体"/>
      <w:spacing w:val="-20"/>
      <w:kern w:val="16"/>
      <w:sz w:val="24"/>
      <w:szCs w:val="20"/>
    </w:rPr>
  </w:style>
  <w:style w:type="paragraph" w:customStyle="1" w:styleId="173">
    <w:name w:val="默认段落字体 Para Char Char Char Char"/>
    <w:basedOn w:val="1"/>
    <w:qFormat/>
    <w:uiPriority w:val="0"/>
    <w:rPr>
      <w:sz w:val="24"/>
    </w:rPr>
  </w:style>
  <w:style w:type="paragraph" w:customStyle="1" w:styleId="174">
    <w:name w:val="样式4"/>
    <w:basedOn w:val="1"/>
    <w:qFormat/>
    <w:uiPriority w:val="0"/>
    <w:pPr>
      <w:adjustRightInd w:val="0"/>
      <w:snapToGrid w:val="0"/>
      <w:spacing w:line="300" w:lineRule="auto"/>
      <w:ind w:left="38" w:leftChars="18" w:firstLine="560" w:firstLineChars="200"/>
    </w:pPr>
    <w:rPr>
      <w:rFonts w:ascii="仿宋_GB2312" w:eastAsia="仿宋_GB2312"/>
      <w:sz w:val="28"/>
      <w:szCs w:val="28"/>
    </w:rPr>
  </w:style>
  <w:style w:type="paragraph" w:customStyle="1" w:styleId="175">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76">
    <w:name w:val="列表段落1"/>
    <w:basedOn w:val="1"/>
    <w:qFormat/>
    <w:uiPriority w:val="0"/>
    <w:rPr>
      <w:szCs w:val="28"/>
    </w:rPr>
  </w:style>
  <w:style w:type="paragraph" w:customStyle="1" w:styleId="177">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178">
    <w:name w:val="样式 标题 1 + 加粗"/>
    <w:basedOn w:val="3"/>
    <w:qFormat/>
    <w:uiPriority w:val="0"/>
    <w:pPr>
      <w:keepLines/>
      <w:overflowPunct/>
      <w:adjustRightInd w:val="0"/>
      <w:spacing w:before="0" w:after="0" w:line="240" w:lineRule="auto"/>
      <w:ind w:left="0" w:firstLine="138" w:firstLineChars="49"/>
    </w:pPr>
    <w:rPr>
      <w:rFonts w:eastAsia="楷体_GB2312"/>
      <w:color w:val="auto"/>
      <w:sz w:val="28"/>
      <w:szCs w:val="28"/>
    </w:rPr>
  </w:style>
  <w:style w:type="paragraph" w:customStyle="1" w:styleId="179">
    <w:name w:val="Char Char Char Char Char Char Char"/>
    <w:basedOn w:val="1"/>
    <w:qFormat/>
    <w:uiPriority w:val="0"/>
    <w:rPr>
      <w:sz w:val="24"/>
    </w:rPr>
  </w:style>
  <w:style w:type="paragraph" w:customStyle="1" w:styleId="180">
    <w:name w:val="标准"/>
    <w:basedOn w:val="1"/>
    <w:qFormat/>
    <w:uiPriority w:val="0"/>
    <w:pPr>
      <w:adjustRightInd w:val="0"/>
      <w:spacing w:line="500" w:lineRule="atLeast"/>
      <w:jc w:val="center"/>
    </w:pPr>
    <w:rPr>
      <w:rFonts w:ascii="宋体"/>
      <w:kern w:val="0"/>
      <w:sz w:val="24"/>
      <w:szCs w:val="20"/>
    </w:rPr>
  </w:style>
  <w:style w:type="paragraph" w:customStyle="1" w:styleId="181">
    <w:name w:val="样式 XYF1 + 宋体"/>
    <w:basedOn w:val="1"/>
    <w:qFormat/>
    <w:uiPriority w:val="0"/>
    <w:pPr>
      <w:tabs>
        <w:tab w:val="left" w:pos="1080"/>
      </w:tabs>
      <w:spacing w:line="480" w:lineRule="exact"/>
      <w:ind w:firstLine="200" w:firstLineChars="200"/>
    </w:pPr>
    <w:rPr>
      <w:rFonts w:ascii="宋体" w:hAnsi="宋体" w:cs="宋体"/>
      <w:sz w:val="28"/>
      <w:szCs w:val="20"/>
    </w:rPr>
  </w:style>
  <w:style w:type="paragraph" w:customStyle="1" w:styleId="182">
    <w:name w:val="简单回函地址"/>
    <w:basedOn w:val="1"/>
    <w:qFormat/>
    <w:uiPriority w:val="0"/>
    <w:rPr>
      <w:sz w:val="24"/>
      <w:szCs w:val="20"/>
    </w:rPr>
  </w:style>
  <w:style w:type="paragraph" w:customStyle="1" w:styleId="183">
    <w:name w:val="MFS正文 Char Char"/>
    <w:basedOn w:val="166"/>
    <w:qFormat/>
    <w:uiPriority w:val="0"/>
    <w:pPr>
      <w:adjustRightInd w:val="0"/>
      <w:snapToGrid w:val="0"/>
      <w:spacing w:before="93" w:line="360" w:lineRule="auto"/>
      <w:ind w:firstLine="487" w:firstLineChars="200"/>
    </w:pPr>
    <w:rPr>
      <w:rFonts w:eastAsia="楷体_GB2312"/>
      <w:sz w:val="24"/>
    </w:rPr>
  </w:style>
  <w:style w:type="paragraph" w:customStyle="1" w:styleId="184">
    <w:name w:val="图表文字"/>
    <w:basedOn w:val="1"/>
    <w:qFormat/>
    <w:uiPriority w:val="0"/>
    <w:pPr>
      <w:spacing w:line="300" w:lineRule="exact"/>
      <w:jc w:val="center"/>
    </w:pPr>
    <w:rPr>
      <w:bCs/>
      <w:szCs w:val="20"/>
    </w:rPr>
  </w:style>
  <w:style w:type="paragraph" w:customStyle="1" w:styleId="185">
    <w:name w:val="Char Char1 Char Char Char Char Char Char Char Char Char1 Char"/>
    <w:basedOn w:val="1"/>
    <w:qFormat/>
    <w:uiPriority w:val="0"/>
  </w:style>
  <w:style w:type="paragraph" w:customStyle="1" w:styleId="186">
    <w:name w:val="Char Char Char Char1"/>
    <w:basedOn w:val="1"/>
    <w:qFormat/>
    <w:uiPriority w:val="0"/>
    <w:rPr>
      <w:sz w:val="24"/>
    </w:rPr>
  </w:style>
  <w:style w:type="paragraph" w:customStyle="1" w:styleId="187">
    <w:name w:val="图文框"/>
    <w:basedOn w:val="1"/>
    <w:qFormat/>
    <w:uiPriority w:val="0"/>
    <w:pPr>
      <w:widowControl/>
      <w:adjustRightInd w:val="0"/>
      <w:snapToGrid w:val="0"/>
      <w:spacing w:line="360" w:lineRule="exact"/>
      <w:jc w:val="center"/>
    </w:pPr>
    <w:rPr>
      <w:color w:val="0000FF"/>
      <w:kern w:val="0"/>
      <w:szCs w:val="21"/>
    </w:rPr>
  </w:style>
  <w:style w:type="paragraph" w:customStyle="1" w:styleId="188">
    <w:name w:val="xl71"/>
    <w:basedOn w:val="1"/>
    <w:qFormat/>
    <w:uiPriority w:val="0"/>
    <w:pPr>
      <w:widowControl/>
      <w:pBdr>
        <w:top w:val="single" w:color="auto" w:sz="8" w:space="0"/>
        <w:left w:val="single" w:color="auto" w:sz="8" w:space="0"/>
        <w:bottom w:val="single" w:color="auto" w:sz="8" w:space="0"/>
        <w:right w:val="single" w:color="auto" w:sz="8" w:space="0"/>
      </w:pBdr>
      <w:adjustRightInd w:val="0"/>
      <w:snapToGrid w:val="0"/>
      <w:spacing w:before="100" w:beforeAutospacing="1" w:after="100" w:afterAutospacing="1"/>
      <w:jc w:val="center"/>
    </w:pPr>
    <w:rPr>
      <w:kern w:val="0"/>
      <w:sz w:val="24"/>
      <w:lang w:val="zh-CN"/>
    </w:rPr>
  </w:style>
  <w:style w:type="character" w:customStyle="1" w:styleId="189">
    <w:name w:val="纯文本 Char1"/>
    <w:qFormat/>
    <w:uiPriority w:val="0"/>
    <w:rPr>
      <w:rFonts w:ascii="宋体" w:hAnsi="Courier New" w:eastAsia="宋体"/>
      <w:spacing w:val="-2"/>
      <w:kern w:val="28"/>
      <w:sz w:val="21"/>
      <w:lang w:val="en-US" w:eastAsia="zh-CN" w:bidi="ar-SA"/>
    </w:rPr>
  </w:style>
  <w:style w:type="paragraph" w:customStyle="1" w:styleId="190">
    <w:name w:val="Char2"/>
    <w:basedOn w:val="1"/>
    <w:qFormat/>
    <w:uiPriority w:val="0"/>
    <w:pPr>
      <w:widowControl/>
      <w:jc w:val="left"/>
    </w:pPr>
    <w:rPr>
      <w:rFonts w:ascii="宋体" w:hAnsi="宋体" w:cs="宋体"/>
      <w:kern w:val="0"/>
      <w:sz w:val="24"/>
    </w:rPr>
  </w:style>
  <w:style w:type="character" w:customStyle="1" w:styleId="191">
    <w:name w:val="表格/图表标题 Char"/>
    <w:link w:val="192"/>
    <w:qFormat/>
    <w:uiPriority w:val="0"/>
    <w:rPr>
      <w:b/>
      <w:bCs/>
      <w:sz w:val="22"/>
      <w:szCs w:val="24"/>
    </w:rPr>
  </w:style>
  <w:style w:type="paragraph" w:customStyle="1" w:styleId="192">
    <w:name w:val="表格/图表标题"/>
    <w:basedOn w:val="1"/>
    <w:next w:val="1"/>
    <w:link w:val="191"/>
    <w:qFormat/>
    <w:uiPriority w:val="0"/>
    <w:pPr>
      <w:spacing w:beforeLines="50"/>
      <w:jc w:val="center"/>
    </w:pPr>
    <w:rPr>
      <w:b/>
      <w:bCs/>
      <w:kern w:val="0"/>
      <w:sz w:val="22"/>
    </w:rPr>
  </w:style>
  <w:style w:type="paragraph" w:customStyle="1" w:styleId="193">
    <w:name w:val="正文111111"/>
    <w:basedOn w:val="13"/>
    <w:qFormat/>
    <w:uiPriority w:val="0"/>
    <w:pPr>
      <w:spacing w:line="360" w:lineRule="auto"/>
      <w:ind w:firstLine="200"/>
    </w:pPr>
  </w:style>
  <w:style w:type="paragraph" w:customStyle="1" w:styleId="194">
    <w:name w:val="君邦正文"/>
    <w:qFormat/>
    <w:locked/>
    <w:uiPriority w:val="0"/>
    <w:pPr>
      <w:spacing w:after="60" w:line="360" w:lineRule="auto"/>
      <w:ind w:firstLine="480" w:firstLineChars="200"/>
      <w:jc w:val="both"/>
    </w:pPr>
    <w:rPr>
      <w:rFonts w:ascii="Times New Roman" w:hAnsi="Times New Roman" w:eastAsia="宋体" w:cs="Times New Roman"/>
      <w:bCs/>
      <w:snapToGrid w:val="0"/>
      <w:sz w:val="24"/>
      <w:szCs w:val="22"/>
      <w:lang w:val="en-US" w:eastAsia="zh-CN" w:bidi="ar-SA"/>
    </w:rPr>
  </w:style>
  <w:style w:type="paragraph" w:customStyle="1" w:styleId="195">
    <w:name w:val="表格文字2"/>
    <w:basedOn w:val="1"/>
    <w:qFormat/>
    <w:uiPriority w:val="0"/>
    <w:pPr>
      <w:tabs>
        <w:tab w:val="left" w:pos="277"/>
        <w:tab w:val="left" w:pos="600"/>
        <w:tab w:val="left" w:pos="780"/>
        <w:tab w:val="left" w:pos="2517"/>
      </w:tabs>
      <w:adjustRightInd w:val="0"/>
      <w:spacing w:before="60"/>
      <w:jc w:val="center"/>
      <w:textAlignment w:val="baseline"/>
    </w:pPr>
    <w:rPr>
      <w:kern w:val="0"/>
      <w:szCs w:val="21"/>
    </w:rPr>
  </w:style>
  <w:style w:type="paragraph" w:customStyle="1" w:styleId="196">
    <w:name w:val="表内文字"/>
    <w:basedOn w:val="1"/>
    <w:qFormat/>
    <w:uiPriority w:val="0"/>
    <w:pPr>
      <w:adjustRightInd w:val="0"/>
      <w:jc w:val="center"/>
      <w:textAlignment w:val="baseline"/>
    </w:pPr>
    <w:rPr>
      <w:szCs w:val="20"/>
    </w:rPr>
  </w:style>
  <w:style w:type="paragraph" w:customStyle="1" w:styleId="197">
    <w:name w:val="xl28"/>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 w:val="24"/>
    </w:rPr>
  </w:style>
  <w:style w:type="character" w:customStyle="1" w:styleId="198">
    <w:name w:val="正文缩进 Char1"/>
    <w:qFormat/>
    <w:uiPriority w:val="0"/>
    <w:rPr>
      <w:kern w:val="2"/>
      <w:sz w:val="21"/>
      <w:szCs w:val="24"/>
    </w:rPr>
  </w:style>
  <w:style w:type="paragraph" w:customStyle="1" w:styleId="199">
    <w:name w:val="xl37"/>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b/>
      <w:bCs/>
      <w:kern w:val="0"/>
      <w:sz w:val="28"/>
      <w:szCs w:val="28"/>
    </w:rPr>
  </w:style>
  <w:style w:type="character" w:customStyle="1" w:styleId="200">
    <w:name w:val="样式 表格 + 黑色 Char Char"/>
    <w:link w:val="201"/>
    <w:qFormat/>
    <w:uiPriority w:val="0"/>
    <w:rPr>
      <w:snapToGrid w:val="0"/>
      <w:color w:val="000000"/>
      <w:spacing w:val="-4"/>
      <w:sz w:val="21"/>
      <w:szCs w:val="21"/>
    </w:rPr>
  </w:style>
  <w:style w:type="paragraph" w:customStyle="1" w:styleId="201">
    <w:name w:val="样式 表格 + 黑色"/>
    <w:basedOn w:val="1"/>
    <w:link w:val="200"/>
    <w:qFormat/>
    <w:uiPriority w:val="0"/>
    <w:pPr>
      <w:adjustRightInd w:val="0"/>
      <w:snapToGrid w:val="0"/>
      <w:jc w:val="center"/>
    </w:pPr>
    <w:rPr>
      <w:snapToGrid w:val="0"/>
      <w:color w:val="000000"/>
      <w:spacing w:val="-4"/>
      <w:kern w:val="0"/>
      <w:szCs w:val="21"/>
    </w:rPr>
  </w:style>
  <w:style w:type="paragraph" w:customStyle="1" w:styleId="202">
    <w:name w:val="修订2"/>
    <w:hidden/>
    <w:semiHidden/>
    <w:qFormat/>
    <w:uiPriority w:val="99"/>
    <w:rPr>
      <w:rFonts w:ascii="Times New Roman" w:hAnsi="Times New Roman" w:eastAsia="宋体" w:cs="Times New Roman"/>
      <w:kern w:val="2"/>
      <w:sz w:val="21"/>
      <w:szCs w:val="24"/>
      <w:lang w:val="en-US" w:eastAsia="zh-CN" w:bidi="ar-SA"/>
    </w:rPr>
  </w:style>
  <w:style w:type="character" w:customStyle="1" w:styleId="203">
    <w:name w:val="报告书表格 Char"/>
    <w:link w:val="204"/>
    <w:qFormat/>
    <w:uiPriority w:val="0"/>
    <w:rPr>
      <w:rFonts w:ascii="宋体" w:hAnsi="宋体" w:cs="宋体"/>
      <w:szCs w:val="24"/>
    </w:rPr>
  </w:style>
  <w:style w:type="paragraph" w:customStyle="1" w:styleId="204">
    <w:name w:val="报告书表格"/>
    <w:basedOn w:val="1"/>
    <w:link w:val="203"/>
    <w:qFormat/>
    <w:uiPriority w:val="0"/>
    <w:pPr>
      <w:adjustRightInd w:val="0"/>
      <w:spacing w:before="60" w:after="60" w:line="240" w:lineRule="atLeast"/>
      <w:jc w:val="center"/>
      <w:textAlignment w:val="baseline"/>
    </w:pPr>
    <w:rPr>
      <w:rFonts w:ascii="宋体" w:hAnsi="宋体" w:cs="宋体"/>
      <w:kern w:val="0"/>
      <w:sz w:val="20"/>
    </w:rPr>
  </w:style>
  <w:style w:type="paragraph" w:customStyle="1" w:styleId="205">
    <w:name w:val="表格内容1"/>
    <w:basedOn w:val="1"/>
    <w:qFormat/>
    <w:uiPriority w:val="0"/>
    <w:pPr>
      <w:adjustRightInd w:val="0"/>
      <w:snapToGrid w:val="0"/>
      <w:spacing w:beforeLines="15" w:afterLines="15" w:line="240" w:lineRule="exact"/>
      <w:jc w:val="center"/>
    </w:pPr>
    <w:rPr>
      <w:rFonts w:ascii="宋体" w:hAnsi="宋体"/>
      <w:snapToGrid w:val="0"/>
      <w:kern w:val="0"/>
    </w:rPr>
  </w:style>
  <w:style w:type="character" w:customStyle="1" w:styleId="206">
    <w:name w:val="apple-style-span"/>
    <w:basedOn w:val="49"/>
    <w:qFormat/>
    <w:uiPriority w:val="0"/>
  </w:style>
  <w:style w:type="paragraph" w:customStyle="1" w:styleId="207">
    <w:name w:val="表文-lcc"/>
    <w:basedOn w:val="27"/>
    <w:qFormat/>
    <w:uiPriority w:val="0"/>
    <w:pPr>
      <w:adjustRightInd/>
      <w:spacing w:before="0" w:line="240" w:lineRule="auto"/>
      <w:jc w:val="center"/>
      <w:textAlignment w:val="auto"/>
    </w:pPr>
    <w:rPr>
      <w:rFonts w:ascii="Times New Roman" w:hAnsi="Times New Roman" w:cs="Courier New"/>
      <w:spacing w:val="0"/>
      <w:kern w:val="2"/>
      <w:szCs w:val="21"/>
    </w:rPr>
  </w:style>
  <w:style w:type="paragraph" w:customStyle="1" w:styleId="208">
    <w:name w:val="表内lcc"/>
    <w:basedOn w:val="1"/>
    <w:qFormat/>
    <w:uiPriority w:val="0"/>
    <w:pPr>
      <w:adjustRightInd w:val="0"/>
      <w:jc w:val="center"/>
    </w:pPr>
    <w:rPr>
      <w:iCs/>
      <w:color w:val="000000"/>
      <w:szCs w:val="21"/>
    </w:rPr>
  </w:style>
  <w:style w:type="character" w:customStyle="1" w:styleId="209">
    <w:name w:val="t_tit01"/>
    <w:qFormat/>
    <w:uiPriority w:val="0"/>
  </w:style>
  <w:style w:type="paragraph" w:customStyle="1" w:styleId="210">
    <w:name w:val="Body Text 22"/>
    <w:qFormat/>
    <w:uiPriority w:val="0"/>
    <w:pPr>
      <w:widowControl w:val="0"/>
      <w:adjustRightInd w:val="0"/>
      <w:spacing w:line="440" w:lineRule="atLeast"/>
      <w:ind w:firstLine="480"/>
      <w:jc w:val="both"/>
      <w:textAlignment w:val="baseline"/>
    </w:pPr>
    <w:rPr>
      <w:rFonts w:ascii="Times New Roman" w:hAnsi="Times New Roman" w:eastAsia="仿宋_GB2312" w:cs="Times New Roman"/>
      <w:kern w:val="2"/>
      <w:sz w:val="24"/>
      <w:lang w:val="en-US" w:eastAsia="zh-CN" w:bidi="ar-SA"/>
    </w:rPr>
  </w:style>
  <w:style w:type="paragraph" w:customStyle="1" w:styleId="211">
    <w:name w:val="正文 首行缩进:  2 字符"/>
    <w:basedOn w:val="1"/>
    <w:link w:val="277"/>
    <w:qFormat/>
    <w:uiPriority w:val="0"/>
    <w:pPr>
      <w:adjustRightInd w:val="0"/>
      <w:snapToGrid w:val="0"/>
      <w:spacing w:line="500" w:lineRule="exact"/>
      <w:ind w:firstLine="200" w:firstLineChars="200"/>
      <w:jc w:val="left"/>
    </w:pPr>
    <w:rPr>
      <w:rFonts w:ascii="Calibri" w:hAnsi="Calibri"/>
      <w:sz w:val="24"/>
      <w:szCs w:val="20"/>
    </w:rPr>
  </w:style>
  <w:style w:type="paragraph" w:customStyle="1" w:styleId="212">
    <w:name w:val="样式 列表 + 左侧:  0 厘米 悬挂缩进: 5.85 字符"/>
    <w:basedOn w:val="37"/>
    <w:qFormat/>
    <w:uiPriority w:val="0"/>
    <w:pPr>
      <w:autoSpaceDE w:val="0"/>
      <w:autoSpaceDN w:val="0"/>
      <w:adjustRightInd w:val="0"/>
      <w:snapToGrid w:val="0"/>
      <w:ind w:left="-2" w:leftChars="-8" w:hanging="17" w:hangingChars="8"/>
      <w:jc w:val="center"/>
    </w:pPr>
    <w:rPr>
      <w:rFonts w:ascii="宋体" w:hAnsi="宋体" w:cs="宋体"/>
      <w:szCs w:val="21"/>
      <w:lang w:val="zh-CN"/>
    </w:rPr>
  </w:style>
  <w:style w:type="paragraph" w:customStyle="1" w:styleId="213">
    <w:name w:val="Char Char Char"/>
    <w:basedOn w:val="1"/>
    <w:qFormat/>
    <w:uiPriority w:val="0"/>
    <w:rPr>
      <w:sz w:val="24"/>
    </w:rPr>
  </w:style>
  <w:style w:type="paragraph" w:customStyle="1" w:styleId="214">
    <w:name w:val="已有表格"/>
    <w:basedOn w:val="1"/>
    <w:qFormat/>
    <w:uiPriority w:val="0"/>
    <w:pPr>
      <w:adjustRightInd w:val="0"/>
      <w:spacing w:before="40" w:after="40"/>
      <w:jc w:val="center"/>
      <w:textAlignment w:val="baseline"/>
    </w:pPr>
    <w:rPr>
      <w:b/>
      <w:kern w:val="0"/>
      <w:sz w:val="24"/>
      <w:szCs w:val="20"/>
    </w:rPr>
  </w:style>
  <w:style w:type="paragraph" w:customStyle="1" w:styleId="215">
    <w:name w:val="标题2"/>
    <w:basedOn w:val="1"/>
    <w:qFormat/>
    <w:uiPriority w:val="0"/>
    <w:pPr>
      <w:widowControl/>
      <w:spacing w:before="100" w:beforeAutospacing="1" w:after="100" w:afterAutospacing="1" w:line="270" w:lineRule="atLeast"/>
      <w:ind w:firstLine="480"/>
      <w:jc w:val="center"/>
    </w:pPr>
    <w:rPr>
      <w:rFonts w:ascii="宋体" w:hAnsi="宋体" w:cs="宋体"/>
      <w:b/>
      <w:bCs/>
      <w:color w:val="FF0000"/>
      <w:kern w:val="0"/>
      <w:sz w:val="27"/>
      <w:szCs w:val="27"/>
      <w:lang w:bidi="th-TH"/>
    </w:rPr>
  </w:style>
  <w:style w:type="paragraph" w:customStyle="1" w:styleId="216">
    <w:name w:val="居中正文"/>
    <w:basedOn w:val="45"/>
    <w:qFormat/>
    <w:uiPriority w:val="0"/>
    <w:pPr>
      <w:adjustRightInd w:val="0"/>
      <w:spacing w:before="120" w:after="0" w:line="360" w:lineRule="auto"/>
      <w:ind w:firstLine="0" w:firstLineChars="0"/>
      <w:jc w:val="center"/>
      <w:textAlignment w:val="baseline"/>
    </w:pPr>
    <w:rPr>
      <w:rFonts w:ascii="宋体"/>
      <w:kern w:val="28"/>
      <w:sz w:val="24"/>
      <w:szCs w:val="20"/>
    </w:rPr>
  </w:style>
  <w:style w:type="paragraph" w:customStyle="1" w:styleId="217">
    <w:name w:val="Char Char Char Char Char Char Char1"/>
    <w:basedOn w:val="1"/>
    <w:qFormat/>
    <w:uiPriority w:val="0"/>
    <w:rPr>
      <w:sz w:val="24"/>
    </w:rPr>
  </w:style>
  <w:style w:type="character" w:customStyle="1" w:styleId="218">
    <w:name w:val="tpc_content1"/>
    <w:qFormat/>
    <w:uiPriority w:val="0"/>
    <w:rPr>
      <w:sz w:val="20"/>
      <w:szCs w:val="20"/>
    </w:rPr>
  </w:style>
  <w:style w:type="paragraph" w:customStyle="1" w:styleId="219">
    <w:name w:val="1"/>
    <w:basedOn w:val="1"/>
    <w:next w:val="27"/>
    <w:qFormat/>
    <w:uiPriority w:val="0"/>
    <w:rPr>
      <w:rFonts w:ascii="宋体" w:hAnsi="Courier New" w:cs="Courier New"/>
      <w:szCs w:val="21"/>
    </w:rPr>
  </w:style>
  <w:style w:type="paragraph" w:customStyle="1" w:styleId="220">
    <w:name w:val="报告表正文"/>
    <w:basedOn w:val="1"/>
    <w:link w:val="221"/>
    <w:qFormat/>
    <w:uiPriority w:val="0"/>
    <w:pPr>
      <w:adjustRightInd w:val="0"/>
      <w:spacing w:line="312" w:lineRule="auto"/>
      <w:ind w:left="113" w:right="113" w:firstLine="482"/>
      <w:jc w:val="left"/>
      <w:textAlignment w:val="baseline"/>
    </w:pPr>
    <w:rPr>
      <w:kern w:val="0"/>
      <w:sz w:val="24"/>
      <w:szCs w:val="20"/>
    </w:rPr>
  </w:style>
  <w:style w:type="character" w:customStyle="1" w:styleId="221">
    <w:name w:val="报告表正文 Char"/>
    <w:link w:val="220"/>
    <w:qFormat/>
    <w:uiPriority w:val="0"/>
    <w:rPr>
      <w:sz w:val="24"/>
    </w:rPr>
  </w:style>
  <w:style w:type="paragraph" w:customStyle="1" w:styleId="222">
    <w:name w:val="默认段落字体 Para Char Char Char Char Char Char Char Char Char Char Char Char Char"/>
    <w:basedOn w:val="1"/>
    <w:qFormat/>
    <w:uiPriority w:val="0"/>
    <w:rPr>
      <w:sz w:val="24"/>
    </w:rPr>
  </w:style>
  <w:style w:type="paragraph" w:customStyle="1" w:styleId="223">
    <w:name w:val="武正文"/>
    <w:basedOn w:val="1"/>
    <w:qFormat/>
    <w:uiPriority w:val="0"/>
    <w:pPr>
      <w:adjustRightInd w:val="0"/>
      <w:snapToGrid w:val="0"/>
      <w:spacing w:line="360" w:lineRule="auto"/>
      <w:ind w:firstLine="200" w:firstLineChars="200"/>
    </w:pPr>
    <w:rPr>
      <w:rFonts w:hAnsi="宋体"/>
      <w:color w:val="000000"/>
      <w:sz w:val="24"/>
    </w:rPr>
  </w:style>
  <w:style w:type="paragraph" w:customStyle="1" w:styleId="224">
    <w:name w:val="正文四号"/>
    <w:basedOn w:val="1"/>
    <w:qFormat/>
    <w:uiPriority w:val="0"/>
    <w:pPr>
      <w:adjustRightInd w:val="0"/>
      <w:snapToGrid w:val="0"/>
      <w:ind w:firstLine="480" w:firstLineChars="200"/>
      <w:jc w:val="center"/>
      <w:textAlignment w:val="baseline"/>
    </w:pPr>
    <w:rPr>
      <w:b/>
      <w:sz w:val="24"/>
    </w:rPr>
  </w:style>
  <w:style w:type="paragraph" w:customStyle="1" w:styleId="225">
    <w:name w:val="单元格"/>
    <w:basedOn w:val="1"/>
    <w:qFormat/>
    <w:uiPriority w:val="0"/>
    <w:pPr>
      <w:jc w:val="center"/>
    </w:pPr>
    <w:rPr>
      <w:rFonts w:ascii="楷体_GB2312" w:eastAsia="楷体_GB2312"/>
      <w:szCs w:val="20"/>
    </w:rPr>
  </w:style>
  <w:style w:type="paragraph" w:customStyle="1" w:styleId="226">
    <w:name w:val="Char Char Char1"/>
    <w:basedOn w:val="1"/>
    <w:qFormat/>
    <w:uiPriority w:val="0"/>
    <w:pPr>
      <w:spacing w:line="240" w:lineRule="exact"/>
      <w:ind w:firstLine="200" w:firstLineChars="200"/>
    </w:pPr>
    <w:rPr>
      <w:sz w:val="28"/>
      <w:szCs w:val="28"/>
    </w:rPr>
  </w:style>
  <w:style w:type="paragraph" w:customStyle="1" w:styleId="227">
    <w:name w:val="xl27"/>
    <w:basedOn w:val="1"/>
    <w:qFormat/>
    <w:uiPriority w:val="0"/>
    <w:pPr>
      <w:widowControl/>
      <w:pBdr>
        <w:bottom w:val="single" w:color="auto" w:sz="12" w:space="0"/>
      </w:pBdr>
      <w:spacing w:before="100" w:after="100"/>
      <w:jc w:val="center"/>
    </w:pPr>
    <w:rPr>
      <w:rFonts w:ascii="宋体" w:hAnsi="宋体"/>
      <w:kern w:val="0"/>
      <w:szCs w:val="20"/>
    </w:rPr>
  </w:style>
  <w:style w:type="paragraph" w:customStyle="1" w:styleId="228">
    <w:name w:val="环正文"/>
    <w:basedOn w:val="1"/>
    <w:link w:val="229"/>
    <w:qFormat/>
    <w:uiPriority w:val="0"/>
    <w:pPr>
      <w:widowControl/>
      <w:tabs>
        <w:tab w:val="left" w:pos="1464"/>
      </w:tabs>
      <w:suppressAutoHyphens/>
      <w:spacing w:line="360" w:lineRule="auto"/>
      <w:ind w:firstLine="480" w:firstLineChars="200"/>
      <w:textAlignment w:val="baseline"/>
    </w:pPr>
    <w:rPr>
      <w:rFonts w:ascii="宋体" w:hAnsi="宋体"/>
      <w:kern w:val="0"/>
      <w:sz w:val="24"/>
    </w:rPr>
  </w:style>
  <w:style w:type="character" w:customStyle="1" w:styleId="229">
    <w:name w:val="环正文 Char"/>
    <w:link w:val="228"/>
    <w:qFormat/>
    <w:uiPriority w:val="0"/>
    <w:rPr>
      <w:rFonts w:ascii="宋体" w:hAnsi="宋体"/>
      <w:sz w:val="24"/>
      <w:szCs w:val="24"/>
    </w:rPr>
  </w:style>
  <w:style w:type="paragraph" w:customStyle="1" w:styleId="230">
    <w:name w:val="环表头"/>
    <w:basedOn w:val="228"/>
    <w:next w:val="1"/>
    <w:link w:val="231"/>
    <w:qFormat/>
    <w:uiPriority w:val="0"/>
    <w:pPr>
      <w:spacing w:before="100" w:beforeAutospacing="1" w:after="60" w:line="240" w:lineRule="atLeast"/>
      <w:ind w:right="28" w:firstLine="0" w:firstLineChars="0"/>
      <w:jc w:val="center"/>
    </w:pPr>
    <w:rPr>
      <w:b/>
      <w:kern w:val="2"/>
    </w:rPr>
  </w:style>
  <w:style w:type="character" w:customStyle="1" w:styleId="231">
    <w:name w:val="环表头 Char3"/>
    <w:link w:val="230"/>
    <w:qFormat/>
    <w:uiPriority w:val="0"/>
    <w:rPr>
      <w:rFonts w:ascii="宋体" w:hAnsi="宋体"/>
      <w:b/>
      <w:kern w:val="2"/>
      <w:sz w:val="24"/>
      <w:szCs w:val="24"/>
    </w:rPr>
  </w:style>
  <w:style w:type="paragraph" w:customStyle="1" w:styleId="232">
    <w:name w:val="页末正文"/>
    <w:basedOn w:val="1"/>
    <w:qFormat/>
    <w:uiPriority w:val="0"/>
    <w:pPr>
      <w:spacing w:after="240" w:line="480" w:lineRule="exact"/>
      <w:ind w:firstLine="560" w:firstLineChars="200"/>
    </w:pPr>
    <w:rPr>
      <w:rFonts w:eastAsia="楷体_GB2312"/>
      <w:color w:val="000000"/>
      <w:sz w:val="28"/>
      <w:szCs w:val="20"/>
    </w:rPr>
  </w:style>
  <w:style w:type="paragraph" w:customStyle="1" w:styleId="233">
    <w:name w:val="博泵1"/>
    <w:basedOn w:val="1"/>
    <w:link w:val="234"/>
    <w:semiHidden/>
    <w:qFormat/>
    <w:uiPriority w:val="0"/>
    <w:pPr>
      <w:adjustRightInd w:val="0"/>
      <w:snapToGrid w:val="0"/>
      <w:spacing w:line="480" w:lineRule="exact"/>
      <w:ind w:firstLine="200" w:firstLineChars="200"/>
      <w:jc w:val="left"/>
      <w:textAlignment w:val="baseline"/>
    </w:pPr>
    <w:rPr>
      <w:rFonts w:hAnsi="宋体" w:cs="宋体"/>
      <w:color w:val="000000"/>
      <w:kern w:val="0"/>
      <w:sz w:val="24"/>
      <w:szCs w:val="20"/>
    </w:rPr>
  </w:style>
  <w:style w:type="character" w:customStyle="1" w:styleId="234">
    <w:name w:val="博泵1 Char"/>
    <w:link w:val="233"/>
    <w:semiHidden/>
    <w:qFormat/>
    <w:uiPriority w:val="0"/>
    <w:rPr>
      <w:rFonts w:hAnsi="宋体" w:cs="宋体"/>
      <w:color w:val="000000"/>
      <w:sz w:val="24"/>
    </w:rPr>
  </w:style>
  <w:style w:type="paragraph" w:customStyle="1" w:styleId="235">
    <w:name w:val="Char Char Char Char Char Char1 Char Char Char Char"/>
    <w:basedOn w:val="1"/>
    <w:qFormat/>
    <w:uiPriority w:val="0"/>
    <w:rPr>
      <w:sz w:val="24"/>
    </w:rPr>
  </w:style>
  <w:style w:type="paragraph" w:customStyle="1" w:styleId="236">
    <w:name w:val="h"/>
    <w:basedOn w:val="1"/>
    <w:qFormat/>
    <w:uiPriority w:val="0"/>
    <w:pPr>
      <w:spacing w:before="60"/>
      <w:ind w:firstLine="482"/>
    </w:pPr>
    <w:rPr>
      <w:rFonts w:ascii="Arial" w:hAnsi="Arial"/>
      <w:kern w:val="0"/>
      <w:sz w:val="24"/>
      <w:szCs w:val="20"/>
    </w:rPr>
  </w:style>
  <w:style w:type="paragraph" w:customStyle="1" w:styleId="237">
    <w:name w:val="样式 (西文) Times New Roman (中文) 宋体 小四 加粗"/>
    <w:basedOn w:val="6"/>
    <w:next w:val="6"/>
    <w:link w:val="238"/>
    <w:qFormat/>
    <w:uiPriority w:val="0"/>
    <w:pPr>
      <w:tabs>
        <w:tab w:val="left" w:pos="425"/>
        <w:tab w:val="left" w:pos="2976"/>
      </w:tabs>
      <w:adjustRightInd w:val="0"/>
      <w:snapToGrid w:val="0"/>
      <w:spacing w:before="0" w:after="0" w:line="360" w:lineRule="auto"/>
      <w:outlineLvl w:val="0"/>
    </w:pPr>
    <w:rPr>
      <w:rFonts w:ascii="Times New Roman" w:hAnsi="Times New Roman" w:eastAsia="宋体" w:cs="Times New Roman"/>
      <w:bCs w:val="0"/>
      <w:color w:val="000000"/>
      <w:sz w:val="24"/>
    </w:rPr>
  </w:style>
  <w:style w:type="character" w:customStyle="1" w:styleId="238">
    <w:name w:val="样式 (西文) Times New Roman (中文) 宋体 小四 加粗 Char"/>
    <w:link w:val="237"/>
    <w:qFormat/>
    <w:uiPriority w:val="0"/>
    <w:rPr>
      <w:b/>
      <w:color w:val="000000"/>
      <w:kern w:val="2"/>
      <w:sz w:val="24"/>
      <w:szCs w:val="28"/>
    </w:rPr>
  </w:style>
  <w:style w:type="paragraph" w:customStyle="1" w:styleId="239">
    <w:name w:val="表格标题新"/>
    <w:basedOn w:val="151"/>
    <w:link w:val="240"/>
    <w:qFormat/>
    <w:uiPriority w:val="0"/>
    <w:pPr>
      <w:spacing w:beforeLines="50"/>
      <w:ind w:firstLine="562"/>
    </w:pPr>
    <w:rPr>
      <w:rFonts w:ascii="宋体" w:hAnsi="宋体" w:eastAsia="黑体"/>
      <w:b/>
      <w:snapToGrid w:val="0"/>
      <w:szCs w:val="21"/>
    </w:rPr>
  </w:style>
  <w:style w:type="character" w:customStyle="1" w:styleId="240">
    <w:name w:val="表格标题新 Char"/>
    <w:link w:val="239"/>
    <w:qFormat/>
    <w:uiPriority w:val="0"/>
    <w:rPr>
      <w:rFonts w:ascii="宋体" w:hAnsi="宋体" w:eastAsia="黑体"/>
      <w:b/>
      <w:snapToGrid w:val="0"/>
      <w:kern w:val="2"/>
      <w:sz w:val="24"/>
      <w:szCs w:val="21"/>
    </w:rPr>
  </w:style>
  <w:style w:type="paragraph" w:customStyle="1" w:styleId="241">
    <w:name w:val="样式 样式 标题 2节 + (西文) Times New Roman (中文) 宋体 四号 段前: 0.5 行 段后: 0......"/>
    <w:basedOn w:val="1"/>
    <w:qFormat/>
    <w:uiPriority w:val="0"/>
    <w:pPr>
      <w:keepNext/>
      <w:keepLines/>
      <w:numPr>
        <w:ilvl w:val="1"/>
        <w:numId w:val="1"/>
      </w:numPr>
      <w:adjustRightInd w:val="0"/>
      <w:snapToGrid w:val="0"/>
      <w:spacing w:beforeLines="50" w:line="360" w:lineRule="auto"/>
      <w:outlineLvl w:val="1"/>
    </w:pPr>
    <w:rPr>
      <w:rFonts w:ascii="宋体" w:hAnsi="宋体"/>
      <w:b/>
      <w:bCs/>
      <w:sz w:val="30"/>
      <w:szCs w:val="30"/>
    </w:rPr>
  </w:style>
  <w:style w:type="paragraph" w:customStyle="1" w:styleId="242">
    <w:name w:val="样式 标题 3 + (西文) Times New Roman (中文) 宋体 小四 加粗"/>
    <w:basedOn w:val="5"/>
    <w:qFormat/>
    <w:uiPriority w:val="0"/>
    <w:pPr>
      <w:numPr>
        <w:ilvl w:val="2"/>
        <w:numId w:val="1"/>
      </w:numPr>
      <w:tabs>
        <w:tab w:val="left" w:pos="432"/>
        <w:tab w:val="left" w:pos="2126"/>
      </w:tabs>
      <w:adjustRightInd w:val="0"/>
      <w:snapToGrid w:val="0"/>
      <w:spacing w:beforeLines="50" w:after="0" w:line="360" w:lineRule="auto"/>
      <w:jc w:val="left"/>
    </w:pPr>
    <w:rPr>
      <w:rFonts w:ascii="宋体" w:hAnsi="宋体"/>
      <w:bCs/>
      <w:snapToGrid w:val="0"/>
      <w:sz w:val="28"/>
      <w:szCs w:val="28"/>
    </w:rPr>
  </w:style>
  <w:style w:type="paragraph" w:customStyle="1" w:styleId="243">
    <w:name w:val="样式 标题 1 + (中文) 宋体 小三 行距: 多倍行距 1.35 字行"/>
    <w:basedOn w:val="1"/>
    <w:qFormat/>
    <w:uiPriority w:val="0"/>
    <w:pPr>
      <w:numPr>
        <w:ilvl w:val="0"/>
        <w:numId w:val="1"/>
      </w:numPr>
    </w:pPr>
  </w:style>
  <w:style w:type="paragraph" w:customStyle="1" w:styleId="244">
    <w:name w:val="样式 标题 4 + (西文) Times New Roman (中文) 宋体 小四"/>
    <w:basedOn w:val="1"/>
    <w:qFormat/>
    <w:uiPriority w:val="0"/>
    <w:pPr>
      <w:numPr>
        <w:ilvl w:val="3"/>
        <w:numId w:val="1"/>
      </w:numPr>
    </w:pPr>
  </w:style>
  <w:style w:type="paragraph" w:customStyle="1" w:styleId="245">
    <w:name w:val="表标题"/>
    <w:basedOn w:val="1"/>
    <w:qFormat/>
    <w:uiPriority w:val="0"/>
    <w:pPr>
      <w:spacing w:line="500" w:lineRule="exact"/>
      <w:ind w:firstLine="482" w:firstLineChars="200"/>
      <w:jc w:val="center"/>
    </w:pPr>
    <w:rPr>
      <w:rFonts w:ascii="仿宋_GB2312" w:eastAsia="仿宋_GB2312"/>
      <w:b/>
      <w:bCs/>
      <w:sz w:val="24"/>
    </w:rPr>
  </w:style>
  <w:style w:type="paragraph" w:customStyle="1" w:styleId="246">
    <w:name w:val="Char3"/>
    <w:basedOn w:val="1"/>
    <w:qFormat/>
    <w:uiPriority w:val="0"/>
    <w:pPr>
      <w:spacing w:line="240" w:lineRule="exact"/>
      <w:ind w:firstLine="200" w:firstLineChars="200"/>
    </w:pPr>
    <w:rPr>
      <w:sz w:val="28"/>
      <w:szCs w:val="28"/>
    </w:rPr>
  </w:style>
  <w:style w:type="paragraph" w:customStyle="1" w:styleId="247">
    <w:name w:val="表蕊"/>
    <w:basedOn w:val="1"/>
    <w:link w:val="248"/>
    <w:qFormat/>
    <w:uiPriority w:val="0"/>
    <w:pPr>
      <w:adjustRightInd w:val="0"/>
      <w:spacing w:line="320" w:lineRule="atLeast"/>
      <w:jc w:val="left"/>
      <w:textAlignment w:val="baseline"/>
    </w:pPr>
    <w:rPr>
      <w:rFonts w:eastAsia="楷体_GB2312"/>
      <w:spacing w:val="-10"/>
      <w:kern w:val="0"/>
      <w:szCs w:val="20"/>
    </w:rPr>
  </w:style>
  <w:style w:type="character" w:customStyle="1" w:styleId="248">
    <w:name w:val="表蕊 Char1"/>
    <w:link w:val="247"/>
    <w:qFormat/>
    <w:uiPriority w:val="0"/>
    <w:rPr>
      <w:rFonts w:eastAsia="楷体_GB2312"/>
      <w:spacing w:val="-10"/>
      <w:sz w:val="21"/>
    </w:rPr>
  </w:style>
  <w:style w:type="character" w:customStyle="1" w:styleId="249">
    <w:name w:val="dec_font_style1"/>
    <w:qFormat/>
    <w:uiPriority w:val="0"/>
    <w:rPr>
      <w:sz w:val="21"/>
      <w:szCs w:val="21"/>
    </w:rPr>
  </w:style>
  <w:style w:type="paragraph" w:customStyle="1" w:styleId="250">
    <w:name w:val="4"/>
    <w:basedOn w:val="1"/>
    <w:next w:val="1"/>
    <w:qFormat/>
    <w:uiPriority w:val="0"/>
    <w:pPr>
      <w:spacing w:line="360" w:lineRule="auto"/>
      <w:ind w:firstLine="200" w:firstLineChars="200"/>
    </w:pPr>
  </w:style>
  <w:style w:type="paragraph" w:customStyle="1" w:styleId="251">
    <w:name w:val="char"/>
    <w:basedOn w:val="1"/>
    <w:qFormat/>
    <w:uiPriority w:val="0"/>
    <w:pPr>
      <w:widowControl/>
      <w:spacing w:after="160"/>
      <w:jc w:val="left"/>
    </w:pPr>
    <w:rPr>
      <w:kern w:val="0"/>
      <w:sz w:val="20"/>
      <w:szCs w:val="20"/>
    </w:rPr>
  </w:style>
  <w:style w:type="paragraph" w:customStyle="1" w:styleId="252">
    <w:name w:val="Char Char Char1 Char Char Char Char Char Char Char Char Char Char Char Char Char"/>
    <w:basedOn w:val="1"/>
    <w:qFormat/>
    <w:uiPriority w:val="0"/>
    <w:rPr>
      <w:szCs w:val="21"/>
    </w:rPr>
  </w:style>
  <w:style w:type="paragraph" w:customStyle="1" w:styleId="253">
    <w:name w:val="_Style 30"/>
    <w:basedOn w:val="1"/>
    <w:qFormat/>
    <w:uiPriority w:val="0"/>
    <w:rPr>
      <w:sz w:val="24"/>
      <w:szCs w:val="20"/>
    </w:rPr>
  </w:style>
  <w:style w:type="paragraph" w:customStyle="1" w:styleId="254">
    <w:name w:val="Char Char1 Char"/>
    <w:basedOn w:val="1"/>
    <w:qFormat/>
    <w:uiPriority w:val="0"/>
    <w:rPr>
      <w:sz w:val="24"/>
    </w:rPr>
  </w:style>
  <w:style w:type="paragraph" w:customStyle="1" w:styleId="255">
    <w:name w:val="表文"/>
    <w:basedOn w:val="2"/>
    <w:next w:val="13"/>
    <w:qFormat/>
    <w:uiPriority w:val="0"/>
    <w:pPr>
      <w:widowControl w:val="0"/>
      <w:snapToGrid/>
      <w:spacing w:before="0" w:after="0" w:line="360" w:lineRule="auto"/>
      <w:ind w:right="0"/>
      <w:jc w:val="center"/>
    </w:pPr>
    <w:rPr>
      <w:rFonts w:eastAsia="仿宋_GB2312"/>
      <w:kern w:val="2"/>
      <w:sz w:val="24"/>
    </w:rPr>
  </w:style>
  <w:style w:type="paragraph" w:styleId="256">
    <w:name w:val="No Spacing"/>
    <w:link w:val="276"/>
    <w:qFormat/>
    <w:uiPriority w:val="1"/>
    <w:pPr>
      <w:widowControl w:val="0"/>
      <w:jc w:val="both"/>
    </w:pPr>
    <w:rPr>
      <w:rFonts w:ascii="Calibri" w:hAnsi="Calibri" w:eastAsia="宋体" w:cs="Times New Roman"/>
      <w:kern w:val="2"/>
      <w:sz w:val="21"/>
      <w:szCs w:val="22"/>
      <w:lang w:val="en-US" w:eastAsia="zh-CN" w:bidi="ar-SA"/>
    </w:rPr>
  </w:style>
  <w:style w:type="paragraph" w:customStyle="1" w:styleId="257">
    <w:name w:val="reader-word-layer"/>
    <w:basedOn w:val="1"/>
    <w:qFormat/>
    <w:uiPriority w:val="0"/>
    <w:pPr>
      <w:widowControl/>
      <w:spacing w:before="100" w:beforeAutospacing="1" w:after="100" w:afterAutospacing="1"/>
      <w:jc w:val="left"/>
    </w:pPr>
    <w:rPr>
      <w:rFonts w:ascii="宋体" w:hAnsi="宋体" w:cs="宋体"/>
      <w:kern w:val="0"/>
      <w:sz w:val="24"/>
    </w:rPr>
  </w:style>
  <w:style w:type="character" w:customStyle="1" w:styleId="258">
    <w:name w:val="正本文字 Char Char"/>
    <w:qFormat/>
    <w:uiPriority w:val="0"/>
    <w:rPr>
      <w:rFonts w:ascii="宋体" w:hAnsi="宋体"/>
      <w:kern w:val="18"/>
      <w:sz w:val="24"/>
    </w:rPr>
  </w:style>
  <w:style w:type="paragraph" w:customStyle="1" w:styleId="259">
    <w:name w:val="【标题4】"/>
    <w:basedOn w:val="1"/>
    <w:qFormat/>
    <w:uiPriority w:val="0"/>
    <w:pPr>
      <w:keepLines/>
      <w:numPr>
        <w:ilvl w:val="4"/>
        <w:numId w:val="2"/>
      </w:numPr>
      <w:tabs>
        <w:tab w:val="left" w:pos="1008"/>
      </w:tabs>
      <w:spacing w:before="120" w:after="120"/>
      <w:jc w:val="left"/>
      <w:outlineLvl w:val="3"/>
    </w:pPr>
    <w:rPr>
      <w:rFonts w:asciiTheme="minorHAnsi" w:hAnsiTheme="minorHAnsi" w:eastAsiaTheme="minorEastAsia" w:cstheme="minorBidi"/>
      <w:b/>
      <w:bCs/>
      <w:sz w:val="28"/>
      <w:szCs w:val="22"/>
    </w:rPr>
  </w:style>
  <w:style w:type="character" w:customStyle="1" w:styleId="260">
    <w:name w:val="company-content"/>
    <w:basedOn w:val="49"/>
    <w:qFormat/>
    <w:uiPriority w:val="0"/>
    <w:rPr>
      <w:sz w:val="24"/>
      <w:szCs w:val="24"/>
    </w:rPr>
  </w:style>
  <w:style w:type="paragraph" w:customStyle="1" w:styleId="261">
    <w:name w:val="2"/>
    <w:basedOn w:val="1"/>
    <w:next w:val="13"/>
    <w:qFormat/>
    <w:uiPriority w:val="0"/>
    <w:pPr>
      <w:ind w:firstLine="200" w:firstLineChars="200"/>
    </w:pPr>
    <w:rPr>
      <w:color w:val="000000"/>
    </w:rPr>
  </w:style>
  <w:style w:type="paragraph" w:customStyle="1" w:styleId="262">
    <w:name w:val="Char Char2 Char Char Char Char91"/>
    <w:qFormat/>
    <w:uiPriority w:val="0"/>
    <w:rPr>
      <w:rFonts w:ascii="宋体" w:hAnsi="宋体" w:eastAsia="宋体" w:cs="宋体"/>
      <w:sz w:val="24"/>
      <w:szCs w:val="24"/>
      <w:lang w:val="en-US" w:eastAsia="zh-CN" w:bidi="ar-SA"/>
    </w:rPr>
  </w:style>
  <w:style w:type="character" w:customStyle="1" w:styleId="263">
    <w:name w:val="不明显强调1"/>
    <w:basedOn w:val="49"/>
    <w:qFormat/>
    <w:uiPriority w:val="19"/>
    <w:rPr>
      <w:i/>
      <w:iCs/>
      <w:color w:val="404040" w:themeColor="text1" w:themeTint="BF"/>
      <w14:textFill>
        <w14:solidFill>
          <w14:schemeClr w14:val="tx1">
            <w14:lumMod w14:val="75000"/>
            <w14:lumOff w14:val="25000"/>
          </w14:schemeClr>
        </w14:solidFill>
      </w14:textFill>
    </w:rPr>
  </w:style>
  <w:style w:type="paragraph" w:customStyle="1" w:styleId="264">
    <w:name w:val="正文小四首缩1.3行距"/>
    <w:basedOn w:val="1"/>
    <w:qFormat/>
    <w:uiPriority w:val="0"/>
    <w:pPr>
      <w:spacing w:line="360" w:lineRule="auto"/>
      <w:ind w:firstLine="480" w:firstLineChars="200"/>
    </w:pPr>
    <w:rPr>
      <w:rFonts w:ascii="Calibri" w:hAnsi="Calibri"/>
      <w:bCs/>
      <w:sz w:val="24"/>
      <w:szCs w:val="20"/>
    </w:rPr>
  </w:style>
  <w:style w:type="paragraph" w:customStyle="1" w:styleId="265">
    <w:name w:val="图标标题"/>
    <w:basedOn w:val="1"/>
    <w:qFormat/>
    <w:uiPriority w:val="0"/>
    <w:pPr>
      <w:spacing w:before="120" w:beforeLines="50"/>
      <w:jc w:val="center"/>
    </w:pPr>
    <w:rPr>
      <w:rFonts w:cs="宋体"/>
      <w:b/>
    </w:rPr>
  </w:style>
  <w:style w:type="table" w:customStyle="1" w:styleId="266">
    <w:name w:val="网格型2"/>
    <w:basedOn w:val="46"/>
    <w:qFormat/>
    <w:uiPriority w:val="0"/>
    <w:pPr>
      <w:widowControl w:val="0"/>
      <w:jc w:val="both"/>
    </w:pPr>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7">
    <w:name w:val="D正文 Char"/>
    <w:basedOn w:val="268"/>
    <w:link w:val="270"/>
    <w:qFormat/>
    <w:uiPriority w:val="0"/>
    <w:rPr>
      <w:rFonts w:hAnsi="宋体"/>
      <w:szCs w:val="24"/>
    </w:rPr>
  </w:style>
  <w:style w:type="character" w:customStyle="1" w:styleId="268">
    <w:name w:val="正文对的 Char"/>
    <w:link w:val="269"/>
    <w:semiHidden/>
    <w:qFormat/>
    <w:uiPriority w:val="0"/>
    <w:rPr>
      <w:rFonts w:hAnsi="宋体"/>
      <w:szCs w:val="24"/>
    </w:rPr>
  </w:style>
  <w:style w:type="paragraph" w:customStyle="1" w:styleId="269">
    <w:name w:val="正文对的"/>
    <w:basedOn w:val="1"/>
    <w:link w:val="268"/>
    <w:semiHidden/>
    <w:qFormat/>
    <w:uiPriority w:val="0"/>
    <w:pPr>
      <w:spacing w:line="500" w:lineRule="exact"/>
      <w:ind w:firstLine="200" w:firstLineChars="200"/>
      <w:jc w:val="left"/>
    </w:pPr>
    <w:rPr>
      <w:rFonts w:hAnsi="宋体"/>
      <w:kern w:val="0"/>
      <w:sz w:val="20"/>
    </w:rPr>
  </w:style>
  <w:style w:type="paragraph" w:customStyle="1" w:styleId="270">
    <w:name w:val="D正文"/>
    <w:basedOn w:val="269"/>
    <w:link w:val="267"/>
    <w:qFormat/>
    <w:uiPriority w:val="0"/>
    <w:pPr>
      <w:adjustRightInd w:val="0"/>
      <w:snapToGrid w:val="0"/>
      <w:spacing w:line="360" w:lineRule="auto"/>
      <w:jc w:val="both"/>
    </w:pPr>
  </w:style>
  <w:style w:type="paragraph" w:customStyle="1" w:styleId="271">
    <w:name w:val="正文表格"/>
    <w:basedOn w:val="13"/>
    <w:qFormat/>
    <w:uiPriority w:val="0"/>
    <w:pPr>
      <w:adjustRightInd w:val="0"/>
      <w:spacing w:line="360" w:lineRule="auto"/>
    </w:pPr>
    <w:rPr>
      <w:rFonts w:hAnsi="Calibri"/>
      <w:bCs/>
      <w:sz w:val="24"/>
      <w:szCs w:val="20"/>
    </w:rPr>
  </w:style>
  <w:style w:type="paragraph" w:customStyle="1" w:styleId="272">
    <w:name w:val="表格首行"/>
    <w:basedOn w:val="74"/>
    <w:link w:val="273"/>
    <w:qFormat/>
    <w:uiPriority w:val="0"/>
    <w:pPr>
      <w:widowControl/>
      <w:jc w:val="center"/>
      <w:textAlignment w:val="center"/>
    </w:pPr>
    <w:rPr>
      <w:b/>
      <w:color w:val="000000"/>
      <w:kern w:val="0"/>
      <w:szCs w:val="21"/>
    </w:rPr>
  </w:style>
  <w:style w:type="character" w:customStyle="1" w:styleId="273">
    <w:name w:val="表格首行 字符"/>
    <w:basedOn w:val="49"/>
    <w:link w:val="272"/>
    <w:qFormat/>
    <w:uiPriority w:val="0"/>
    <w:rPr>
      <w:b/>
      <w:color w:val="000000"/>
      <w:sz w:val="21"/>
      <w:szCs w:val="21"/>
    </w:rPr>
  </w:style>
  <w:style w:type="character" w:customStyle="1" w:styleId="274">
    <w:name w:val="表格文字 字符"/>
    <w:basedOn w:val="49"/>
    <w:qFormat/>
    <w:uiPriority w:val="0"/>
    <w:rPr>
      <w:color w:val="000000" w:themeColor="text1"/>
      <w:kern w:val="2"/>
      <w:sz w:val="21"/>
      <w:szCs w:val="21"/>
      <w14:textFill>
        <w14:solidFill>
          <w14:schemeClr w14:val="tx1"/>
        </w14:solidFill>
      </w14:textFill>
    </w:rPr>
  </w:style>
  <w:style w:type="character" w:customStyle="1" w:styleId="275">
    <w:name w:val="批注主题 Char1"/>
    <w:basedOn w:val="115"/>
    <w:semiHidden/>
    <w:qFormat/>
    <w:uiPriority w:val="99"/>
    <w:rPr>
      <w:b/>
      <w:bCs/>
      <w:kern w:val="2"/>
      <w:sz w:val="21"/>
      <w:szCs w:val="24"/>
    </w:rPr>
  </w:style>
  <w:style w:type="character" w:customStyle="1" w:styleId="276">
    <w:name w:val="无间隔 字符"/>
    <w:link w:val="256"/>
    <w:qFormat/>
    <w:uiPriority w:val="1"/>
    <w:rPr>
      <w:rFonts w:ascii="Calibri" w:hAnsi="Calibri"/>
      <w:kern w:val="2"/>
      <w:sz w:val="21"/>
      <w:szCs w:val="22"/>
    </w:rPr>
  </w:style>
  <w:style w:type="character" w:customStyle="1" w:styleId="277">
    <w:name w:val="正文 首行缩进:  2 字符 Char"/>
    <w:link w:val="211"/>
    <w:qFormat/>
    <w:uiPriority w:val="0"/>
    <w:rPr>
      <w:rFonts w:ascii="Calibri" w:hAnsi="Calibri"/>
      <w:kern w:val="2"/>
      <w:sz w:val="24"/>
    </w:rPr>
  </w:style>
  <w:style w:type="character" w:customStyle="1" w:styleId="278">
    <w:name w:val="Default Char"/>
    <w:link w:val="16"/>
    <w:qFormat/>
    <w:uiPriority w:val="0"/>
    <w:rPr>
      <w:rFonts w:ascii="宋体" w:hAnsi="Calibri" w:cs="宋体"/>
      <w:b/>
      <w:color w:val="000000"/>
      <w:kern w:val="2"/>
      <w:sz w:val="24"/>
      <w:szCs w:val="24"/>
    </w:rPr>
  </w:style>
  <w:style w:type="paragraph" w:customStyle="1" w:styleId="279">
    <w:name w:val="et21"/>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jc w:val="center"/>
    </w:pPr>
    <w:rPr>
      <w:color w:val="000000"/>
      <w:kern w:val="0"/>
      <w:szCs w:val="21"/>
    </w:rPr>
  </w:style>
  <w:style w:type="paragraph" w:customStyle="1" w:styleId="280">
    <w:name w:val="TOC 81"/>
    <w:basedOn w:val="1"/>
    <w:next w:val="1"/>
    <w:unhideWhenUsed/>
    <w:qFormat/>
    <w:uiPriority w:val="39"/>
    <w:pPr>
      <w:ind w:left="2940" w:leftChars="1400"/>
    </w:pPr>
    <w:rPr>
      <w:rFonts w:ascii="等线" w:hAnsi="等线" w:eastAsia="等线" w:cstheme="minorBidi"/>
      <w:szCs w:val="22"/>
    </w:rPr>
  </w:style>
  <w:style w:type="paragraph" w:customStyle="1" w:styleId="281">
    <w:name w:val="表格中文字"/>
    <w:basedOn w:val="1"/>
    <w:link w:val="282"/>
    <w:qFormat/>
    <w:uiPriority w:val="0"/>
    <w:pPr>
      <w:adjustRightInd w:val="0"/>
      <w:snapToGrid w:val="0"/>
      <w:jc w:val="center"/>
    </w:pPr>
    <w:rPr>
      <w:kern w:val="18"/>
      <w:szCs w:val="21"/>
    </w:rPr>
  </w:style>
  <w:style w:type="character" w:customStyle="1" w:styleId="282">
    <w:name w:val="表格中文字 Char"/>
    <w:link w:val="281"/>
    <w:qFormat/>
    <w:uiPriority w:val="0"/>
    <w:rPr>
      <w:kern w:val="18"/>
      <w:sz w:val="21"/>
      <w:szCs w:val="21"/>
    </w:rPr>
  </w:style>
  <w:style w:type="paragraph" w:customStyle="1" w:styleId="283">
    <w:name w:val="环评正文"/>
    <w:qFormat/>
    <w:uiPriority w:val="0"/>
    <w:pPr>
      <w:widowControl w:val="0"/>
      <w:adjustRightInd w:val="0"/>
      <w:snapToGrid w:val="0"/>
      <w:spacing w:line="360" w:lineRule="auto"/>
      <w:ind w:firstLine="480" w:firstLineChars="200"/>
      <w:jc w:val="both"/>
    </w:pPr>
    <w:rPr>
      <w:rFonts w:ascii="Times New Roman" w:hAnsi="Times New Roman" w:eastAsia="宋体" w:cs="Times New Roman"/>
      <w:sz w:val="24"/>
      <w:szCs w:val="24"/>
      <w:lang w:val="en-US" w:eastAsia="zh-CN" w:bidi="ar-SA"/>
    </w:rPr>
  </w:style>
  <w:style w:type="paragraph" w:customStyle="1" w:styleId="284">
    <w:name w:val="修订3"/>
    <w:hidden/>
    <w:semiHidden/>
    <w:qFormat/>
    <w:uiPriority w:val="99"/>
    <w:rPr>
      <w:rFonts w:ascii="Times New Roman" w:hAnsi="Times New Roman" w:eastAsia="宋体" w:cs="Times New Roman"/>
      <w:kern w:val="2"/>
      <w:sz w:val="21"/>
      <w:szCs w:val="24"/>
      <w:lang w:val="en-US" w:eastAsia="zh-CN" w:bidi="ar-SA"/>
    </w:rPr>
  </w:style>
  <w:style w:type="paragraph" w:customStyle="1" w:styleId="285">
    <w:name w:val="！正文"/>
    <w:basedOn w:val="1"/>
    <w:qFormat/>
    <w:uiPriority w:val="0"/>
    <w:pPr>
      <w:spacing w:line="360" w:lineRule="auto"/>
      <w:ind w:firstLine="200" w:firstLineChars="200"/>
    </w:pPr>
    <w:rPr>
      <w:sz w:val="24"/>
    </w:rPr>
  </w:style>
  <w:style w:type="paragraph" w:customStyle="1" w:styleId="286">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287">
    <w:name w:val="未处理的提及1"/>
    <w:basedOn w:val="49"/>
    <w:semiHidden/>
    <w:unhideWhenUsed/>
    <w:qFormat/>
    <w:uiPriority w:val="99"/>
    <w:rPr>
      <w:color w:val="605E5C"/>
      <w:shd w:val="clear" w:color="auto" w:fill="E1DFDD"/>
    </w:rPr>
  </w:style>
  <w:style w:type="character" w:customStyle="1" w:styleId="288">
    <w:name w:val="text_h038s"/>
    <w:basedOn w:val="49"/>
    <w:qFormat/>
    <w:uiPriority w:val="0"/>
  </w:style>
  <w:style w:type="paragraph" w:customStyle="1" w:styleId="289">
    <w:name w:val="正文01"/>
    <w:basedOn w:val="1"/>
    <w:qFormat/>
    <w:uiPriority w:val="0"/>
    <w:pPr>
      <w:spacing w:before="40" w:line="420" w:lineRule="exact"/>
      <w:ind w:firstLine="200" w:firstLineChars="200"/>
    </w:pPr>
    <w:rPr>
      <w:bCs/>
      <w:sz w:val="24"/>
    </w:rPr>
  </w:style>
  <w:style w:type="character" w:customStyle="1" w:styleId="290">
    <w:name w:val="font91"/>
    <w:basedOn w:val="49"/>
    <w:qFormat/>
    <w:uiPriority w:val="0"/>
    <w:rPr>
      <w:rFonts w:hint="eastAsia" w:ascii="仿宋" w:hAnsi="仿宋" w:eastAsia="仿宋"/>
      <w:b/>
      <w:bCs/>
      <w:color w:val="000000"/>
      <w:sz w:val="20"/>
      <w:szCs w:val="20"/>
      <w:u w:val="none"/>
      <w:vertAlign w:val="superscript"/>
    </w:rPr>
  </w:style>
  <w:style w:type="character" w:customStyle="1" w:styleId="291">
    <w:name w:val="font41"/>
    <w:basedOn w:val="49"/>
    <w:qFormat/>
    <w:uiPriority w:val="0"/>
    <w:rPr>
      <w:rFonts w:hint="eastAsia" w:ascii="仿宋" w:hAnsi="仿宋" w:eastAsia="仿宋"/>
      <w:color w:val="000000"/>
      <w:sz w:val="20"/>
      <w:szCs w:val="20"/>
      <w:u w:val="none"/>
    </w:rPr>
  </w:style>
  <w:style w:type="character" w:customStyle="1" w:styleId="292">
    <w:name w:val="font101"/>
    <w:basedOn w:val="49"/>
    <w:qFormat/>
    <w:uiPriority w:val="0"/>
    <w:rPr>
      <w:rFonts w:hint="eastAsia" w:ascii="仿宋" w:hAnsi="仿宋" w:eastAsia="仿宋"/>
      <w:color w:val="FF0000"/>
      <w:sz w:val="20"/>
      <w:szCs w:val="20"/>
      <w:u w:val="none"/>
    </w:rPr>
  </w:style>
  <w:style w:type="character" w:customStyle="1" w:styleId="293">
    <w:name w:val="font51"/>
    <w:basedOn w:val="49"/>
    <w:qFormat/>
    <w:uiPriority w:val="0"/>
    <w:rPr>
      <w:rFonts w:hint="eastAsia" w:ascii="仿宋" w:hAnsi="仿宋" w:eastAsia="仿宋"/>
      <w:color w:val="000000"/>
      <w:sz w:val="21"/>
      <w:szCs w:val="21"/>
      <w:u w:val="none"/>
    </w:rPr>
  </w:style>
  <w:style w:type="character" w:customStyle="1" w:styleId="294">
    <w:name w:val="font111"/>
    <w:basedOn w:val="49"/>
    <w:qFormat/>
    <w:uiPriority w:val="0"/>
    <w:rPr>
      <w:rFonts w:hint="eastAsia" w:ascii="仿宋" w:hAnsi="仿宋" w:eastAsia="仿宋"/>
      <w:color w:val="FF0000"/>
      <w:sz w:val="21"/>
      <w:szCs w:val="21"/>
      <w:u w:val="none"/>
    </w:rPr>
  </w:style>
  <w:style w:type="table" w:customStyle="1" w:styleId="295">
    <w:name w:val="古典型 11"/>
    <w:basedOn w:val="46"/>
    <w:qFormat/>
    <w:uiPriority w:val="0"/>
    <w:pPr>
      <w:widowControl w:val="0"/>
      <w:adjustRightInd w:val="0"/>
      <w:snapToGrid w:val="0"/>
      <w:jc w:val="center"/>
      <w:textAlignment w:val="baseline"/>
    </w:pPr>
    <w:tblPr>
      <w:jc w:val="center"/>
      <w:tblBorders>
        <w:top w:val="single" w:color="auto" w:sz="12" w:space="0"/>
        <w:bottom w:val="single" w:color="auto" w:sz="12" w:space="0"/>
        <w:insideH w:val="single" w:color="auto" w:sz="4" w:space="0"/>
        <w:insideV w:val="single" w:color="auto" w:sz="4" w:space="0"/>
      </w:tblBorders>
    </w:tblPr>
    <w:trPr>
      <w:jc w:val="center"/>
    </w:trPr>
    <w:tcPr>
      <w:shd w:val="clear" w:color="auto" w:fill="auto"/>
      <w:vAlign w:val="center"/>
    </w:tcPr>
    <w:tblStylePr w:type="firstRow">
      <w:pPr>
        <w:keepNext/>
        <w:keepLines w:val="0"/>
        <w:pageBreakBefore w:val="0"/>
        <w:widowControl w:val="0"/>
        <w:suppressLineNumbers w:val="0"/>
        <w:suppressAutoHyphens w:val="0"/>
        <w:wordWrap/>
      </w:pPr>
      <w:rPr>
        <w:rFonts w:ascii="Times New Roman" w:hAnsi="Times New Roman" w:eastAsia="宋体"/>
        <w:b/>
        <w:i w:val="0"/>
        <w:iCs/>
        <w:sz w:val="21"/>
      </w:rPr>
      <w:tblPr/>
      <w:trPr>
        <w:cantSplit/>
        <w:tblHeader/>
      </w:trPr>
      <w:tcPr>
        <w:tcBorders>
          <w:bottom w:val="single" w:color="000000" w:sz="6" w:space="0"/>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paragraph" w:customStyle="1" w:styleId="296">
    <w:name w:val="+正文"/>
    <w:basedOn w:val="1"/>
    <w:qFormat/>
    <w:uiPriority w:val="0"/>
    <w:pPr>
      <w:widowControl/>
      <w:spacing w:line="500" w:lineRule="exact"/>
      <w:ind w:firstLine="200" w:firstLineChars="200"/>
    </w:pPr>
    <w:rPr>
      <w:sz w:val="24"/>
      <w:szCs w:val="28"/>
    </w:rPr>
  </w:style>
  <w:style w:type="paragraph" w:customStyle="1" w:styleId="297">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298">
    <w:name w:val="font0"/>
    <w:basedOn w:val="1"/>
    <w:qFormat/>
    <w:uiPriority w:val="0"/>
    <w:pPr>
      <w:widowControl/>
      <w:spacing w:before="100" w:beforeAutospacing="1" w:after="100" w:afterAutospacing="1"/>
      <w:jc w:val="left"/>
    </w:pPr>
    <w:rPr>
      <w:color w:val="FF0000"/>
      <w:kern w:val="0"/>
      <w:sz w:val="22"/>
      <w:szCs w:val="22"/>
    </w:rPr>
  </w:style>
  <w:style w:type="paragraph" w:customStyle="1" w:styleId="299">
    <w:name w:val="font1"/>
    <w:basedOn w:val="1"/>
    <w:qFormat/>
    <w:uiPriority w:val="0"/>
    <w:pPr>
      <w:widowControl/>
      <w:spacing w:before="100" w:beforeAutospacing="1" w:after="100" w:afterAutospacing="1"/>
      <w:jc w:val="left"/>
    </w:pPr>
    <w:rPr>
      <w:color w:val="000000"/>
      <w:kern w:val="0"/>
      <w:sz w:val="22"/>
      <w:szCs w:val="22"/>
    </w:rPr>
  </w:style>
  <w:style w:type="paragraph" w:customStyle="1" w:styleId="300">
    <w:name w:val="font2"/>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301">
    <w:name w:val="font3"/>
    <w:basedOn w:val="1"/>
    <w:qFormat/>
    <w:uiPriority w:val="0"/>
    <w:pPr>
      <w:widowControl/>
      <w:spacing w:before="100" w:beforeAutospacing="1" w:after="100" w:afterAutospacing="1"/>
      <w:jc w:val="left"/>
    </w:pPr>
    <w:rPr>
      <w:color w:val="000000"/>
      <w:kern w:val="0"/>
      <w:sz w:val="22"/>
      <w:szCs w:val="22"/>
    </w:rPr>
  </w:style>
  <w:style w:type="paragraph" w:customStyle="1" w:styleId="302">
    <w:name w:val="font4"/>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303">
    <w:name w:val="font5"/>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304">
    <w:name w:val="font6"/>
    <w:basedOn w:val="1"/>
    <w:qFormat/>
    <w:uiPriority w:val="0"/>
    <w:pPr>
      <w:widowControl/>
      <w:spacing w:before="100" w:beforeAutospacing="1" w:after="100" w:afterAutospacing="1"/>
      <w:jc w:val="left"/>
    </w:pPr>
    <w:rPr>
      <w:rFonts w:ascii="宋体" w:hAnsi="宋体" w:cs="宋体"/>
      <w:color w:val="FF0000"/>
      <w:kern w:val="0"/>
      <w:sz w:val="22"/>
      <w:szCs w:val="22"/>
    </w:rPr>
  </w:style>
  <w:style w:type="paragraph" w:customStyle="1" w:styleId="305">
    <w:name w:val="et2"/>
    <w:basedOn w:val="1"/>
    <w:qFormat/>
    <w:uiPriority w:val="0"/>
    <w:pPr>
      <w:widowControl/>
      <w:spacing w:before="100" w:beforeAutospacing="1" w:after="100" w:afterAutospacing="1"/>
      <w:jc w:val="left"/>
    </w:pPr>
    <w:rPr>
      <w:kern w:val="0"/>
      <w:sz w:val="24"/>
    </w:rPr>
  </w:style>
  <w:style w:type="paragraph" w:customStyle="1" w:styleId="306">
    <w:name w:val="et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4"/>
    </w:rPr>
  </w:style>
  <w:style w:type="paragraph" w:customStyle="1" w:styleId="307">
    <w:name w:val="et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kern w:val="0"/>
      <w:sz w:val="24"/>
    </w:rPr>
  </w:style>
  <w:style w:type="paragraph" w:customStyle="1" w:styleId="308">
    <w:name w:val="et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24"/>
    </w:rPr>
  </w:style>
  <w:style w:type="paragraph" w:customStyle="1" w:styleId="309">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000000"/>
      <w:kern w:val="0"/>
      <w:sz w:val="24"/>
    </w:rPr>
  </w:style>
  <w:style w:type="paragraph" w:customStyle="1" w:styleId="310">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4"/>
    </w:rPr>
  </w:style>
  <w:style w:type="paragraph" w:customStyle="1" w:styleId="311">
    <w:name w:val="et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FF0000"/>
      <w:kern w:val="0"/>
      <w:sz w:val="24"/>
    </w:rPr>
  </w:style>
  <w:style w:type="paragraph" w:customStyle="1" w:styleId="312">
    <w:name w:val="et1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FF0000"/>
      <w:kern w:val="0"/>
      <w:sz w:val="24"/>
    </w:rPr>
  </w:style>
  <w:style w:type="paragraph" w:customStyle="1" w:styleId="313">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kern w:val="0"/>
      <w:sz w:val="24"/>
    </w:rPr>
  </w:style>
  <w:style w:type="paragraph" w:customStyle="1" w:styleId="314">
    <w:name w:val="et1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4"/>
    </w:rPr>
  </w:style>
  <w:style w:type="character" w:customStyle="1" w:styleId="315">
    <w:name w:val="font11"/>
    <w:basedOn w:val="49"/>
    <w:qFormat/>
    <w:uiPriority w:val="0"/>
    <w:rPr>
      <w:rFonts w:hint="default" w:ascii="Times New Roman" w:hAnsi="Times New Roman" w:cs="Times New Roman"/>
      <w:color w:val="000000"/>
      <w:sz w:val="22"/>
      <w:szCs w:val="22"/>
      <w:u w:val="none"/>
    </w:rPr>
  </w:style>
  <w:style w:type="character" w:customStyle="1" w:styleId="316">
    <w:name w:val="font21"/>
    <w:basedOn w:val="49"/>
    <w:qFormat/>
    <w:uiPriority w:val="0"/>
    <w:rPr>
      <w:rFonts w:hint="eastAsia" w:ascii="宋体" w:hAnsi="宋体" w:eastAsia="宋体"/>
      <w:color w:val="000000"/>
      <w:sz w:val="22"/>
      <w:szCs w:val="22"/>
      <w:u w:val="none"/>
    </w:rPr>
  </w:style>
  <w:style w:type="character" w:customStyle="1" w:styleId="317">
    <w:name w:val="font31"/>
    <w:basedOn w:val="49"/>
    <w:qFormat/>
    <w:uiPriority w:val="0"/>
    <w:rPr>
      <w:rFonts w:hint="default" w:ascii="Times New Roman" w:hAnsi="Times New Roman" w:cs="Times New Roman"/>
      <w:color w:val="000000"/>
      <w:sz w:val="22"/>
      <w:szCs w:val="22"/>
      <w:u w:val="none"/>
    </w:rPr>
  </w:style>
  <w:style w:type="character" w:customStyle="1" w:styleId="318">
    <w:name w:val="font61"/>
    <w:basedOn w:val="49"/>
    <w:qFormat/>
    <w:uiPriority w:val="0"/>
    <w:rPr>
      <w:rFonts w:hint="eastAsia" w:ascii="宋体" w:hAnsi="宋体" w:eastAsia="宋体"/>
      <w:color w:val="FF0000"/>
      <w:sz w:val="22"/>
      <w:szCs w:val="22"/>
      <w:u w:val="none"/>
    </w:rPr>
  </w:style>
  <w:style w:type="character" w:customStyle="1" w:styleId="319">
    <w:name w:val="未处理的提及2"/>
    <w:basedOn w:val="49"/>
    <w:semiHidden/>
    <w:unhideWhenUsed/>
    <w:qFormat/>
    <w:uiPriority w:val="99"/>
    <w:rPr>
      <w:color w:val="605E5C"/>
      <w:shd w:val="clear" w:color="auto" w:fill="E1DFDD"/>
    </w:rPr>
  </w:style>
  <w:style w:type="character" w:customStyle="1" w:styleId="320">
    <w:name w:val="电子邮件签名 字符"/>
    <w:basedOn w:val="49"/>
    <w:link w:val="12"/>
    <w:qFormat/>
    <w:uiPriority w:val="0"/>
    <w:rPr>
      <w:rFonts w:ascii="仿宋_GB2312" w:eastAsia="仿宋_GB2312"/>
      <w:kern w:val="2"/>
      <w:sz w:val="28"/>
      <w:lang w:val="zh-CN"/>
    </w:rPr>
  </w:style>
  <w:style w:type="paragraph" w:customStyle="1" w:styleId="321">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322">
    <w:name w:val="修订6"/>
    <w:hidden/>
    <w:unhideWhenUsed/>
    <w:qFormat/>
    <w:uiPriority w:val="99"/>
    <w:rPr>
      <w:rFonts w:ascii="Times New Roman" w:hAnsi="Times New Roman" w:eastAsia="宋体" w:cs="Times New Roman"/>
      <w:kern w:val="2"/>
      <w:sz w:val="21"/>
      <w:szCs w:val="24"/>
      <w:lang w:val="en-US" w:eastAsia="zh-CN" w:bidi="ar-SA"/>
    </w:rPr>
  </w:style>
  <w:style w:type="paragraph" w:customStyle="1" w:styleId="323">
    <w:name w:val="Table Text"/>
    <w:basedOn w:val="1"/>
    <w:semiHidden/>
    <w:qFormat/>
    <w:uiPriority w:val="0"/>
    <w:pPr>
      <w:spacing w:line="500" w:lineRule="exact"/>
    </w:pPr>
    <w:rPr>
      <w:rFonts w:ascii="宋体" w:hAnsi="宋体" w:cs="宋体"/>
      <w:szCs w:val="21"/>
      <w:lang w:eastAsia="en-US"/>
    </w:rPr>
  </w:style>
  <w:style w:type="table" w:customStyle="1" w:styleId="324">
    <w:name w:val="Table Normal"/>
    <w:unhideWhenUsed/>
    <w:qFormat/>
    <w:uiPriority w:val="0"/>
    <w:tblPr>
      <w:tblCellMar>
        <w:top w:w="0" w:type="dxa"/>
        <w:left w:w="0" w:type="dxa"/>
        <w:bottom w:w="0" w:type="dxa"/>
        <w:right w:w="0" w:type="dxa"/>
      </w:tblCellMar>
    </w:tblPr>
  </w:style>
  <w:style w:type="character" w:customStyle="1" w:styleId="325">
    <w:name w:val="font01"/>
    <w:basedOn w:val="49"/>
    <w:qFormat/>
    <w:uiPriority w:val="0"/>
    <w:rPr>
      <w:rFonts w:hint="default" w:ascii="Times New Roman" w:hAnsi="Times New Roman" w:cs="Times New Roman"/>
      <w:color w:val="000000"/>
      <w:sz w:val="21"/>
      <w:szCs w:val="21"/>
      <w:u w:val="none"/>
    </w:rPr>
  </w:style>
  <w:style w:type="paragraph" w:customStyle="1" w:styleId="326">
    <w:name w:val="l 表格正文"/>
    <w:link w:val="327"/>
    <w:qFormat/>
    <w:uiPriority w:val="0"/>
    <w:pPr>
      <w:adjustRightInd w:val="0"/>
      <w:snapToGrid w:val="0"/>
      <w:jc w:val="center"/>
    </w:pPr>
    <w:rPr>
      <w:rFonts w:ascii="Times New Roman" w:hAnsi="Times New Roman" w:eastAsia="宋体" w:cstheme="minorBidi"/>
      <w:kern w:val="2"/>
      <w:sz w:val="21"/>
      <w:szCs w:val="22"/>
      <w:lang w:val="en-US" w:eastAsia="zh-CN" w:bidi="ar-SA"/>
    </w:rPr>
  </w:style>
  <w:style w:type="character" w:customStyle="1" w:styleId="327">
    <w:name w:val="l 表格正文 字符"/>
    <w:basedOn w:val="49"/>
    <w:link w:val="326"/>
    <w:qFormat/>
    <w:uiPriority w:val="0"/>
    <w:rPr>
      <w:rFonts w:cstheme="minorBidi"/>
      <w:kern w:val="2"/>
      <w:sz w:val="21"/>
      <w:szCs w:val="22"/>
    </w:rPr>
  </w:style>
  <w:style w:type="paragraph" w:customStyle="1" w:styleId="328">
    <w:name w:val="l 表头"/>
    <w:basedOn w:val="326"/>
    <w:link w:val="329"/>
    <w:autoRedefine/>
    <w:qFormat/>
    <w:uiPriority w:val="0"/>
    <w:rPr>
      <w:b/>
    </w:rPr>
  </w:style>
  <w:style w:type="character" w:customStyle="1" w:styleId="329">
    <w:name w:val="l 表头 字符"/>
    <w:basedOn w:val="327"/>
    <w:link w:val="328"/>
    <w:qFormat/>
    <w:uiPriority w:val="0"/>
    <w:rPr>
      <w:rFonts w:cstheme="minorBidi"/>
      <w:b/>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emf"/><Relationship Id="rId22" Type="http://schemas.openxmlformats.org/officeDocument/2006/relationships/image" Target="media/image10.jpeg"/><Relationship Id="rId21" Type="http://schemas.openxmlformats.org/officeDocument/2006/relationships/image" Target="media/image9.png"/><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package" Target="embeddings/Microsoft_Visio___3.vsdx"/><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emf"/><Relationship Id="rId12" Type="http://schemas.openxmlformats.org/officeDocument/2006/relationships/package" Target="embeddings/Microsoft_Visio___2.vsdx"/><Relationship Id="rId11" Type="http://schemas.openxmlformats.org/officeDocument/2006/relationships/image" Target="media/image1.emf"/><Relationship Id="rId10" Type="http://schemas.openxmlformats.org/officeDocument/2006/relationships/package" Target="embeddings/Microsoft_Visio___1.vsdx"/><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79C82-C15A-4546-BDF9-AF6EEAA96F1B}">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136</Pages>
  <Words>3339</Words>
  <Characters>3658</Characters>
  <Lines>229</Lines>
  <Paragraphs>209</Paragraphs>
  <TotalTime>18</TotalTime>
  <ScaleCrop>false</ScaleCrop>
  <LinksUpToDate>false</LinksUpToDate>
  <CharactersWithSpaces>3721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2025-04-27T02:49:00Z</dcterms:created>
  <dc:creator>yuki</dc:creator>
  <cp:lastModifiedBy>TIAN C &amp;HE</cp:lastModifiedBy>
  <cp:lastPrinted>2021-04-06T03:26:00Z</cp:lastPrinted>
  <dcterms:modified xsi:type="dcterms:W3CDTF">2025-04-28T08:04:58Z</dcterms:modified>
  <dc:title>盱眙易通报废汽车回收拆解有限公司年拆解1万辆报废汽车拆解项目</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2B7CCE2E3EE84425B4EBC08AF17756A2_13</vt:lpwstr>
  </property>
  <property fmtid="{D5CDD505-2E9C-101B-9397-08002B2CF9AE}" pid="4" name="_DocHome">
    <vt:i4>-275235587</vt:i4>
  </property>
  <property fmtid="{D5CDD505-2E9C-101B-9397-08002B2CF9AE}" pid="5" name="KSOTemplateDocerSaveRecord">
    <vt:lpwstr>eyJoZGlkIjoiNjNmMjg4ZWM3ZDFkZTNlNzQ4NTYwZTBlOWZkODc3N2UiLCJ1c2VySWQiOiI3NDYwNDM0MjAifQ==</vt:lpwstr>
  </property>
</Properties>
</file>